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ind w:left="0" w:leftChars="0"/>
        <w:jc w:val="center"/>
        <w:rPr>
          <w:color w:val="auto"/>
        </w:rPr>
      </w:pPr>
      <w:bookmarkStart w:id="69" w:name="_GoBack"/>
    </w:p>
    <w:p>
      <w:pPr>
        <w:jc w:val="center"/>
        <w:rPr>
          <w:color w:val="auto"/>
        </w:rPr>
      </w:pPr>
    </w:p>
    <w:p>
      <w:pPr>
        <w:pStyle w:val="20"/>
        <w:ind w:left="480"/>
        <w:jc w:val="center"/>
        <w:rPr>
          <w:color w:val="auto"/>
        </w:rPr>
      </w:pPr>
    </w:p>
    <w:p>
      <w:pPr>
        <w:spacing w:afterLines="50"/>
        <w:ind w:left="-324" w:leftChars="-135" w:right="-552" w:rightChars="-230"/>
        <w:jc w:val="center"/>
        <w:rPr>
          <w:b/>
          <w:bCs/>
          <w:color w:val="auto"/>
          <w:sz w:val="44"/>
          <w:szCs w:val="44"/>
        </w:rPr>
      </w:pPr>
    </w:p>
    <w:p>
      <w:pPr>
        <w:spacing w:afterLines="50"/>
        <w:ind w:left="-324" w:leftChars="-135" w:right="-552" w:rightChars="-230"/>
        <w:jc w:val="center"/>
        <w:rPr>
          <w:b/>
          <w:bCs/>
          <w:color w:val="auto"/>
          <w:sz w:val="44"/>
          <w:szCs w:val="44"/>
        </w:rPr>
      </w:pPr>
    </w:p>
    <w:p>
      <w:pPr>
        <w:spacing w:beforeLines="50" w:line="360" w:lineRule="auto"/>
        <w:jc w:val="center"/>
        <w:rPr>
          <w:rFonts w:hint="eastAsia" w:eastAsia="黑体"/>
          <w:bCs/>
          <w:color w:val="auto"/>
          <w:sz w:val="44"/>
          <w:szCs w:val="44"/>
          <w:lang w:eastAsia="zh-CN"/>
        </w:rPr>
      </w:pPr>
      <w:r>
        <w:rPr>
          <w:rFonts w:hint="eastAsia" w:eastAsia="黑体"/>
          <w:bCs/>
          <w:color w:val="auto"/>
          <w:sz w:val="44"/>
          <w:szCs w:val="44"/>
          <w:lang w:eastAsia="zh-CN"/>
        </w:rPr>
        <w:t>吉林省鼎生工程有限公司</w:t>
      </w:r>
    </w:p>
    <w:p>
      <w:pPr>
        <w:spacing w:beforeLines="50" w:line="360" w:lineRule="auto"/>
        <w:jc w:val="center"/>
        <w:rPr>
          <w:rFonts w:hint="eastAsia" w:eastAsia="黑体"/>
          <w:bCs/>
          <w:color w:val="auto"/>
          <w:sz w:val="44"/>
          <w:szCs w:val="44"/>
          <w:lang w:eastAsia="zh-CN"/>
        </w:rPr>
      </w:pPr>
      <w:r>
        <w:rPr>
          <w:rFonts w:hint="eastAsia" w:eastAsia="黑体"/>
          <w:bCs/>
          <w:color w:val="auto"/>
          <w:sz w:val="44"/>
          <w:szCs w:val="44"/>
          <w:lang w:eastAsia="zh-CN"/>
        </w:rPr>
        <w:t>水泥碎石制品建设项目</w:t>
      </w:r>
    </w:p>
    <w:p>
      <w:pPr>
        <w:spacing w:afterLines="50"/>
        <w:ind w:left="-324" w:leftChars="-135" w:right="-552" w:rightChars="-230"/>
        <w:jc w:val="center"/>
        <w:rPr>
          <w:rFonts w:eastAsia="黑体"/>
          <w:color w:val="auto"/>
          <w:sz w:val="84"/>
        </w:rPr>
      </w:pPr>
      <w:r>
        <w:rPr>
          <w:rFonts w:eastAsia="黑体"/>
          <w:b/>
          <w:bCs/>
          <w:color w:val="auto"/>
          <w:sz w:val="84"/>
          <w:szCs w:val="84"/>
        </w:rPr>
        <w:t>水土保持方案报告</w:t>
      </w:r>
      <w:r>
        <w:rPr>
          <w:rFonts w:hint="eastAsia" w:eastAsia="黑体"/>
          <w:b/>
          <w:bCs/>
          <w:color w:val="auto"/>
          <w:sz w:val="84"/>
          <w:szCs w:val="84"/>
        </w:rPr>
        <w:t>表</w:t>
      </w:r>
    </w:p>
    <w:p>
      <w:pPr>
        <w:ind w:left="280" w:right="280"/>
        <w:jc w:val="center"/>
        <w:rPr>
          <w:color w:val="auto"/>
          <w:sz w:val="32"/>
        </w:rPr>
      </w:pPr>
    </w:p>
    <w:p>
      <w:pPr>
        <w:ind w:left="280" w:right="280"/>
        <w:jc w:val="center"/>
        <w:rPr>
          <w:color w:val="auto"/>
          <w:sz w:val="32"/>
        </w:rPr>
      </w:pPr>
    </w:p>
    <w:p>
      <w:pPr>
        <w:ind w:left="280" w:right="280"/>
        <w:jc w:val="center"/>
        <w:rPr>
          <w:color w:val="auto"/>
          <w:sz w:val="32"/>
        </w:rPr>
      </w:pPr>
    </w:p>
    <w:p>
      <w:pPr>
        <w:ind w:left="280" w:right="280"/>
        <w:jc w:val="center"/>
        <w:rPr>
          <w:color w:val="auto"/>
          <w:sz w:val="32"/>
        </w:rPr>
      </w:pPr>
    </w:p>
    <w:p>
      <w:pPr>
        <w:ind w:left="280" w:right="280"/>
        <w:jc w:val="center"/>
        <w:rPr>
          <w:color w:val="auto"/>
          <w:sz w:val="32"/>
        </w:rPr>
      </w:pPr>
    </w:p>
    <w:p>
      <w:pPr>
        <w:ind w:left="280" w:right="280"/>
        <w:jc w:val="center"/>
        <w:rPr>
          <w:color w:val="auto"/>
          <w:sz w:val="32"/>
        </w:rPr>
      </w:pPr>
    </w:p>
    <w:p>
      <w:pPr>
        <w:ind w:left="280" w:right="280"/>
        <w:jc w:val="center"/>
        <w:rPr>
          <w:color w:val="auto"/>
          <w:sz w:val="32"/>
        </w:rPr>
      </w:pPr>
    </w:p>
    <w:p>
      <w:pPr>
        <w:ind w:right="280"/>
        <w:jc w:val="both"/>
        <w:rPr>
          <w:color w:val="auto"/>
          <w:sz w:val="32"/>
        </w:rPr>
      </w:pPr>
    </w:p>
    <w:p>
      <w:pPr>
        <w:pStyle w:val="31"/>
        <w:ind w:firstLine="0" w:firstLineChars="0"/>
        <w:rPr>
          <w:rFonts w:ascii="Times New Roman" w:hAnsi="Times New Roman" w:cs="Times New Roman"/>
          <w:color w:val="auto"/>
        </w:rPr>
      </w:pPr>
    </w:p>
    <w:p>
      <w:pPr>
        <w:ind w:right="280"/>
        <w:jc w:val="both"/>
        <w:rPr>
          <w:color w:val="auto"/>
          <w:sz w:val="32"/>
        </w:rPr>
      </w:pPr>
    </w:p>
    <w:p>
      <w:pPr>
        <w:pStyle w:val="20"/>
        <w:ind w:left="480"/>
        <w:rPr>
          <w:color w:val="auto"/>
          <w:sz w:val="32"/>
        </w:rPr>
      </w:pPr>
    </w:p>
    <w:p>
      <w:pPr>
        <w:pStyle w:val="20"/>
        <w:ind w:left="0" w:leftChars="0"/>
        <w:rPr>
          <w:color w:val="auto"/>
        </w:rPr>
      </w:pPr>
    </w:p>
    <w:p>
      <w:pPr>
        <w:pStyle w:val="20"/>
        <w:ind w:left="480"/>
        <w:rPr>
          <w:color w:val="auto"/>
        </w:rPr>
      </w:pPr>
    </w:p>
    <w:p>
      <w:pPr>
        <w:pStyle w:val="31"/>
        <w:ind w:firstLine="640"/>
        <w:rPr>
          <w:rFonts w:ascii="Times New Roman" w:hAnsi="Times New Roman" w:cs="Times New Roman"/>
          <w:color w:val="auto"/>
          <w:sz w:val="32"/>
        </w:rPr>
      </w:pPr>
    </w:p>
    <w:p>
      <w:pPr>
        <w:pStyle w:val="31"/>
        <w:ind w:firstLine="640"/>
        <w:rPr>
          <w:rFonts w:ascii="Times New Roman" w:hAnsi="Times New Roman" w:cs="Times New Roman"/>
          <w:color w:val="auto"/>
          <w:sz w:val="32"/>
        </w:rPr>
      </w:pPr>
    </w:p>
    <w:p>
      <w:pPr>
        <w:pStyle w:val="31"/>
        <w:ind w:firstLine="640"/>
        <w:rPr>
          <w:rFonts w:ascii="Times New Roman" w:hAnsi="Times New Roman" w:cs="Times New Roman"/>
          <w:color w:val="auto"/>
          <w:sz w:val="32"/>
        </w:rPr>
      </w:pPr>
    </w:p>
    <w:tbl>
      <w:tblPr>
        <w:tblStyle w:val="24"/>
        <w:tblW w:w="9090" w:type="dxa"/>
        <w:jc w:val="center"/>
        <w:tblLayout w:type="fixed"/>
        <w:tblCellMar>
          <w:top w:w="0" w:type="dxa"/>
          <w:left w:w="108" w:type="dxa"/>
          <w:bottom w:w="0" w:type="dxa"/>
          <w:right w:w="0" w:type="dxa"/>
        </w:tblCellMar>
      </w:tblPr>
      <w:tblGrid>
        <w:gridCol w:w="2091"/>
        <w:gridCol w:w="6999"/>
      </w:tblGrid>
      <w:tr>
        <w:tblPrEx>
          <w:tblCellMar>
            <w:top w:w="0" w:type="dxa"/>
            <w:left w:w="108" w:type="dxa"/>
            <w:bottom w:w="0" w:type="dxa"/>
            <w:right w:w="0" w:type="dxa"/>
          </w:tblCellMar>
        </w:tblPrEx>
        <w:trPr>
          <w:trHeight w:val="508" w:hRule="atLeast"/>
          <w:jc w:val="center"/>
        </w:trPr>
        <w:tc>
          <w:tcPr>
            <w:tcW w:w="2091" w:type="dxa"/>
            <w:vAlign w:val="center"/>
          </w:tcPr>
          <w:p>
            <w:pPr>
              <w:spacing w:line="240" w:lineRule="auto"/>
              <w:ind w:left="-112" w:leftChars="-163" w:hanging="279" w:hangingChars="87"/>
              <w:jc w:val="center"/>
              <w:rPr>
                <w:b/>
                <w:color w:val="auto"/>
                <w:sz w:val="32"/>
                <w:szCs w:val="32"/>
              </w:rPr>
            </w:pPr>
            <w:r>
              <w:rPr>
                <w:b/>
                <w:color w:val="auto"/>
                <w:sz w:val="32"/>
                <w:szCs w:val="32"/>
              </w:rPr>
              <w:t xml:space="preserve">   建设单位：</w:t>
            </w:r>
          </w:p>
        </w:tc>
        <w:tc>
          <w:tcPr>
            <w:tcW w:w="6999" w:type="dxa"/>
          </w:tcPr>
          <w:p>
            <w:pPr>
              <w:spacing w:line="240" w:lineRule="auto"/>
              <w:ind w:right="280"/>
              <w:jc w:val="distribute"/>
              <w:rPr>
                <w:rFonts w:hint="eastAsia" w:eastAsia="宋体"/>
                <w:b/>
                <w:color w:val="auto"/>
                <w:sz w:val="32"/>
                <w:szCs w:val="32"/>
                <w:lang w:eastAsia="zh-CN"/>
              </w:rPr>
            </w:pPr>
            <w:r>
              <w:rPr>
                <w:rFonts w:hint="eastAsia"/>
                <w:b/>
                <w:color w:val="auto"/>
                <w:sz w:val="32"/>
                <w:szCs w:val="32"/>
                <w:lang w:eastAsia="zh-CN"/>
              </w:rPr>
              <w:t>吉林省鼎生工程有限公司</w:t>
            </w:r>
          </w:p>
        </w:tc>
      </w:tr>
      <w:tr>
        <w:tblPrEx>
          <w:tblCellMar>
            <w:top w:w="0" w:type="dxa"/>
            <w:left w:w="108" w:type="dxa"/>
            <w:bottom w:w="0" w:type="dxa"/>
            <w:right w:w="0" w:type="dxa"/>
          </w:tblCellMar>
        </w:tblPrEx>
        <w:trPr>
          <w:trHeight w:val="558" w:hRule="atLeast"/>
          <w:jc w:val="center"/>
        </w:trPr>
        <w:tc>
          <w:tcPr>
            <w:tcW w:w="2091" w:type="dxa"/>
          </w:tcPr>
          <w:p>
            <w:pPr>
              <w:spacing w:line="240" w:lineRule="auto"/>
              <w:ind w:left="41" w:leftChars="-99" w:right="160" w:hanging="279" w:hangingChars="87"/>
              <w:jc w:val="right"/>
              <w:rPr>
                <w:b/>
                <w:color w:val="auto"/>
                <w:sz w:val="32"/>
                <w:szCs w:val="32"/>
              </w:rPr>
            </w:pPr>
            <w:r>
              <w:rPr>
                <w:b/>
                <w:color w:val="auto"/>
                <w:sz w:val="32"/>
                <w:szCs w:val="32"/>
              </w:rPr>
              <w:t>编制单位：</w:t>
            </w:r>
          </w:p>
        </w:tc>
        <w:tc>
          <w:tcPr>
            <w:tcW w:w="6999" w:type="dxa"/>
          </w:tcPr>
          <w:p>
            <w:pPr>
              <w:spacing w:line="240" w:lineRule="auto"/>
              <w:ind w:left="279" w:right="280" w:hanging="279" w:hangingChars="87"/>
              <w:jc w:val="distribute"/>
              <w:rPr>
                <w:rFonts w:hint="eastAsia" w:eastAsia="宋体"/>
                <w:b/>
                <w:color w:val="auto"/>
                <w:sz w:val="32"/>
                <w:szCs w:val="32"/>
                <w:lang w:eastAsia="zh-CN"/>
              </w:rPr>
            </w:pPr>
            <w:r>
              <w:rPr>
                <w:rFonts w:hint="eastAsia"/>
                <w:b/>
                <w:color w:val="auto"/>
                <w:sz w:val="32"/>
                <w:szCs w:val="32"/>
                <w:lang w:eastAsia="zh-CN"/>
              </w:rPr>
              <w:t>吉林省生环环境工程有限公司</w:t>
            </w:r>
          </w:p>
        </w:tc>
      </w:tr>
      <w:tr>
        <w:tblPrEx>
          <w:tblCellMar>
            <w:top w:w="0" w:type="dxa"/>
            <w:left w:w="108" w:type="dxa"/>
            <w:bottom w:w="0" w:type="dxa"/>
            <w:right w:w="0" w:type="dxa"/>
          </w:tblCellMar>
        </w:tblPrEx>
        <w:trPr>
          <w:trHeight w:val="557" w:hRule="atLeast"/>
          <w:jc w:val="center"/>
        </w:trPr>
        <w:tc>
          <w:tcPr>
            <w:tcW w:w="9090" w:type="dxa"/>
            <w:gridSpan w:val="2"/>
          </w:tcPr>
          <w:p>
            <w:pPr>
              <w:spacing w:line="240" w:lineRule="auto"/>
              <w:ind w:left="280" w:right="280"/>
              <w:jc w:val="center"/>
              <w:rPr>
                <w:color w:val="auto"/>
                <w:sz w:val="32"/>
                <w:szCs w:val="32"/>
              </w:rPr>
            </w:pPr>
            <w:r>
              <w:rPr>
                <w:b/>
                <w:bCs/>
                <w:color w:val="auto"/>
                <w:sz w:val="32"/>
                <w:szCs w:val="32"/>
                <w:highlight w:val="none"/>
              </w:rPr>
              <w:t>202</w:t>
            </w:r>
            <w:r>
              <w:rPr>
                <w:rFonts w:hint="eastAsia"/>
                <w:b/>
                <w:bCs/>
                <w:color w:val="auto"/>
                <w:sz w:val="32"/>
                <w:szCs w:val="32"/>
                <w:highlight w:val="none"/>
                <w:lang w:val="en-US" w:eastAsia="zh-CN"/>
              </w:rPr>
              <w:t>3</w:t>
            </w:r>
            <w:r>
              <w:rPr>
                <w:b/>
                <w:bCs/>
                <w:color w:val="auto"/>
                <w:sz w:val="32"/>
                <w:szCs w:val="32"/>
                <w:highlight w:val="none"/>
              </w:rPr>
              <w:t>年</w:t>
            </w:r>
            <w:r>
              <w:rPr>
                <w:rFonts w:hint="eastAsia"/>
                <w:b/>
                <w:bCs/>
                <w:color w:val="auto"/>
                <w:sz w:val="32"/>
                <w:szCs w:val="32"/>
                <w:highlight w:val="none"/>
                <w:lang w:val="en-US" w:eastAsia="zh-CN"/>
              </w:rPr>
              <w:t>06</w:t>
            </w:r>
            <w:r>
              <w:rPr>
                <w:b/>
                <w:bCs/>
                <w:color w:val="auto"/>
                <w:sz w:val="32"/>
                <w:szCs w:val="32"/>
                <w:highlight w:val="none"/>
              </w:rPr>
              <w:t>月</w:t>
            </w:r>
          </w:p>
        </w:tc>
      </w:tr>
    </w:tbl>
    <w:p>
      <w:pPr>
        <w:spacing w:beforeLines="50" w:line="360" w:lineRule="auto"/>
        <w:jc w:val="center"/>
        <w:rPr>
          <w:rFonts w:hint="eastAsia" w:eastAsia="黑体"/>
          <w:bCs/>
          <w:color w:val="auto"/>
          <w:sz w:val="32"/>
          <w:szCs w:val="32"/>
          <w:lang w:eastAsia="zh-CN"/>
        </w:rPr>
      </w:pPr>
    </w:p>
    <w:p>
      <w:pPr>
        <w:spacing w:beforeLines="50" w:line="360" w:lineRule="auto"/>
        <w:jc w:val="center"/>
        <w:rPr>
          <w:rFonts w:hint="eastAsia" w:eastAsia="黑体"/>
          <w:bCs/>
          <w:color w:val="auto"/>
          <w:sz w:val="32"/>
          <w:szCs w:val="32"/>
          <w:lang w:eastAsia="zh-CN"/>
        </w:rPr>
      </w:pPr>
      <w:r>
        <w:rPr>
          <w:rFonts w:hint="eastAsia" w:eastAsia="黑体"/>
          <w:bCs/>
          <w:color w:val="auto"/>
          <w:sz w:val="32"/>
          <w:szCs w:val="32"/>
          <w:lang w:eastAsia="zh-CN"/>
        </w:rPr>
        <w:t>吉林省鼎生工程有限公司水泥碎石制品建设项目</w:t>
      </w:r>
    </w:p>
    <w:p>
      <w:pPr>
        <w:spacing w:beforeLines="50" w:line="360" w:lineRule="auto"/>
        <w:jc w:val="center"/>
        <w:rPr>
          <w:rFonts w:eastAsia="黑体"/>
          <w:bCs/>
          <w:color w:val="auto"/>
          <w:sz w:val="32"/>
          <w:szCs w:val="32"/>
        </w:rPr>
      </w:pPr>
      <w:r>
        <w:rPr>
          <w:rFonts w:eastAsia="黑体"/>
          <w:bCs/>
          <w:color w:val="auto"/>
          <w:sz w:val="32"/>
          <w:szCs w:val="32"/>
        </w:rPr>
        <w:t>水土保持方案报告</w:t>
      </w:r>
      <w:r>
        <w:rPr>
          <w:rFonts w:hint="eastAsia" w:eastAsia="黑体"/>
          <w:bCs/>
          <w:color w:val="auto"/>
          <w:sz w:val="32"/>
          <w:szCs w:val="32"/>
        </w:rPr>
        <w:t>表</w:t>
      </w:r>
    </w:p>
    <w:p>
      <w:pPr>
        <w:spacing w:beforeLines="50" w:line="360" w:lineRule="auto"/>
        <w:jc w:val="center"/>
        <w:rPr>
          <w:rFonts w:eastAsia="黑体"/>
          <w:bCs/>
          <w:color w:val="auto"/>
          <w:sz w:val="32"/>
          <w:szCs w:val="32"/>
        </w:rPr>
      </w:pPr>
      <w:r>
        <w:rPr>
          <w:rFonts w:eastAsia="黑体"/>
          <w:bCs/>
          <w:color w:val="auto"/>
          <w:sz w:val="32"/>
          <w:szCs w:val="32"/>
        </w:rPr>
        <w:t>责任页</w:t>
      </w:r>
    </w:p>
    <w:p>
      <w:pPr>
        <w:spacing w:beforeLines="50" w:line="360" w:lineRule="auto"/>
        <w:jc w:val="center"/>
        <w:rPr>
          <w:rFonts w:eastAsia="黑体"/>
          <w:bCs/>
          <w:color w:val="auto"/>
          <w:sz w:val="32"/>
          <w:szCs w:val="32"/>
        </w:rPr>
      </w:pPr>
      <w:r>
        <w:rPr>
          <w:bCs/>
          <w:color w:val="auto"/>
          <w:sz w:val="32"/>
          <w:szCs w:val="32"/>
        </w:rPr>
        <w:t>（</w:t>
      </w:r>
      <w:r>
        <w:rPr>
          <w:rFonts w:hint="eastAsia"/>
          <w:bCs/>
          <w:color w:val="auto"/>
          <w:sz w:val="32"/>
          <w:szCs w:val="32"/>
          <w:lang w:eastAsia="zh-CN"/>
        </w:rPr>
        <w:t>吉林省生环环境工程有限公司</w:t>
      </w:r>
      <w:r>
        <w:rPr>
          <w:bCs/>
          <w:color w:val="auto"/>
          <w:sz w:val="32"/>
          <w:szCs w:val="32"/>
        </w:rPr>
        <w:t>）</w:t>
      </w:r>
    </w:p>
    <w:p>
      <w:pPr>
        <w:spacing w:beforeLines="50" w:line="360" w:lineRule="auto"/>
        <w:jc w:val="center"/>
        <w:rPr>
          <w:rFonts w:eastAsia="黑体"/>
          <w:bCs/>
          <w:color w:val="auto"/>
          <w:sz w:val="32"/>
          <w:szCs w:val="32"/>
        </w:rPr>
      </w:pPr>
    </w:p>
    <w:p>
      <w:pPr>
        <w:spacing w:line="720" w:lineRule="auto"/>
        <w:rPr>
          <w:rFonts w:eastAsia="黑体"/>
          <w:color w:val="auto"/>
          <w:sz w:val="32"/>
          <w:szCs w:val="32"/>
        </w:rPr>
      </w:pPr>
      <w:r>
        <w:rPr>
          <w:rFonts w:eastAsia="黑体"/>
          <w:color w:val="auto"/>
          <w:sz w:val="32"/>
          <w:szCs w:val="32"/>
        </w:rPr>
        <w:t>批准：</w:t>
      </w:r>
      <w:r>
        <w:rPr>
          <w:rFonts w:hint="eastAsia" w:eastAsia="黑体"/>
          <w:color w:val="auto"/>
          <w:sz w:val="32"/>
          <w:szCs w:val="32"/>
          <w:lang w:val="en-US" w:eastAsia="zh-CN"/>
        </w:rPr>
        <w:t xml:space="preserve">      </w:t>
      </w:r>
      <w:r>
        <w:rPr>
          <w:color w:val="auto"/>
          <w:sz w:val="32"/>
          <w:szCs w:val="32"/>
        </w:rPr>
        <w:t>（总经理）</w:t>
      </w:r>
    </w:p>
    <w:p>
      <w:pPr>
        <w:spacing w:line="720" w:lineRule="auto"/>
        <w:rPr>
          <w:rFonts w:eastAsia="黑体"/>
          <w:color w:val="auto"/>
          <w:sz w:val="32"/>
          <w:szCs w:val="32"/>
        </w:rPr>
      </w:pPr>
      <w:r>
        <w:rPr>
          <w:rFonts w:eastAsia="黑体"/>
          <w:color w:val="auto"/>
          <w:sz w:val="32"/>
          <w:szCs w:val="32"/>
        </w:rPr>
        <w:t>核定：</w:t>
      </w:r>
      <w:r>
        <w:rPr>
          <w:rFonts w:hint="eastAsia" w:eastAsia="黑体"/>
          <w:color w:val="auto"/>
          <w:sz w:val="32"/>
          <w:szCs w:val="32"/>
          <w:lang w:val="en-US" w:eastAsia="zh-CN"/>
        </w:rPr>
        <w:t xml:space="preserve">      </w:t>
      </w:r>
      <w:r>
        <w:rPr>
          <w:color w:val="auto"/>
          <w:sz w:val="32"/>
          <w:szCs w:val="32"/>
        </w:rPr>
        <w:t>（工程师）</w:t>
      </w:r>
    </w:p>
    <w:p>
      <w:pPr>
        <w:spacing w:line="720" w:lineRule="auto"/>
        <w:rPr>
          <w:rFonts w:eastAsia="黑体"/>
          <w:color w:val="auto"/>
          <w:sz w:val="32"/>
          <w:szCs w:val="32"/>
        </w:rPr>
      </w:pPr>
      <w:r>
        <w:rPr>
          <w:rFonts w:eastAsia="黑体"/>
          <w:color w:val="auto"/>
          <w:sz w:val="32"/>
          <w:szCs w:val="32"/>
        </w:rPr>
        <w:t>审查：</w:t>
      </w:r>
      <w:r>
        <w:rPr>
          <w:rFonts w:hint="eastAsia" w:eastAsia="黑体"/>
          <w:color w:val="auto"/>
          <w:sz w:val="32"/>
          <w:szCs w:val="32"/>
          <w:lang w:val="en-US" w:eastAsia="zh-CN"/>
        </w:rPr>
        <w:t xml:space="preserve">      </w:t>
      </w:r>
      <w:r>
        <w:rPr>
          <w:color w:val="auto"/>
          <w:sz w:val="32"/>
          <w:szCs w:val="32"/>
        </w:rPr>
        <w:t>（工程师）</w:t>
      </w:r>
    </w:p>
    <w:p>
      <w:pPr>
        <w:spacing w:line="720" w:lineRule="auto"/>
        <w:rPr>
          <w:color w:val="auto"/>
          <w:sz w:val="32"/>
          <w:szCs w:val="32"/>
        </w:rPr>
      </w:pPr>
      <w:r>
        <w:rPr>
          <w:rFonts w:eastAsia="黑体"/>
          <w:color w:val="auto"/>
          <w:sz w:val="32"/>
          <w:szCs w:val="32"/>
        </w:rPr>
        <w:t>校核：</w:t>
      </w:r>
      <w:r>
        <w:rPr>
          <w:rFonts w:hint="eastAsia" w:eastAsia="黑体"/>
          <w:color w:val="auto"/>
          <w:sz w:val="32"/>
          <w:szCs w:val="32"/>
          <w:lang w:val="en-US" w:eastAsia="zh-CN"/>
        </w:rPr>
        <w:t xml:space="preserve">      </w:t>
      </w:r>
      <w:r>
        <w:rPr>
          <w:color w:val="auto"/>
          <w:sz w:val="32"/>
          <w:szCs w:val="32"/>
        </w:rPr>
        <w:t>（工程师）</w:t>
      </w:r>
    </w:p>
    <w:p>
      <w:pPr>
        <w:spacing w:line="720" w:lineRule="auto"/>
        <w:rPr>
          <w:color w:val="auto"/>
          <w:sz w:val="32"/>
          <w:szCs w:val="32"/>
        </w:rPr>
      </w:pPr>
      <w:r>
        <w:rPr>
          <w:rFonts w:eastAsia="黑体"/>
          <w:color w:val="auto"/>
          <w:sz w:val="32"/>
          <w:szCs w:val="32"/>
        </w:rPr>
        <w:t>项目负责人</w:t>
      </w:r>
      <w:r>
        <w:rPr>
          <w:color w:val="auto"/>
          <w:sz w:val="32"/>
          <w:szCs w:val="32"/>
        </w:rPr>
        <w:t>：</w:t>
      </w:r>
      <w:r>
        <w:rPr>
          <w:rFonts w:hint="eastAsia" w:eastAsia="黑体"/>
          <w:color w:val="auto"/>
          <w:sz w:val="32"/>
          <w:szCs w:val="32"/>
          <w:lang w:val="en-US" w:eastAsia="zh-CN"/>
        </w:rPr>
        <w:t xml:space="preserve">      </w:t>
      </w:r>
      <w:r>
        <w:rPr>
          <w:color w:val="auto"/>
          <w:sz w:val="32"/>
          <w:szCs w:val="32"/>
        </w:rPr>
        <w:t>（项目经理）</w:t>
      </w:r>
    </w:p>
    <w:p>
      <w:pPr>
        <w:spacing w:line="720" w:lineRule="auto"/>
        <w:rPr>
          <w:color w:val="auto"/>
          <w:sz w:val="32"/>
          <w:szCs w:val="32"/>
        </w:rPr>
      </w:pPr>
      <w:r>
        <w:rPr>
          <w:rFonts w:eastAsia="黑体"/>
          <w:color w:val="auto"/>
          <w:sz w:val="32"/>
          <w:szCs w:val="32"/>
        </w:rPr>
        <w:t>编写：</w:t>
      </w:r>
      <w:r>
        <w:rPr>
          <w:rFonts w:hint="eastAsia" w:eastAsia="黑体"/>
          <w:color w:val="auto"/>
          <w:sz w:val="32"/>
          <w:szCs w:val="32"/>
          <w:lang w:val="en-US" w:eastAsia="zh-CN"/>
        </w:rPr>
        <w:t xml:space="preserve">      </w:t>
      </w:r>
      <w:r>
        <w:rPr>
          <w:color w:val="auto"/>
          <w:sz w:val="32"/>
          <w:szCs w:val="32"/>
        </w:rPr>
        <w:t>（工程师）（</w:t>
      </w:r>
      <w:r>
        <w:rPr>
          <w:rFonts w:hint="eastAsia"/>
          <w:color w:val="auto"/>
          <w:sz w:val="32"/>
          <w:szCs w:val="32"/>
          <w:lang w:val="en-US" w:eastAsia="zh-CN"/>
        </w:rPr>
        <w:t>编写1-8章及附图</w:t>
      </w:r>
      <w:r>
        <w:rPr>
          <w:color w:val="auto"/>
          <w:sz w:val="32"/>
          <w:szCs w:val="32"/>
        </w:rPr>
        <w:t>）</w:t>
      </w:r>
    </w:p>
    <w:p>
      <w:pPr>
        <w:spacing w:beforeLines="100" w:afterLines="100" w:line="400" w:lineRule="atLeast"/>
        <w:jc w:val="center"/>
        <w:rPr>
          <w:rFonts w:hint="eastAsia" w:eastAsia="黑体"/>
          <w:color w:val="auto"/>
          <w:sz w:val="32"/>
          <w:szCs w:val="32"/>
          <w:lang w:val="en-US" w:eastAsia="zh-CN"/>
        </w:rPr>
      </w:pPr>
      <w:r>
        <w:rPr>
          <w:rFonts w:hint="eastAsia" w:eastAsia="黑体"/>
          <w:color w:val="auto"/>
          <w:sz w:val="32"/>
          <w:szCs w:val="32"/>
          <w:lang w:val="en-US" w:eastAsia="zh-CN"/>
        </w:rPr>
        <w:t xml:space="preserve">      </w:t>
      </w:r>
    </w:p>
    <w:p>
      <w:pPr>
        <w:pStyle w:val="20"/>
        <w:rPr>
          <w:rFonts w:hint="eastAsia" w:eastAsia="黑体"/>
          <w:color w:val="auto"/>
          <w:sz w:val="32"/>
          <w:szCs w:val="32"/>
          <w:lang w:val="en-US" w:eastAsia="zh-CN"/>
        </w:rPr>
      </w:pPr>
    </w:p>
    <w:p>
      <w:pPr>
        <w:rPr>
          <w:rFonts w:hint="eastAsia" w:eastAsia="黑体"/>
          <w:color w:val="auto"/>
          <w:sz w:val="32"/>
          <w:szCs w:val="32"/>
          <w:lang w:val="en-US" w:eastAsia="zh-CN"/>
        </w:rPr>
      </w:pPr>
    </w:p>
    <w:p>
      <w:pPr>
        <w:pStyle w:val="20"/>
        <w:jc w:val="right"/>
        <w:rPr>
          <w:rFonts w:hint="eastAsia"/>
          <w:color w:val="auto"/>
          <w:lang w:val="en-US" w:eastAsia="zh-CN"/>
        </w:rPr>
      </w:pPr>
    </w:p>
    <w:p>
      <w:pPr>
        <w:pStyle w:val="20"/>
        <w:jc w:val="right"/>
        <w:rPr>
          <w:rFonts w:hint="eastAsia"/>
          <w:color w:val="auto"/>
          <w:lang w:val="en-US" w:eastAsia="zh-CN"/>
        </w:rPr>
      </w:pPr>
    </w:p>
    <w:p>
      <w:pPr>
        <w:pStyle w:val="20"/>
        <w:jc w:val="right"/>
        <w:rPr>
          <w:rFonts w:hint="eastAsia"/>
          <w:color w:val="auto"/>
          <w:lang w:val="en-US" w:eastAsia="zh-CN"/>
        </w:rPr>
      </w:pPr>
    </w:p>
    <w:p>
      <w:pPr>
        <w:pStyle w:val="20"/>
        <w:jc w:val="right"/>
        <w:rPr>
          <w:rFonts w:hint="default" w:eastAsia="宋体"/>
          <w:color w:val="auto"/>
          <w:highlight w:val="red"/>
          <w:lang w:val="en-US" w:eastAsia="zh-CN"/>
        </w:rPr>
      </w:pPr>
      <w:r>
        <w:rPr>
          <w:rFonts w:hint="eastAsia"/>
          <w:color w:val="auto"/>
          <w:highlight w:val="none"/>
          <w:lang w:val="en-US" w:eastAsia="zh-CN"/>
        </w:rPr>
        <w:t>类别：新建建设类</w:t>
      </w:r>
    </w:p>
    <w:p>
      <w:pPr>
        <w:spacing w:beforeLines="100" w:afterLines="100" w:line="400" w:lineRule="atLeast"/>
        <w:jc w:val="center"/>
        <w:rPr>
          <w:rFonts w:eastAsia="仿宋_GB2312"/>
          <w:b/>
          <w:bCs/>
          <w:color w:val="auto"/>
          <w:sz w:val="72"/>
          <w:szCs w:val="72"/>
        </w:rPr>
      </w:pPr>
      <w:r>
        <w:rPr>
          <w:rFonts w:eastAsia="黑体"/>
          <w:b/>
          <w:bCs/>
          <w:color w:val="auto"/>
          <w:sz w:val="72"/>
          <w:szCs w:val="72"/>
        </w:rPr>
        <w:t>水土保持方案报告表</w:t>
      </w:r>
    </w:p>
    <w:p>
      <w:pPr>
        <w:spacing w:line="360" w:lineRule="auto"/>
        <w:jc w:val="center"/>
        <w:rPr>
          <w:color w:val="auto"/>
          <w:sz w:val="44"/>
        </w:rPr>
      </w:pPr>
    </w:p>
    <w:p>
      <w:pPr>
        <w:pStyle w:val="20"/>
        <w:tabs>
          <w:tab w:val="right" w:leader="dot" w:pos="8400"/>
        </w:tabs>
        <w:ind w:left="480"/>
        <w:rPr>
          <w:color w:val="auto"/>
        </w:rPr>
      </w:pPr>
    </w:p>
    <w:p>
      <w:pPr>
        <w:spacing w:line="360" w:lineRule="auto"/>
        <w:rPr>
          <w:rFonts w:hint="eastAsia" w:eastAsia="仿宋_GB2312"/>
          <w:color w:val="auto"/>
          <w:sz w:val="28"/>
          <w:szCs w:val="28"/>
          <w:lang w:eastAsia="zh-CN"/>
        </w:rPr>
      </w:pPr>
      <w:r>
        <w:rPr>
          <w:rFonts w:eastAsia="仿宋_GB2312"/>
          <w:color w:val="auto"/>
          <w:sz w:val="28"/>
          <w:szCs w:val="28"/>
        </w:rPr>
        <w:t>项 目 名 称：</w:t>
      </w:r>
      <w:r>
        <w:rPr>
          <w:rFonts w:hint="eastAsia" w:eastAsia="仿宋_GB2312"/>
          <w:color w:val="auto"/>
          <w:sz w:val="28"/>
          <w:szCs w:val="28"/>
          <w:lang w:eastAsia="zh-CN"/>
        </w:rPr>
        <w:t>吉林省鼎生工程有限公司水泥碎石制品建设项目</w:t>
      </w:r>
    </w:p>
    <w:p>
      <w:pPr>
        <w:spacing w:line="360" w:lineRule="auto"/>
        <w:rPr>
          <w:rFonts w:eastAsia="仿宋_GB2312"/>
          <w:color w:val="auto"/>
          <w:sz w:val="28"/>
          <w:szCs w:val="28"/>
        </w:rPr>
      </w:pPr>
    </w:p>
    <w:p>
      <w:pPr>
        <w:spacing w:line="360" w:lineRule="auto"/>
        <w:rPr>
          <w:rFonts w:eastAsia="仿宋_GB2312"/>
          <w:color w:val="auto"/>
          <w:sz w:val="28"/>
          <w:szCs w:val="28"/>
        </w:rPr>
      </w:pPr>
      <w:r>
        <w:rPr>
          <w:rFonts w:eastAsia="仿宋_GB2312"/>
          <w:color w:val="auto"/>
          <w:sz w:val="28"/>
          <w:szCs w:val="28"/>
        </w:rPr>
        <w:t>编 制 单 位：</w:t>
      </w:r>
      <w:r>
        <w:rPr>
          <w:rFonts w:hint="eastAsia" w:eastAsia="仿宋_GB2312"/>
          <w:color w:val="auto"/>
          <w:sz w:val="28"/>
          <w:szCs w:val="28"/>
          <w:lang w:eastAsia="zh-CN"/>
        </w:rPr>
        <w:t>吉林省生环环境工程有限公司</w:t>
      </w:r>
      <w:r>
        <w:rPr>
          <w:rFonts w:eastAsia="仿宋_GB2312"/>
          <w:color w:val="auto"/>
          <w:sz w:val="28"/>
          <w:szCs w:val="28"/>
        </w:rPr>
        <w:t xml:space="preserve"> </w:t>
      </w:r>
    </w:p>
    <w:p>
      <w:pPr>
        <w:spacing w:line="360" w:lineRule="auto"/>
        <w:ind w:firstLine="789" w:firstLineChars="282"/>
        <w:rPr>
          <w:rFonts w:eastAsia="仿宋_GB2312"/>
          <w:color w:val="auto"/>
          <w:sz w:val="28"/>
          <w:szCs w:val="28"/>
        </w:rPr>
      </w:pPr>
    </w:p>
    <w:p>
      <w:pPr>
        <w:spacing w:line="360" w:lineRule="auto"/>
        <w:rPr>
          <w:rFonts w:hint="eastAsia" w:eastAsia="仿宋_GB2312"/>
          <w:color w:val="auto"/>
          <w:sz w:val="28"/>
          <w:szCs w:val="28"/>
          <w:u w:val="single"/>
          <w:lang w:eastAsia="zh-CN"/>
        </w:rPr>
      </w:pPr>
      <w:r>
        <w:rPr>
          <w:rFonts w:eastAsia="仿宋_GB2312"/>
          <w:color w:val="auto"/>
          <w:sz w:val="28"/>
          <w:szCs w:val="28"/>
        </w:rPr>
        <w:t>报</w:t>
      </w:r>
      <w:r>
        <w:rPr>
          <w:color w:val="auto"/>
          <w:sz w:val="28"/>
          <w:szCs w:val="28"/>
        </w:rPr>
        <w:t xml:space="preserve"> </w:t>
      </w:r>
      <w:r>
        <w:rPr>
          <w:rFonts w:eastAsia="仿宋_GB2312"/>
          <w:color w:val="auto"/>
          <w:sz w:val="28"/>
          <w:szCs w:val="28"/>
        </w:rPr>
        <w:t>送 单 位：</w:t>
      </w:r>
      <w:r>
        <w:rPr>
          <w:rFonts w:hint="eastAsia" w:eastAsia="仿宋_GB2312"/>
          <w:color w:val="auto"/>
          <w:sz w:val="28"/>
          <w:szCs w:val="28"/>
          <w:lang w:eastAsia="zh-CN"/>
        </w:rPr>
        <w:t>吉林省鼎生工程有限公司</w:t>
      </w:r>
    </w:p>
    <w:p>
      <w:pPr>
        <w:spacing w:line="360" w:lineRule="auto"/>
        <w:ind w:firstLine="786" w:firstLineChars="281"/>
        <w:rPr>
          <w:rFonts w:eastAsia="仿宋_GB2312"/>
          <w:color w:val="auto"/>
          <w:sz w:val="28"/>
          <w:szCs w:val="28"/>
        </w:rPr>
      </w:pPr>
    </w:p>
    <w:p>
      <w:pPr>
        <w:spacing w:line="360" w:lineRule="auto"/>
        <w:rPr>
          <w:rFonts w:eastAsia="仿宋_GB2312"/>
          <w:color w:val="auto"/>
          <w:sz w:val="28"/>
          <w:szCs w:val="28"/>
        </w:rPr>
      </w:pPr>
      <w:r>
        <w:rPr>
          <w:rFonts w:eastAsia="仿宋_GB2312"/>
          <w:color w:val="auto"/>
          <w:spacing w:val="6"/>
          <w:sz w:val="28"/>
          <w:szCs w:val="28"/>
        </w:rPr>
        <w:t>法定代表人：</w:t>
      </w:r>
      <w:r>
        <w:rPr>
          <w:rFonts w:eastAsia="仿宋_GB2312"/>
          <w:color w:val="auto"/>
          <w:spacing w:val="6"/>
          <w:sz w:val="28"/>
          <w:szCs w:val="28"/>
        </w:rPr>
        <w:fldChar w:fldCharType="begin"/>
      </w:r>
      <w:r>
        <w:rPr>
          <w:rFonts w:eastAsia="仿宋_GB2312"/>
          <w:color w:val="auto"/>
          <w:spacing w:val="6"/>
          <w:sz w:val="28"/>
          <w:szCs w:val="28"/>
        </w:rPr>
        <w:instrText xml:space="preserve"> HYPERLINK "https://aiqicha.baidu.com/person?personId=cb341c2d779c1409f70be7dd47e9556e&amp;entry=2115" \t "https://aiqicha.baidu.com/detail/_blank" </w:instrText>
      </w:r>
      <w:r>
        <w:rPr>
          <w:rFonts w:eastAsia="仿宋_GB2312"/>
          <w:color w:val="auto"/>
          <w:spacing w:val="6"/>
          <w:sz w:val="28"/>
          <w:szCs w:val="28"/>
        </w:rPr>
        <w:fldChar w:fldCharType="separate"/>
      </w:r>
      <w:r>
        <w:rPr>
          <w:rFonts w:hint="default" w:eastAsia="仿宋_GB2312"/>
          <w:color w:val="auto"/>
          <w:spacing w:val="6"/>
          <w:sz w:val="28"/>
          <w:szCs w:val="28"/>
        </w:rPr>
        <w:t>张艳猛</w:t>
      </w:r>
      <w:r>
        <w:rPr>
          <w:rFonts w:hint="default" w:eastAsia="仿宋_GB2312"/>
          <w:color w:val="auto"/>
          <w:spacing w:val="6"/>
          <w:sz w:val="28"/>
          <w:szCs w:val="28"/>
        </w:rPr>
        <w:fldChar w:fldCharType="end"/>
      </w:r>
    </w:p>
    <w:p>
      <w:pPr>
        <w:spacing w:line="360" w:lineRule="auto"/>
        <w:ind w:firstLine="786" w:firstLineChars="281"/>
        <w:rPr>
          <w:rFonts w:eastAsia="仿宋_GB2312"/>
          <w:color w:val="auto"/>
          <w:sz w:val="28"/>
          <w:szCs w:val="28"/>
        </w:rPr>
      </w:pPr>
    </w:p>
    <w:p>
      <w:pPr>
        <w:spacing w:line="360" w:lineRule="auto"/>
        <w:rPr>
          <w:rFonts w:eastAsia="仿宋_GB2312"/>
          <w:color w:val="auto"/>
          <w:sz w:val="28"/>
          <w:szCs w:val="28"/>
        </w:rPr>
      </w:pPr>
      <w:r>
        <w:rPr>
          <w:rFonts w:eastAsia="仿宋_GB2312"/>
          <w:color w:val="auto"/>
          <w:sz w:val="28"/>
          <w:szCs w:val="28"/>
        </w:rPr>
        <w:t>地      址：</w:t>
      </w:r>
      <w:r>
        <w:rPr>
          <w:rFonts w:hint="eastAsia" w:eastAsia="仿宋_GB2312"/>
          <w:color w:val="auto"/>
          <w:sz w:val="28"/>
          <w:szCs w:val="28"/>
          <w:lang w:val="en-US" w:eastAsia="zh-CN"/>
        </w:rPr>
        <w:t xml:space="preserve">白山市抚松县德胜村道口 </w:t>
      </w:r>
      <w:r>
        <w:rPr>
          <w:rFonts w:hint="default" w:eastAsia="仿宋_GB2312"/>
          <w:color w:val="auto"/>
          <w:sz w:val="28"/>
          <w:szCs w:val="28"/>
          <w:lang w:val="en-US" w:eastAsia="zh-CN"/>
        </w:rPr>
        <w:t xml:space="preserve">504 </w:t>
      </w:r>
      <w:r>
        <w:rPr>
          <w:rFonts w:hint="eastAsia" w:eastAsia="仿宋_GB2312"/>
          <w:color w:val="auto"/>
          <w:sz w:val="28"/>
          <w:szCs w:val="28"/>
          <w:lang w:val="en-US" w:eastAsia="zh-CN"/>
        </w:rPr>
        <w:t>国道东侧</w:t>
      </w:r>
    </w:p>
    <w:p>
      <w:pPr>
        <w:spacing w:line="360" w:lineRule="auto"/>
        <w:rPr>
          <w:rFonts w:eastAsia="仿宋_GB2312"/>
          <w:color w:val="auto"/>
          <w:spacing w:val="6"/>
          <w:sz w:val="28"/>
          <w:szCs w:val="28"/>
        </w:rPr>
      </w:pPr>
    </w:p>
    <w:p>
      <w:pPr>
        <w:spacing w:line="360" w:lineRule="auto"/>
        <w:rPr>
          <w:rFonts w:eastAsia="仿宋_GB2312"/>
          <w:color w:val="auto"/>
          <w:spacing w:val="6"/>
          <w:sz w:val="28"/>
          <w:szCs w:val="28"/>
        </w:rPr>
      </w:pPr>
      <w:r>
        <w:rPr>
          <w:rFonts w:eastAsia="仿宋_GB2312"/>
          <w:color w:val="auto"/>
          <w:spacing w:val="6"/>
          <w:sz w:val="28"/>
          <w:szCs w:val="28"/>
        </w:rPr>
        <w:t>联  系  人：</w:t>
      </w:r>
      <w:r>
        <w:rPr>
          <w:rFonts w:hint="eastAsia" w:eastAsia="仿宋_GB2312"/>
          <w:color w:val="auto"/>
          <w:spacing w:val="6"/>
          <w:sz w:val="28"/>
          <w:szCs w:val="28"/>
          <w:lang w:val="en-US" w:eastAsia="zh-CN"/>
        </w:rPr>
        <w:t>张玲</w:t>
      </w:r>
    </w:p>
    <w:p>
      <w:pPr>
        <w:spacing w:line="360" w:lineRule="auto"/>
        <w:ind w:firstLine="786" w:firstLineChars="281"/>
        <w:rPr>
          <w:rFonts w:eastAsia="仿宋_GB2312"/>
          <w:color w:val="auto"/>
          <w:sz w:val="28"/>
          <w:szCs w:val="28"/>
        </w:rPr>
      </w:pPr>
    </w:p>
    <w:p>
      <w:pPr>
        <w:spacing w:line="360" w:lineRule="auto"/>
        <w:rPr>
          <w:rFonts w:eastAsia="仿宋_GB2312"/>
          <w:color w:val="auto"/>
          <w:sz w:val="28"/>
          <w:szCs w:val="28"/>
        </w:rPr>
      </w:pPr>
      <w:r>
        <w:rPr>
          <w:rFonts w:eastAsia="仿宋_GB2312"/>
          <w:color w:val="auto"/>
          <w:sz w:val="28"/>
          <w:szCs w:val="28"/>
        </w:rPr>
        <w:t>电       话：</w:t>
      </w:r>
      <w:r>
        <w:rPr>
          <w:rFonts w:hint="default" w:eastAsia="仿宋_GB2312"/>
          <w:color w:val="auto"/>
          <w:sz w:val="28"/>
          <w:szCs w:val="28"/>
          <w:lang w:val="en-US" w:eastAsia="zh-CN"/>
        </w:rPr>
        <w:t xml:space="preserve">18743983907 </w:t>
      </w:r>
    </w:p>
    <w:p>
      <w:pPr>
        <w:spacing w:line="360" w:lineRule="auto"/>
        <w:ind w:firstLine="786" w:firstLineChars="281"/>
        <w:rPr>
          <w:rFonts w:eastAsia="仿宋_GB2312"/>
          <w:color w:val="auto"/>
          <w:sz w:val="28"/>
          <w:szCs w:val="28"/>
        </w:rPr>
      </w:pPr>
    </w:p>
    <w:p>
      <w:pPr>
        <w:tabs>
          <w:tab w:val="left" w:pos="3405"/>
        </w:tabs>
        <w:spacing w:line="360" w:lineRule="auto"/>
        <w:rPr>
          <w:rFonts w:eastAsia="仿宋_GB2312"/>
          <w:color w:val="auto"/>
          <w:sz w:val="28"/>
          <w:szCs w:val="28"/>
        </w:rPr>
      </w:pPr>
      <w:r>
        <w:rPr>
          <w:rFonts w:eastAsia="仿宋_GB2312"/>
          <w:color w:val="auto"/>
          <w:sz w:val="28"/>
          <w:szCs w:val="28"/>
        </w:rPr>
        <w:t>时       间：</w:t>
      </w:r>
      <w:r>
        <w:rPr>
          <w:rFonts w:eastAsia="仿宋_GB2312"/>
          <w:color w:val="auto"/>
          <w:sz w:val="28"/>
          <w:szCs w:val="28"/>
          <w:highlight w:val="none"/>
        </w:rPr>
        <w:t>202</w:t>
      </w:r>
      <w:r>
        <w:rPr>
          <w:rFonts w:hint="eastAsia" w:eastAsia="仿宋_GB2312"/>
          <w:color w:val="auto"/>
          <w:sz w:val="28"/>
          <w:szCs w:val="28"/>
          <w:highlight w:val="none"/>
          <w:lang w:val="en-US" w:eastAsia="zh-CN"/>
        </w:rPr>
        <w:t>3</w:t>
      </w:r>
      <w:r>
        <w:rPr>
          <w:rFonts w:eastAsia="仿宋_GB2312"/>
          <w:color w:val="auto"/>
          <w:sz w:val="28"/>
          <w:szCs w:val="28"/>
          <w:highlight w:val="none"/>
        </w:rPr>
        <w:t>年</w:t>
      </w:r>
      <w:r>
        <w:rPr>
          <w:rFonts w:hint="eastAsia" w:eastAsia="仿宋_GB2312"/>
          <w:color w:val="auto"/>
          <w:sz w:val="28"/>
          <w:szCs w:val="28"/>
          <w:highlight w:val="none"/>
          <w:lang w:val="en-US" w:eastAsia="zh-CN"/>
        </w:rPr>
        <w:t>06</w:t>
      </w:r>
      <w:r>
        <w:rPr>
          <w:rFonts w:eastAsia="仿宋_GB2312"/>
          <w:color w:val="auto"/>
          <w:sz w:val="28"/>
          <w:szCs w:val="28"/>
          <w:highlight w:val="none"/>
        </w:rPr>
        <w:t>月</w:t>
      </w:r>
    </w:p>
    <w:p>
      <w:pPr>
        <w:pStyle w:val="20"/>
        <w:tabs>
          <w:tab w:val="right" w:leader="dot" w:pos="8400"/>
        </w:tabs>
        <w:ind w:left="480"/>
        <w:rPr>
          <w:color w:val="auto"/>
          <w:sz w:val="28"/>
          <w:szCs w:val="28"/>
        </w:rPr>
      </w:pPr>
    </w:p>
    <w:p>
      <w:pPr>
        <w:jc w:val="center"/>
        <w:rPr>
          <w:rFonts w:eastAsia="仿宋_GB2312"/>
          <w:color w:val="auto"/>
          <w:sz w:val="28"/>
          <w:szCs w:val="28"/>
        </w:rPr>
      </w:pPr>
    </w:p>
    <w:p>
      <w:pPr>
        <w:jc w:val="both"/>
        <w:rPr>
          <w:rFonts w:eastAsia="仿宋_GB2312"/>
          <w:color w:val="auto"/>
          <w:sz w:val="28"/>
          <w:szCs w:val="28"/>
        </w:rPr>
      </w:pPr>
    </w:p>
    <w:p>
      <w:pPr>
        <w:jc w:val="center"/>
        <w:rPr>
          <w:rFonts w:eastAsia="仿宋_GB2312"/>
          <w:color w:val="auto"/>
          <w:sz w:val="28"/>
          <w:szCs w:val="28"/>
        </w:rPr>
      </w:pPr>
    </w:p>
    <w:p>
      <w:pPr>
        <w:jc w:val="center"/>
        <w:rPr>
          <w:rFonts w:eastAsia="仿宋_GB2312"/>
          <w:color w:val="auto"/>
          <w:sz w:val="28"/>
          <w:szCs w:val="28"/>
        </w:rPr>
      </w:pPr>
    </w:p>
    <w:p>
      <w:pPr>
        <w:jc w:val="center"/>
        <w:rPr>
          <w:rFonts w:eastAsia="仿宋_GB2312"/>
          <w:color w:val="auto"/>
          <w:sz w:val="28"/>
          <w:szCs w:val="28"/>
        </w:rPr>
      </w:pPr>
      <w:r>
        <w:rPr>
          <w:rFonts w:eastAsia="仿宋_GB2312"/>
          <w:color w:val="auto"/>
          <w:sz w:val="28"/>
          <w:szCs w:val="28"/>
        </w:rPr>
        <w:t>中华人民共和国水利部制</w:t>
      </w:r>
    </w:p>
    <w:p>
      <w:pPr>
        <w:jc w:val="center"/>
        <w:rPr>
          <w:rFonts w:hint="eastAsia" w:eastAsia="仿宋_GB2312"/>
          <w:b/>
          <w:bCs/>
          <w:color w:val="auto"/>
          <w:sz w:val="21"/>
          <w:szCs w:val="21"/>
          <w:lang w:eastAsia="zh-CN"/>
        </w:rPr>
      </w:pPr>
    </w:p>
    <w:p>
      <w:pPr>
        <w:jc w:val="center"/>
        <w:rPr>
          <w:rFonts w:hint="eastAsia" w:eastAsia="仿宋_GB2312"/>
          <w:b/>
          <w:bCs/>
          <w:color w:val="auto"/>
          <w:sz w:val="21"/>
          <w:szCs w:val="21"/>
          <w:lang w:eastAsia="zh-CN"/>
        </w:rPr>
      </w:pPr>
    </w:p>
    <w:p>
      <w:pPr>
        <w:jc w:val="center"/>
        <w:rPr>
          <w:rFonts w:hint="eastAsia" w:eastAsia="仿宋_GB2312"/>
          <w:b/>
          <w:bCs/>
          <w:color w:val="auto"/>
          <w:sz w:val="21"/>
          <w:szCs w:val="21"/>
          <w:lang w:eastAsia="zh-CN"/>
        </w:rPr>
      </w:pPr>
    </w:p>
    <w:p>
      <w:pPr>
        <w:jc w:val="center"/>
        <w:rPr>
          <w:rFonts w:eastAsia="仿宋_GB2312"/>
          <w:color w:val="auto"/>
          <w:szCs w:val="24"/>
        </w:rPr>
      </w:pPr>
      <w:r>
        <w:rPr>
          <w:rFonts w:hint="eastAsia" w:eastAsia="仿宋_GB2312"/>
          <w:b/>
          <w:bCs/>
          <w:color w:val="auto"/>
          <w:sz w:val="21"/>
          <w:szCs w:val="21"/>
          <w:lang w:eastAsia="zh-CN"/>
        </w:rPr>
        <w:t>吉林省鼎生工程有限公司水泥碎石制品建设项目</w:t>
      </w:r>
      <w:r>
        <w:rPr>
          <w:rFonts w:eastAsia="仿宋_GB2312"/>
          <w:b/>
          <w:bCs/>
          <w:color w:val="auto"/>
          <w:sz w:val="21"/>
          <w:szCs w:val="21"/>
        </w:rPr>
        <w:t>水土保持方案报告表</w:t>
      </w:r>
    </w:p>
    <w:tbl>
      <w:tblPr>
        <w:tblStyle w:val="24"/>
        <w:tblW w:w="873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82"/>
        <w:gridCol w:w="752"/>
        <w:gridCol w:w="1230"/>
        <w:gridCol w:w="1135"/>
        <w:gridCol w:w="11"/>
        <w:gridCol w:w="252"/>
        <w:gridCol w:w="574"/>
        <w:gridCol w:w="422"/>
        <w:gridCol w:w="568"/>
        <w:gridCol w:w="450"/>
        <w:gridCol w:w="713"/>
        <w:gridCol w:w="240"/>
        <w:gridCol w:w="469"/>
        <w:gridCol w:w="9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restart"/>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项</w:t>
            </w:r>
          </w:p>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目</w:t>
            </w:r>
          </w:p>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概</w:t>
            </w:r>
          </w:p>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况</w:t>
            </w: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位置</w:t>
            </w:r>
          </w:p>
        </w:tc>
        <w:tc>
          <w:tcPr>
            <w:tcW w:w="5768" w:type="dxa"/>
            <w:gridSpan w:val="11"/>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sz w:val="18"/>
                <w:szCs w:val="18"/>
                <w:highlight w:val="none"/>
              </w:rPr>
              <w:t>本项目位于</w:t>
            </w:r>
            <w:r>
              <w:rPr>
                <w:rFonts w:hint="default" w:eastAsia="仿宋_GB2312"/>
                <w:color w:val="auto"/>
                <w:sz w:val="18"/>
                <w:szCs w:val="18"/>
                <w:highlight w:val="none"/>
                <w:lang w:eastAsia="zh-CN"/>
              </w:rPr>
              <w:t>白山市抚松县德胜村道口504国道东侧，租赁原民富砖瓦陶瓷厂空地</w:t>
            </w:r>
            <w:r>
              <w:rPr>
                <w:rFonts w:hint="eastAsia" w:eastAsia="仿宋_GB2312"/>
                <w:color w:val="auto"/>
                <w:sz w:val="18"/>
                <w:szCs w:val="18"/>
                <w:highlight w:val="none"/>
                <w:lang w:eastAsia="zh-CN"/>
              </w:rPr>
              <w:t>。</w:t>
            </w:r>
            <w:r>
              <w:rPr>
                <w:rFonts w:hint="eastAsia" w:eastAsia="仿宋_GB2312"/>
                <w:color w:val="auto"/>
                <w:sz w:val="18"/>
                <w:szCs w:val="18"/>
                <w:highlight w:val="none"/>
                <w:lang w:val="en-US" w:eastAsia="zh-CN"/>
              </w:rPr>
              <w:t>厂址东至荒地，南至荒地，西至荒地，北至荒地，</w:t>
            </w:r>
            <w:r>
              <w:rPr>
                <w:rFonts w:hint="default" w:eastAsia="仿宋_GB2312"/>
                <w:color w:val="auto"/>
                <w:sz w:val="18"/>
                <w:szCs w:val="18"/>
                <w:highlight w:val="none"/>
                <w:lang w:eastAsia="zh-CN"/>
              </w:rPr>
              <w:t>项目区</w:t>
            </w:r>
            <w:r>
              <w:rPr>
                <w:rFonts w:hint="eastAsia" w:eastAsia="仿宋_GB2312"/>
                <w:color w:val="auto"/>
                <w:sz w:val="18"/>
                <w:szCs w:val="18"/>
                <w:highlight w:val="none"/>
                <w:lang w:val="en-US" w:eastAsia="zh-CN"/>
              </w:rPr>
              <w:t>中心</w:t>
            </w:r>
            <w:r>
              <w:rPr>
                <w:rFonts w:hint="default" w:eastAsia="仿宋_GB2312"/>
                <w:color w:val="auto"/>
                <w:sz w:val="18"/>
                <w:szCs w:val="18"/>
                <w:highlight w:val="none"/>
                <w:lang w:eastAsia="zh-CN"/>
              </w:rPr>
              <w:t>地理坐标：东经127°23'24.46"，北纬42°14'11.35"</w:t>
            </w:r>
            <w:r>
              <w:rPr>
                <w:rFonts w:eastAsia="仿宋_GB2312"/>
                <w:color w:val="auto"/>
                <w:kern w:val="2"/>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建设内容</w:t>
            </w:r>
          </w:p>
        </w:tc>
        <w:tc>
          <w:tcPr>
            <w:tcW w:w="5768" w:type="dxa"/>
            <w:gridSpan w:val="11"/>
            <w:vAlign w:val="center"/>
          </w:tcPr>
          <w:p>
            <w:pPr>
              <w:adjustRightInd/>
              <w:snapToGrid w:val="0"/>
              <w:spacing w:line="240" w:lineRule="auto"/>
              <w:jc w:val="center"/>
              <w:textAlignment w:val="auto"/>
              <w:rPr>
                <w:rFonts w:eastAsia="仿宋_GB2312"/>
                <w:color w:val="auto"/>
                <w:kern w:val="2"/>
                <w:sz w:val="18"/>
                <w:szCs w:val="18"/>
                <w:highlight w:val="none"/>
              </w:rPr>
            </w:pPr>
            <w:r>
              <w:rPr>
                <w:rFonts w:hint="eastAsia" w:eastAsia="仿宋_GB2312"/>
                <w:color w:val="auto"/>
                <w:sz w:val="18"/>
                <w:szCs w:val="18"/>
                <w:highlight w:val="none"/>
                <w:lang w:val="en-US" w:eastAsia="zh-CN"/>
              </w:rPr>
              <w:t>本项目总用</w:t>
            </w:r>
            <w:r>
              <w:rPr>
                <w:rFonts w:hint="eastAsia" w:eastAsia="仿宋_GB2312"/>
                <w:color w:val="auto"/>
                <w:sz w:val="18"/>
                <w:szCs w:val="18"/>
                <w:highlight w:val="none"/>
                <w:lang w:eastAsia="zh-CN"/>
              </w:rPr>
              <w:t>地面积6664m</w:t>
            </w:r>
            <w:r>
              <w:rPr>
                <w:rFonts w:hint="eastAsia" w:eastAsia="仿宋_GB2312"/>
                <w:color w:val="auto"/>
                <w:sz w:val="18"/>
                <w:szCs w:val="18"/>
                <w:highlight w:val="none"/>
                <w:vertAlign w:val="superscript"/>
                <w:lang w:eastAsia="zh-CN"/>
              </w:rPr>
              <w:t>2</w:t>
            </w:r>
            <w:r>
              <w:rPr>
                <w:rFonts w:hint="eastAsia" w:eastAsia="仿宋_GB2312"/>
                <w:color w:val="auto"/>
                <w:sz w:val="18"/>
                <w:szCs w:val="18"/>
                <w:highlight w:val="none"/>
                <w:lang w:eastAsia="zh-CN"/>
              </w:rPr>
              <w:t>，</w:t>
            </w:r>
            <w:r>
              <w:rPr>
                <w:rFonts w:hint="eastAsia" w:eastAsia="仿宋_GB2312"/>
                <w:color w:val="auto"/>
                <w:sz w:val="18"/>
                <w:szCs w:val="18"/>
                <w:highlight w:val="none"/>
                <w:lang w:val="en-US" w:eastAsia="zh-CN"/>
              </w:rPr>
              <w:t>总</w:t>
            </w:r>
            <w:r>
              <w:rPr>
                <w:rFonts w:hint="eastAsia" w:eastAsia="仿宋_GB2312"/>
                <w:color w:val="auto"/>
                <w:sz w:val="18"/>
                <w:szCs w:val="18"/>
                <w:highlight w:val="none"/>
                <w:lang w:eastAsia="zh-CN"/>
              </w:rPr>
              <w:t>建筑面积1100m</w:t>
            </w:r>
            <w:r>
              <w:rPr>
                <w:rFonts w:hint="eastAsia" w:eastAsia="仿宋_GB2312"/>
                <w:color w:val="auto"/>
                <w:sz w:val="18"/>
                <w:szCs w:val="18"/>
                <w:highlight w:val="none"/>
                <w:vertAlign w:val="superscript"/>
                <w:lang w:eastAsia="zh-CN"/>
              </w:rPr>
              <w:t>2</w:t>
            </w:r>
            <w:r>
              <w:rPr>
                <w:rFonts w:hint="eastAsia" w:eastAsia="仿宋_GB2312"/>
                <w:color w:val="auto"/>
                <w:sz w:val="18"/>
                <w:szCs w:val="18"/>
                <w:highlight w:val="none"/>
                <w:lang w:eastAsia="zh-CN"/>
              </w:rPr>
              <w:t>，</w:t>
            </w:r>
            <w:r>
              <w:rPr>
                <w:rFonts w:hint="eastAsia" w:eastAsia="仿宋_GB2312"/>
                <w:color w:val="auto"/>
                <w:sz w:val="18"/>
                <w:szCs w:val="18"/>
                <w:highlight w:val="none"/>
                <w:lang w:val="en-US" w:eastAsia="zh-CN"/>
              </w:rPr>
              <w:t>建（构）筑物基底面积1219</w:t>
            </w:r>
            <w:r>
              <w:rPr>
                <w:rFonts w:hint="eastAsia" w:eastAsia="仿宋_GB2312"/>
                <w:color w:val="auto"/>
                <w:sz w:val="18"/>
                <w:szCs w:val="18"/>
                <w:highlight w:val="none"/>
                <w:lang w:eastAsia="zh-CN"/>
              </w:rPr>
              <w:t>m</w:t>
            </w:r>
            <w:r>
              <w:rPr>
                <w:rFonts w:hint="eastAsia" w:eastAsia="仿宋_GB2312"/>
                <w:color w:val="auto"/>
                <w:sz w:val="18"/>
                <w:szCs w:val="18"/>
                <w:highlight w:val="none"/>
                <w:vertAlign w:val="superscript"/>
                <w:lang w:eastAsia="zh-CN"/>
              </w:rPr>
              <w:t>2</w:t>
            </w:r>
            <w:r>
              <w:rPr>
                <w:rFonts w:hint="eastAsia" w:eastAsia="仿宋_GB2312"/>
                <w:color w:val="auto"/>
                <w:sz w:val="18"/>
                <w:szCs w:val="18"/>
                <w:highlight w:val="none"/>
                <w:lang w:eastAsia="zh-CN"/>
              </w:rPr>
              <w:t>，</w:t>
            </w:r>
            <w:r>
              <w:rPr>
                <w:rFonts w:hint="eastAsia" w:eastAsia="仿宋_GB2312"/>
                <w:color w:val="auto"/>
                <w:sz w:val="18"/>
                <w:szCs w:val="18"/>
                <w:highlight w:val="none"/>
                <w:lang w:val="en-US" w:eastAsia="zh-CN"/>
              </w:rPr>
              <w:t>道路及硬化区域面积5445</w:t>
            </w:r>
            <w:r>
              <w:rPr>
                <w:rFonts w:hint="eastAsia" w:eastAsia="仿宋_GB2312"/>
                <w:color w:val="auto"/>
                <w:sz w:val="18"/>
                <w:szCs w:val="18"/>
                <w:highlight w:val="none"/>
                <w:lang w:val="en-US" w:eastAsia="zh-CN"/>
              </w:rPr>
              <w:t>m</w:t>
            </w:r>
            <w:r>
              <w:rPr>
                <w:rFonts w:hint="eastAsia" w:eastAsia="仿宋_GB2312"/>
                <w:color w:val="auto"/>
                <w:sz w:val="18"/>
                <w:szCs w:val="18"/>
                <w:highlight w:val="none"/>
                <w:vertAlign w:val="superscript"/>
                <w:lang w:val="en-US" w:eastAsia="zh-CN"/>
              </w:rPr>
              <w:t>2</w:t>
            </w:r>
            <w:r>
              <w:rPr>
                <w:rFonts w:hint="eastAsia" w:eastAsia="仿宋_GB2312"/>
                <w:color w:val="auto"/>
                <w:sz w:val="18"/>
                <w:szCs w:val="18"/>
                <w:highlight w:val="none"/>
                <w:lang w:val="en-US" w:eastAsia="zh-CN"/>
              </w:rPr>
              <w:t>。本项目主要建设内容包括：</w:t>
            </w:r>
            <w:r>
              <w:rPr>
                <w:rFonts w:hint="default" w:eastAsia="仿宋_GB2312"/>
                <w:color w:val="auto"/>
                <w:sz w:val="18"/>
                <w:szCs w:val="18"/>
                <w:highlight w:val="none"/>
                <w:lang w:val="en-US" w:eastAsia="zh-CN"/>
              </w:rPr>
              <w:t>混凝土搅拌站生产线</w:t>
            </w:r>
            <w:r>
              <w:rPr>
                <w:rFonts w:hint="eastAsia" w:eastAsia="仿宋_GB2312"/>
                <w:color w:val="auto"/>
                <w:sz w:val="18"/>
                <w:szCs w:val="18"/>
                <w:highlight w:val="none"/>
                <w:lang w:val="en-US" w:eastAsia="zh-CN"/>
              </w:rPr>
              <w:t>1条</w:t>
            </w:r>
            <w:r>
              <w:rPr>
                <w:rFonts w:hint="default" w:eastAsia="仿宋_GB2312"/>
                <w:color w:val="auto"/>
                <w:sz w:val="18"/>
                <w:szCs w:val="18"/>
                <w:highlight w:val="none"/>
                <w:lang w:val="en-US" w:eastAsia="zh-CN"/>
              </w:rPr>
              <w:t>、稳定土搅拌站生产线</w:t>
            </w:r>
            <w:r>
              <w:rPr>
                <w:rFonts w:hint="eastAsia" w:eastAsia="仿宋_GB2312"/>
                <w:color w:val="auto"/>
                <w:sz w:val="18"/>
                <w:szCs w:val="18"/>
                <w:highlight w:val="none"/>
                <w:lang w:val="en-US" w:eastAsia="zh-CN"/>
              </w:rPr>
              <w:t>1条</w:t>
            </w:r>
            <w:r>
              <w:rPr>
                <w:rFonts w:hint="default" w:eastAsia="仿宋_GB2312"/>
                <w:color w:val="auto"/>
                <w:sz w:val="18"/>
                <w:szCs w:val="18"/>
                <w:highlight w:val="none"/>
                <w:lang w:val="en-US" w:eastAsia="zh-CN"/>
              </w:rPr>
              <w:t>、碎石生产线</w:t>
            </w:r>
            <w:r>
              <w:rPr>
                <w:rFonts w:hint="eastAsia" w:eastAsia="仿宋_GB2312"/>
                <w:color w:val="auto"/>
                <w:sz w:val="18"/>
                <w:szCs w:val="18"/>
                <w:highlight w:val="none"/>
                <w:lang w:val="en-US" w:eastAsia="zh-CN"/>
              </w:rPr>
              <w:t>1条</w:t>
            </w:r>
            <w:r>
              <w:rPr>
                <w:rFonts w:hint="default" w:eastAsia="仿宋_GB2312"/>
                <w:color w:val="auto"/>
                <w:sz w:val="18"/>
                <w:szCs w:val="18"/>
                <w:highlight w:val="none"/>
                <w:lang w:val="en-US" w:eastAsia="zh-CN"/>
              </w:rPr>
              <w:t>，办公室</w:t>
            </w:r>
            <w:r>
              <w:rPr>
                <w:rFonts w:hint="eastAsia" w:eastAsia="仿宋_GB2312"/>
                <w:color w:val="auto"/>
                <w:sz w:val="18"/>
                <w:szCs w:val="18"/>
                <w:highlight w:val="none"/>
                <w:lang w:val="en-US" w:eastAsia="zh-CN"/>
              </w:rPr>
              <w:t>1座</w:t>
            </w:r>
            <w:r>
              <w:rPr>
                <w:rFonts w:hint="default" w:eastAsia="仿宋_GB2312"/>
                <w:color w:val="auto"/>
                <w:sz w:val="18"/>
                <w:szCs w:val="18"/>
                <w:highlight w:val="none"/>
                <w:lang w:val="en-US" w:eastAsia="zh-CN"/>
              </w:rPr>
              <w:t>、试验室</w:t>
            </w:r>
            <w:r>
              <w:rPr>
                <w:rFonts w:hint="eastAsia" w:eastAsia="仿宋_GB2312"/>
                <w:color w:val="auto"/>
                <w:sz w:val="18"/>
                <w:szCs w:val="18"/>
                <w:highlight w:val="none"/>
                <w:lang w:val="en-US" w:eastAsia="zh-CN"/>
              </w:rPr>
              <w:t>1座</w:t>
            </w:r>
            <w:r>
              <w:rPr>
                <w:rFonts w:hint="default" w:eastAsia="仿宋_GB2312"/>
                <w:color w:val="auto"/>
                <w:sz w:val="18"/>
                <w:szCs w:val="18"/>
                <w:highlight w:val="none"/>
                <w:lang w:val="en-US" w:eastAsia="zh-CN"/>
              </w:rPr>
              <w:t>以及贮料场</w:t>
            </w:r>
            <w:r>
              <w:rPr>
                <w:rFonts w:hint="eastAsia" w:eastAsia="仿宋_GB2312"/>
                <w:color w:val="auto"/>
                <w:sz w:val="18"/>
                <w:szCs w:val="18"/>
                <w:highlight w:val="none"/>
                <w:lang w:val="en-US" w:eastAsia="zh-CN"/>
              </w:rPr>
              <w:t>1处。</w:t>
            </w:r>
            <w:r>
              <w:rPr>
                <w:rFonts w:hint="eastAsia" w:eastAsia="仿宋_GB2312"/>
                <w:color w:val="auto"/>
                <w:sz w:val="18"/>
                <w:szCs w:val="18"/>
                <w:highlight w:val="none"/>
                <w:lang w:eastAsia="zh-CN"/>
              </w:rPr>
              <w:t>项目建成后产品规模为年产商品混凝土10万m</w:t>
            </w:r>
            <w:r>
              <w:rPr>
                <w:rFonts w:hint="eastAsia" w:eastAsia="仿宋_GB2312"/>
                <w:color w:val="auto"/>
                <w:sz w:val="18"/>
                <w:szCs w:val="18"/>
                <w:highlight w:val="none"/>
                <w:vertAlign w:val="superscript"/>
                <w:lang w:eastAsia="zh-CN"/>
              </w:rPr>
              <w:t>3</w:t>
            </w:r>
            <w:r>
              <w:rPr>
                <w:rFonts w:hint="eastAsia" w:eastAsia="仿宋_GB2312"/>
                <w:color w:val="auto"/>
                <w:sz w:val="18"/>
                <w:szCs w:val="18"/>
                <w:highlight w:val="none"/>
                <w:lang w:eastAsia="zh-CN"/>
              </w:rPr>
              <w:t>/a、稳定</w:t>
            </w:r>
            <w:r>
              <w:rPr>
                <w:rFonts w:hint="eastAsia" w:eastAsia="仿宋_GB2312"/>
                <w:color w:val="auto"/>
                <w:sz w:val="18"/>
                <w:szCs w:val="18"/>
                <w:highlight w:val="none"/>
                <w:lang w:eastAsia="zh-CN"/>
              </w:rPr>
              <w:t>土8万m</w:t>
            </w:r>
            <w:r>
              <w:rPr>
                <w:rFonts w:hint="eastAsia" w:eastAsia="仿宋_GB2312"/>
                <w:color w:val="auto"/>
                <w:sz w:val="18"/>
                <w:szCs w:val="18"/>
                <w:highlight w:val="none"/>
                <w:vertAlign w:val="superscript"/>
                <w:lang w:eastAsia="zh-CN"/>
              </w:rPr>
              <w:t>3</w:t>
            </w:r>
            <w:r>
              <w:rPr>
                <w:rFonts w:hint="eastAsia" w:eastAsia="仿宋_GB2312"/>
                <w:color w:val="auto"/>
                <w:sz w:val="18"/>
                <w:szCs w:val="18"/>
                <w:highlight w:val="none"/>
                <w:lang w:eastAsia="zh-CN"/>
              </w:rPr>
              <w:t>/a，碎石13万m</w:t>
            </w:r>
            <w:r>
              <w:rPr>
                <w:rFonts w:hint="eastAsia" w:eastAsia="仿宋_GB2312"/>
                <w:color w:val="auto"/>
                <w:sz w:val="18"/>
                <w:szCs w:val="18"/>
                <w:highlight w:val="none"/>
                <w:vertAlign w:val="superscript"/>
                <w:lang w:eastAsia="zh-CN"/>
              </w:rPr>
              <w:t>3</w:t>
            </w:r>
            <w:r>
              <w:rPr>
                <w:rFonts w:hint="eastAsia" w:eastAsia="仿宋_GB2312"/>
                <w:color w:val="auto"/>
                <w:sz w:val="18"/>
                <w:szCs w:val="18"/>
                <w:highlight w:val="none"/>
                <w:lang w:eastAsia="zh-CN"/>
              </w:rPr>
              <w:t>/a（其中8万m</w:t>
            </w:r>
            <w:r>
              <w:rPr>
                <w:rFonts w:hint="eastAsia" w:eastAsia="仿宋_GB2312"/>
                <w:color w:val="auto"/>
                <w:sz w:val="18"/>
                <w:szCs w:val="18"/>
                <w:highlight w:val="none"/>
                <w:vertAlign w:val="superscript"/>
                <w:lang w:eastAsia="zh-CN"/>
              </w:rPr>
              <w:t>3</w:t>
            </w:r>
            <w:r>
              <w:rPr>
                <w:rFonts w:hint="eastAsia" w:eastAsia="仿宋_GB2312"/>
                <w:color w:val="auto"/>
                <w:sz w:val="18"/>
                <w:szCs w:val="18"/>
                <w:highlight w:val="none"/>
                <w:lang w:eastAsia="zh-CN"/>
              </w:rPr>
              <w:t>/a自用，5万m</w:t>
            </w:r>
            <w:r>
              <w:rPr>
                <w:rFonts w:hint="eastAsia" w:eastAsia="仿宋_GB2312"/>
                <w:color w:val="auto"/>
                <w:sz w:val="18"/>
                <w:szCs w:val="18"/>
                <w:highlight w:val="none"/>
                <w:vertAlign w:val="superscript"/>
                <w:lang w:eastAsia="zh-CN"/>
              </w:rPr>
              <w:t>3</w:t>
            </w:r>
            <w:r>
              <w:rPr>
                <w:rFonts w:hint="eastAsia" w:eastAsia="仿宋_GB2312"/>
                <w:color w:val="auto"/>
                <w:sz w:val="18"/>
                <w:szCs w:val="18"/>
                <w:highlight w:val="none"/>
                <w:lang w:eastAsia="zh-CN"/>
              </w:rPr>
              <w:t>/a外售）</w:t>
            </w:r>
            <w:r>
              <w:rPr>
                <w:rFonts w:eastAsia="仿宋_GB2312"/>
                <w:color w:val="auto"/>
                <w:kern w:val="2"/>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建设性质</w:t>
            </w:r>
          </w:p>
        </w:tc>
        <w:tc>
          <w:tcPr>
            <w:tcW w:w="1972"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新建建设类</w:t>
            </w:r>
          </w:p>
        </w:tc>
        <w:tc>
          <w:tcPr>
            <w:tcW w:w="2153"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总投资（万元）</w:t>
            </w:r>
          </w:p>
        </w:tc>
        <w:tc>
          <w:tcPr>
            <w:tcW w:w="1643" w:type="dxa"/>
            <w:gridSpan w:val="3"/>
            <w:vAlign w:val="center"/>
          </w:tcPr>
          <w:p>
            <w:pPr>
              <w:adjustRightInd/>
              <w:snapToGrid w:val="0"/>
              <w:spacing w:line="240" w:lineRule="auto"/>
              <w:jc w:val="center"/>
              <w:textAlignment w:val="auto"/>
              <w:rPr>
                <w:rFonts w:hint="default" w:eastAsia="仿宋_GB2312"/>
                <w:color w:val="auto"/>
                <w:kern w:val="2"/>
                <w:sz w:val="18"/>
                <w:szCs w:val="18"/>
                <w:highlight w:val="none"/>
                <w:lang w:val="en-US" w:eastAsia="zh-CN"/>
              </w:rPr>
            </w:pPr>
            <w:r>
              <w:rPr>
                <w:rFonts w:hint="eastAsia" w:eastAsia="仿宋_GB2312"/>
                <w:color w:val="auto"/>
                <w:kern w:val="2"/>
                <w:sz w:val="18"/>
                <w:szCs w:val="18"/>
                <w:highlight w:val="none"/>
                <w:lang w:val="en-US" w:eastAsia="zh-CN"/>
              </w:rPr>
              <w:t>1000.00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Merge w:val="restart"/>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土建投资（万元）</w:t>
            </w:r>
          </w:p>
        </w:tc>
        <w:tc>
          <w:tcPr>
            <w:tcW w:w="1972" w:type="dxa"/>
            <w:gridSpan w:val="4"/>
            <w:vMerge w:val="restart"/>
            <w:vAlign w:val="center"/>
          </w:tcPr>
          <w:p>
            <w:pPr>
              <w:adjustRightInd/>
              <w:snapToGrid w:val="0"/>
              <w:spacing w:line="240" w:lineRule="auto"/>
              <w:jc w:val="center"/>
              <w:textAlignment w:val="auto"/>
              <w:rPr>
                <w:rFonts w:hint="default" w:eastAsia="仿宋_GB2312"/>
                <w:color w:val="auto"/>
                <w:kern w:val="2"/>
                <w:sz w:val="18"/>
                <w:szCs w:val="18"/>
                <w:highlight w:val="none"/>
                <w:lang w:val="en-US" w:eastAsia="zh-CN"/>
              </w:rPr>
            </w:pPr>
            <w:r>
              <w:rPr>
                <w:rFonts w:hint="eastAsia" w:eastAsia="仿宋_GB2312"/>
                <w:color w:val="auto"/>
                <w:kern w:val="2"/>
                <w:sz w:val="18"/>
                <w:szCs w:val="18"/>
                <w:highlight w:val="none"/>
                <w:lang w:val="en-US" w:eastAsia="zh-CN"/>
              </w:rPr>
              <w:t>184.00</w:t>
            </w:r>
          </w:p>
        </w:tc>
        <w:tc>
          <w:tcPr>
            <w:tcW w:w="2153" w:type="dxa"/>
            <w:gridSpan w:val="4"/>
            <w:vMerge w:val="restart"/>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占地面积（hm</w:t>
            </w:r>
            <w:r>
              <w:rPr>
                <w:rFonts w:eastAsia="仿宋_GB2312"/>
                <w:color w:val="auto"/>
                <w:kern w:val="2"/>
                <w:sz w:val="18"/>
                <w:szCs w:val="18"/>
                <w:highlight w:val="none"/>
                <w:vertAlign w:val="superscript"/>
              </w:rPr>
              <w:t>2</w:t>
            </w:r>
            <w:r>
              <w:rPr>
                <w:rFonts w:eastAsia="仿宋_GB2312"/>
                <w:color w:val="auto"/>
                <w:kern w:val="2"/>
                <w:sz w:val="18"/>
                <w:szCs w:val="18"/>
                <w:highlight w:val="none"/>
              </w:rPr>
              <w:t>）</w:t>
            </w:r>
          </w:p>
        </w:tc>
        <w:tc>
          <w:tcPr>
            <w:tcW w:w="1643" w:type="dxa"/>
            <w:gridSpan w:val="3"/>
            <w:vAlign w:val="center"/>
          </w:tcPr>
          <w:p>
            <w:pPr>
              <w:adjustRightInd/>
              <w:snapToGrid w:val="0"/>
              <w:spacing w:line="240" w:lineRule="auto"/>
              <w:jc w:val="center"/>
              <w:textAlignment w:val="auto"/>
              <w:rPr>
                <w:rFonts w:hint="default" w:eastAsia="仿宋_GB2312"/>
                <w:color w:val="auto"/>
                <w:kern w:val="2"/>
                <w:sz w:val="18"/>
                <w:szCs w:val="18"/>
                <w:highlight w:val="none"/>
                <w:lang w:val="en-US" w:eastAsia="zh-CN"/>
              </w:rPr>
            </w:pPr>
            <w:r>
              <w:rPr>
                <w:rFonts w:eastAsia="仿宋_GB2312"/>
                <w:color w:val="auto"/>
                <w:kern w:val="2"/>
                <w:sz w:val="18"/>
                <w:szCs w:val="18"/>
                <w:highlight w:val="none"/>
              </w:rPr>
              <w:t>永久：</w:t>
            </w:r>
            <w:r>
              <w:rPr>
                <w:rFonts w:hint="eastAsia" w:eastAsia="仿宋_GB2312"/>
                <w:color w:val="auto"/>
                <w:kern w:val="2"/>
                <w:sz w:val="18"/>
                <w:szCs w:val="18"/>
                <w:highlight w:val="none"/>
                <w:lang w:val="en-US" w:eastAsia="zh-CN"/>
              </w:rPr>
              <w:t>0.67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72" w:type="dxa"/>
            <w:gridSpan w:val="4"/>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2153" w:type="dxa"/>
            <w:gridSpan w:val="4"/>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643"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临时：\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动工时间</w:t>
            </w:r>
          </w:p>
        </w:tc>
        <w:tc>
          <w:tcPr>
            <w:tcW w:w="1972"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202</w:t>
            </w:r>
            <w:r>
              <w:rPr>
                <w:rFonts w:hint="eastAsia" w:eastAsia="仿宋_GB2312"/>
                <w:color w:val="auto"/>
                <w:kern w:val="2"/>
                <w:sz w:val="18"/>
                <w:szCs w:val="18"/>
                <w:highlight w:val="none"/>
                <w:lang w:val="en-US" w:eastAsia="zh-CN"/>
              </w:rPr>
              <w:t>2</w:t>
            </w:r>
            <w:r>
              <w:rPr>
                <w:rFonts w:eastAsia="仿宋_GB2312"/>
                <w:color w:val="auto"/>
                <w:kern w:val="2"/>
                <w:sz w:val="18"/>
                <w:szCs w:val="18"/>
                <w:highlight w:val="none"/>
              </w:rPr>
              <w:t>年</w:t>
            </w:r>
            <w:r>
              <w:rPr>
                <w:rFonts w:hint="eastAsia" w:eastAsia="仿宋_GB2312"/>
                <w:color w:val="auto"/>
                <w:kern w:val="2"/>
                <w:sz w:val="18"/>
                <w:szCs w:val="18"/>
                <w:highlight w:val="none"/>
                <w:lang w:val="en-US" w:eastAsia="zh-CN"/>
              </w:rPr>
              <w:t>8</w:t>
            </w:r>
            <w:r>
              <w:rPr>
                <w:rFonts w:eastAsia="仿宋_GB2312"/>
                <w:color w:val="auto"/>
                <w:kern w:val="2"/>
                <w:sz w:val="18"/>
                <w:szCs w:val="18"/>
                <w:highlight w:val="none"/>
              </w:rPr>
              <w:t>月</w:t>
            </w:r>
          </w:p>
        </w:tc>
        <w:tc>
          <w:tcPr>
            <w:tcW w:w="2153"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完工时间</w:t>
            </w:r>
          </w:p>
        </w:tc>
        <w:tc>
          <w:tcPr>
            <w:tcW w:w="1643"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202</w:t>
            </w:r>
            <w:r>
              <w:rPr>
                <w:rFonts w:hint="eastAsia" w:eastAsia="仿宋_GB2312"/>
                <w:color w:val="auto"/>
                <w:kern w:val="2"/>
                <w:sz w:val="18"/>
                <w:szCs w:val="18"/>
                <w:highlight w:val="none"/>
                <w:lang w:val="en-US" w:eastAsia="zh-CN"/>
              </w:rPr>
              <w:t>3</w:t>
            </w:r>
            <w:r>
              <w:rPr>
                <w:rFonts w:eastAsia="仿宋_GB2312"/>
                <w:color w:val="auto"/>
                <w:kern w:val="2"/>
                <w:sz w:val="18"/>
                <w:szCs w:val="18"/>
                <w:highlight w:val="none"/>
              </w:rPr>
              <w:t>年</w:t>
            </w:r>
            <w:r>
              <w:rPr>
                <w:rFonts w:hint="eastAsia" w:eastAsia="仿宋_GB2312"/>
                <w:color w:val="auto"/>
                <w:kern w:val="2"/>
                <w:sz w:val="18"/>
                <w:szCs w:val="18"/>
                <w:highlight w:val="none"/>
              </w:rPr>
              <w:t>0</w:t>
            </w:r>
            <w:r>
              <w:rPr>
                <w:rFonts w:hint="eastAsia" w:eastAsia="仿宋_GB2312"/>
                <w:color w:val="auto"/>
                <w:kern w:val="2"/>
                <w:sz w:val="18"/>
                <w:szCs w:val="18"/>
                <w:highlight w:val="none"/>
                <w:lang w:val="en-US" w:eastAsia="zh-CN"/>
              </w:rPr>
              <w:t>4</w:t>
            </w:r>
            <w:r>
              <w:rPr>
                <w:rFonts w:eastAsia="仿宋_GB2312"/>
                <w:color w:val="auto"/>
                <w:kern w:val="2"/>
                <w:sz w:val="18"/>
                <w:szCs w:val="18"/>
                <w:highlight w:val="none"/>
              </w:rPr>
              <w:t>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Merge w:val="restart"/>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土石方(万m</w:t>
            </w:r>
            <w:r>
              <w:rPr>
                <w:rFonts w:eastAsia="仿宋_GB2312"/>
                <w:color w:val="auto"/>
                <w:kern w:val="2"/>
                <w:sz w:val="18"/>
                <w:szCs w:val="18"/>
                <w:highlight w:val="none"/>
                <w:vertAlign w:val="superscript"/>
              </w:rPr>
              <w:t>3</w:t>
            </w:r>
            <w:r>
              <w:rPr>
                <w:rFonts w:eastAsia="仿宋_GB2312"/>
                <w:color w:val="auto"/>
                <w:kern w:val="2"/>
                <w:sz w:val="18"/>
                <w:szCs w:val="18"/>
                <w:highlight w:val="none"/>
              </w:rPr>
              <w:t>)</w:t>
            </w:r>
          </w:p>
        </w:tc>
        <w:tc>
          <w:tcPr>
            <w:tcW w:w="1135" w:type="dxa"/>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挖方</w:t>
            </w:r>
          </w:p>
        </w:tc>
        <w:tc>
          <w:tcPr>
            <w:tcW w:w="837"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填方</w:t>
            </w:r>
          </w:p>
        </w:tc>
        <w:tc>
          <w:tcPr>
            <w:tcW w:w="2153"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借方</w:t>
            </w:r>
          </w:p>
        </w:tc>
        <w:tc>
          <w:tcPr>
            <w:tcW w:w="1643"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余（弃）方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135" w:type="dxa"/>
            <w:vAlign w:val="center"/>
          </w:tcPr>
          <w:p>
            <w:pPr>
              <w:adjustRightInd/>
              <w:spacing w:line="240" w:lineRule="auto"/>
              <w:jc w:val="center"/>
              <w:textAlignment w:val="auto"/>
              <w:rPr>
                <w:rFonts w:hint="default" w:eastAsia="仿宋_GB2312"/>
                <w:color w:val="auto"/>
                <w:kern w:val="2"/>
                <w:sz w:val="18"/>
                <w:szCs w:val="18"/>
                <w:highlight w:val="none"/>
                <w:lang w:val="en-US" w:eastAsia="zh-CN"/>
              </w:rPr>
            </w:pPr>
            <w:r>
              <w:rPr>
                <w:rFonts w:hint="eastAsia" w:eastAsia="仿宋_GB2312"/>
                <w:color w:val="auto"/>
                <w:kern w:val="2"/>
                <w:sz w:val="18"/>
                <w:szCs w:val="18"/>
                <w:highlight w:val="none"/>
                <w:lang w:val="en-US" w:eastAsia="zh-CN"/>
              </w:rPr>
              <w:t>0.10</w:t>
            </w:r>
          </w:p>
        </w:tc>
        <w:tc>
          <w:tcPr>
            <w:tcW w:w="837" w:type="dxa"/>
            <w:gridSpan w:val="3"/>
            <w:vAlign w:val="center"/>
          </w:tcPr>
          <w:p>
            <w:pPr>
              <w:adjustRightInd/>
              <w:spacing w:line="240" w:lineRule="auto"/>
              <w:jc w:val="center"/>
              <w:textAlignment w:val="auto"/>
              <w:rPr>
                <w:rFonts w:hint="default" w:eastAsia="仿宋_GB2312"/>
                <w:color w:val="auto"/>
                <w:kern w:val="2"/>
                <w:sz w:val="18"/>
                <w:szCs w:val="18"/>
                <w:highlight w:val="none"/>
                <w:lang w:val="en-US" w:eastAsia="zh-CN"/>
              </w:rPr>
            </w:pPr>
            <w:r>
              <w:rPr>
                <w:rFonts w:hint="eastAsia" w:eastAsia="仿宋_GB2312"/>
                <w:color w:val="auto"/>
                <w:kern w:val="2"/>
                <w:sz w:val="18"/>
                <w:szCs w:val="18"/>
                <w:highlight w:val="none"/>
                <w:lang w:val="en-US" w:eastAsia="zh-CN"/>
              </w:rPr>
              <w:t>0.10</w:t>
            </w:r>
          </w:p>
        </w:tc>
        <w:tc>
          <w:tcPr>
            <w:tcW w:w="2153" w:type="dxa"/>
            <w:gridSpan w:val="4"/>
            <w:vAlign w:val="center"/>
          </w:tcPr>
          <w:p>
            <w:pPr>
              <w:adjustRightInd/>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w:t>
            </w:r>
          </w:p>
        </w:tc>
        <w:tc>
          <w:tcPr>
            <w:tcW w:w="1643"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取土（石、砂）场</w:t>
            </w:r>
          </w:p>
        </w:tc>
        <w:tc>
          <w:tcPr>
            <w:tcW w:w="5768" w:type="dxa"/>
            <w:gridSpan w:val="11"/>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弃土（石、渣）场</w:t>
            </w:r>
          </w:p>
        </w:tc>
        <w:tc>
          <w:tcPr>
            <w:tcW w:w="5768" w:type="dxa"/>
            <w:gridSpan w:val="11"/>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restart"/>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项目区概况</w:t>
            </w: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涉及重点防治区情况</w:t>
            </w:r>
          </w:p>
        </w:tc>
        <w:tc>
          <w:tcPr>
            <w:tcW w:w="2962" w:type="dxa"/>
            <w:gridSpan w:val="6"/>
            <w:vAlign w:val="center"/>
          </w:tcPr>
          <w:p>
            <w:pPr>
              <w:adjustRightInd/>
              <w:snapToGrid w:val="0"/>
              <w:spacing w:line="240" w:lineRule="auto"/>
              <w:jc w:val="center"/>
              <w:textAlignment w:val="auto"/>
              <w:rPr>
                <w:rFonts w:hint="eastAsia" w:eastAsia="仿宋_GB2312"/>
                <w:color w:val="auto"/>
                <w:kern w:val="2"/>
                <w:sz w:val="18"/>
                <w:szCs w:val="18"/>
                <w:highlight w:val="none"/>
                <w:lang w:eastAsia="zh-CN"/>
              </w:rPr>
            </w:pPr>
            <w:r>
              <w:rPr>
                <w:rFonts w:hint="eastAsia" w:eastAsia="仿宋_GB2312"/>
                <w:color w:val="auto"/>
                <w:kern w:val="2"/>
                <w:sz w:val="18"/>
                <w:szCs w:val="18"/>
                <w:highlight w:val="none"/>
                <w:lang w:eastAsia="zh-CN"/>
              </w:rPr>
              <w:t>长白山国家级水土流失重点预防区</w:t>
            </w:r>
          </w:p>
        </w:tc>
        <w:tc>
          <w:tcPr>
            <w:tcW w:w="1403"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地貌类型</w:t>
            </w:r>
          </w:p>
        </w:tc>
        <w:tc>
          <w:tcPr>
            <w:tcW w:w="1403" w:type="dxa"/>
            <w:gridSpan w:val="2"/>
            <w:vAlign w:val="center"/>
          </w:tcPr>
          <w:p>
            <w:pPr>
              <w:adjustRightInd/>
              <w:snapToGrid w:val="0"/>
              <w:spacing w:line="240" w:lineRule="auto"/>
              <w:jc w:val="center"/>
              <w:textAlignment w:val="auto"/>
              <w:rPr>
                <w:rFonts w:hint="default" w:eastAsia="仿宋_GB2312"/>
                <w:color w:val="auto"/>
                <w:kern w:val="2"/>
                <w:sz w:val="18"/>
                <w:szCs w:val="18"/>
                <w:highlight w:val="none"/>
                <w:lang w:val="en-US" w:eastAsia="zh-CN"/>
              </w:rPr>
            </w:pPr>
            <w:r>
              <w:rPr>
                <w:rFonts w:hint="eastAsia" w:eastAsia="仿宋_GB2312"/>
                <w:color w:val="auto"/>
                <w:kern w:val="2"/>
                <w:sz w:val="18"/>
                <w:szCs w:val="18"/>
                <w:highlight w:val="none"/>
                <w:lang w:val="en-US" w:eastAsia="zh-CN"/>
              </w:rPr>
              <w:t>中低山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3128"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原地貌土壤侵蚀模数[t/(km</w:t>
            </w:r>
            <w:r>
              <w:rPr>
                <w:rFonts w:eastAsia="仿宋_GB2312"/>
                <w:color w:val="auto"/>
                <w:kern w:val="2"/>
                <w:sz w:val="18"/>
                <w:szCs w:val="18"/>
                <w:highlight w:val="none"/>
                <w:vertAlign w:val="superscript"/>
              </w:rPr>
              <w:t>2</w:t>
            </w:r>
            <w:r>
              <w:rPr>
                <w:rFonts w:eastAsia="仿宋_GB2312"/>
                <w:color w:val="auto"/>
                <w:kern w:val="2"/>
                <w:sz w:val="18"/>
                <w:szCs w:val="18"/>
                <w:highlight w:val="none"/>
              </w:rPr>
              <w:t>.a)]</w:t>
            </w:r>
          </w:p>
        </w:tc>
        <w:tc>
          <w:tcPr>
            <w:tcW w:w="1248"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hint="eastAsia" w:eastAsia="仿宋_GB2312"/>
                <w:color w:val="auto"/>
                <w:kern w:val="2"/>
                <w:sz w:val="18"/>
                <w:szCs w:val="18"/>
                <w:highlight w:val="none"/>
                <w:lang w:val="en-US" w:eastAsia="zh-CN"/>
              </w:rPr>
              <w:t>4</w:t>
            </w:r>
            <w:r>
              <w:rPr>
                <w:rFonts w:eastAsia="仿宋_GB2312"/>
                <w:color w:val="auto"/>
                <w:kern w:val="2"/>
                <w:sz w:val="18"/>
                <w:szCs w:val="18"/>
                <w:highlight w:val="none"/>
              </w:rPr>
              <w:t>00</w:t>
            </w:r>
          </w:p>
        </w:tc>
        <w:tc>
          <w:tcPr>
            <w:tcW w:w="2440" w:type="dxa"/>
            <w:gridSpan w:val="5"/>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容许土壤流失量[t/(km</w:t>
            </w:r>
            <w:r>
              <w:rPr>
                <w:rFonts w:eastAsia="仿宋_GB2312"/>
                <w:color w:val="auto"/>
                <w:kern w:val="2"/>
                <w:sz w:val="18"/>
                <w:szCs w:val="18"/>
                <w:highlight w:val="none"/>
                <w:vertAlign w:val="superscript"/>
              </w:rPr>
              <w:t>2</w:t>
            </w:r>
            <w:r>
              <w:rPr>
                <w:rFonts w:eastAsia="仿宋_GB2312"/>
                <w:color w:val="auto"/>
                <w:kern w:val="2"/>
                <w:sz w:val="18"/>
                <w:szCs w:val="18"/>
                <w:highlight w:val="none"/>
              </w:rPr>
              <w:t>.a)]</w:t>
            </w:r>
          </w:p>
        </w:tc>
        <w:tc>
          <w:tcPr>
            <w:tcW w:w="934" w:type="dxa"/>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项目选址（线）水土保持评价</w:t>
            </w:r>
          </w:p>
        </w:tc>
        <w:tc>
          <w:tcPr>
            <w:tcW w:w="7750" w:type="dxa"/>
            <w:gridSpan w:val="1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本项目所在行政区域属于</w:t>
            </w:r>
            <w:r>
              <w:rPr>
                <w:rFonts w:hint="eastAsia" w:eastAsia="仿宋_GB2312"/>
                <w:color w:val="auto"/>
                <w:kern w:val="2"/>
                <w:sz w:val="18"/>
                <w:szCs w:val="18"/>
                <w:highlight w:val="none"/>
                <w:lang w:eastAsia="zh-CN"/>
              </w:rPr>
              <w:t>长白山国家级水土流失重点预防区</w:t>
            </w:r>
            <w:r>
              <w:rPr>
                <w:rFonts w:eastAsia="仿宋_GB2312"/>
                <w:color w:val="auto"/>
                <w:kern w:val="2"/>
                <w:sz w:val="18"/>
                <w:szCs w:val="18"/>
                <w:highlight w:val="none"/>
              </w:rPr>
              <w:t>，通过</w:t>
            </w:r>
            <w:r>
              <w:rPr>
                <w:rFonts w:hint="eastAsia" w:eastAsia="仿宋_GB2312"/>
                <w:color w:val="auto"/>
                <w:kern w:val="2"/>
                <w:sz w:val="18"/>
                <w:szCs w:val="18"/>
                <w:highlight w:val="none"/>
              </w:rPr>
              <w:t>提高防治指标、</w:t>
            </w:r>
            <w:r>
              <w:rPr>
                <w:rFonts w:eastAsia="仿宋_GB2312"/>
                <w:color w:val="auto"/>
                <w:kern w:val="2"/>
                <w:sz w:val="18"/>
                <w:szCs w:val="18"/>
                <w:highlight w:val="none"/>
              </w:rPr>
              <w:t>严格控制扰动地表和植被损坏范围、减少工程占地、加强工程管理、优化施工工艺，有效控制水土流失。项目区不属于水土流失严重、生态脆弱的地区。主体工程选址不位于全国监测网络中的水土保持监测站点、重点试验区及国家确定的水土保持长期定位观测站，不位于河流两岸、湖泊和水库周边的植物保护带。本项目未设置取土（石、砂）场。本项目未设置弃土（石、渣、灰、矸石、尾矿）场。基本满足《中华人民共和国水土保持法》、《生产建设项目水土保持技术标准》（GB50433-2018）对主体工程选址水土保持约束性规定的要求，从水土保持角度分析，主体工程选址方案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64"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预测水土流失总量（t）</w:t>
            </w:r>
          </w:p>
        </w:tc>
        <w:tc>
          <w:tcPr>
            <w:tcW w:w="5768" w:type="dxa"/>
            <w:gridSpan w:val="11"/>
            <w:vAlign w:val="center"/>
          </w:tcPr>
          <w:p>
            <w:pPr>
              <w:adjustRightInd/>
              <w:snapToGrid w:val="0"/>
              <w:spacing w:line="240" w:lineRule="auto"/>
              <w:jc w:val="center"/>
              <w:textAlignment w:val="auto"/>
              <w:rPr>
                <w:rFonts w:hint="default" w:eastAsia="仿宋_GB2312"/>
                <w:color w:val="auto"/>
                <w:kern w:val="2"/>
                <w:sz w:val="18"/>
                <w:szCs w:val="18"/>
                <w:highlight w:val="none"/>
                <w:lang w:val="en-US" w:eastAsia="zh-CN"/>
              </w:rPr>
            </w:pPr>
            <w:r>
              <w:rPr>
                <w:rFonts w:hint="eastAsia" w:eastAsia="仿宋_GB2312"/>
                <w:color w:val="auto"/>
                <w:kern w:val="2"/>
                <w:sz w:val="18"/>
                <w:szCs w:val="18"/>
                <w:highlight w:val="none"/>
                <w:lang w:val="en-US" w:eastAsia="zh-CN"/>
              </w:rPr>
              <w:t>24.52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64"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防治责任范围（hm</w:t>
            </w:r>
            <w:r>
              <w:rPr>
                <w:rFonts w:eastAsia="仿宋_GB2312"/>
                <w:color w:val="auto"/>
                <w:kern w:val="2"/>
                <w:sz w:val="18"/>
                <w:szCs w:val="18"/>
                <w:highlight w:val="none"/>
                <w:vertAlign w:val="superscript"/>
              </w:rPr>
              <w:t>2</w:t>
            </w:r>
            <w:r>
              <w:rPr>
                <w:rFonts w:eastAsia="仿宋_GB2312"/>
                <w:color w:val="auto"/>
                <w:kern w:val="2"/>
                <w:sz w:val="18"/>
                <w:szCs w:val="18"/>
                <w:highlight w:val="none"/>
              </w:rPr>
              <w:t>）</w:t>
            </w:r>
          </w:p>
        </w:tc>
        <w:tc>
          <w:tcPr>
            <w:tcW w:w="5768" w:type="dxa"/>
            <w:gridSpan w:val="11"/>
            <w:vAlign w:val="center"/>
          </w:tcPr>
          <w:p>
            <w:pPr>
              <w:adjustRightInd/>
              <w:snapToGrid w:val="0"/>
              <w:spacing w:line="240" w:lineRule="auto"/>
              <w:jc w:val="center"/>
              <w:textAlignment w:val="auto"/>
              <w:rPr>
                <w:rFonts w:hint="default" w:eastAsia="仿宋_GB2312"/>
                <w:color w:val="auto"/>
                <w:kern w:val="2"/>
                <w:sz w:val="18"/>
                <w:szCs w:val="18"/>
                <w:highlight w:val="none"/>
                <w:lang w:val="en-US" w:eastAsia="zh-CN"/>
              </w:rPr>
            </w:pPr>
            <w:r>
              <w:rPr>
                <w:rFonts w:hint="eastAsia" w:eastAsia="仿宋_GB2312"/>
                <w:color w:val="auto"/>
                <w:kern w:val="2"/>
                <w:sz w:val="18"/>
                <w:szCs w:val="18"/>
                <w:highlight w:val="none"/>
                <w:lang w:val="en-US" w:eastAsia="zh-CN"/>
              </w:rPr>
              <w:t>0.67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restart"/>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防治标准等级及目标</w:t>
            </w: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防治标准等级</w:t>
            </w:r>
          </w:p>
        </w:tc>
        <w:tc>
          <w:tcPr>
            <w:tcW w:w="5768" w:type="dxa"/>
            <w:gridSpan w:val="11"/>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东北黑土区水土流失防治一级标准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水土流失治理度（％）</w:t>
            </w:r>
          </w:p>
        </w:tc>
        <w:tc>
          <w:tcPr>
            <w:tcW w:w="2394" w:type="dxa"/>
            <w:gridSpan w:val="5"/>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97</w:t>
            </w:r>
          </w:p>
        </w:tc>
        <w:tc>
          <w:tcPr>
            <w:tcW w:w="1731"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土壤流失控制比</w:t>
            </w:r>
          </w:p>
        </w:tc>
        <w:tc>
          <w:tcPr>
            <w:tcW w:w="1643"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渣土防护率（％）</w:t>
            </w:r>
          </w:p>
        </w:tc>
        <w:tc>
          <w:tcPr>
            <w:tcW w:w="2394" w:type="dxa"/>
            <w:gridSpan w:val="5"/>
            <w:vAlign w:val="center"/>
          </w:tcPr>
          <w:p>
            <w:pPr>
              <w:adjustRightInd/>
              <w:snapToGrid w:val="0"/>
              <w:spacing w:line="240" w:lineRule="auto"/>
              <w:jc w:val="center"/>
              <w:textAlignment w:val="auto"/>
              <w:rPr>
                <w:rFonts w:hint="eastAsia" w:eastAsia="仿宋_GB2312"/>
                <w:color w:val="auto"/>
                <w:kern w:val="2"/>
                <w:sz w:val="18"/>
                <w:szCs w:val="18"/>
                <w:highlight w:val="none"/>
                <w:lang w:eastAsia="zh-CN"/>
              </w:rPr>
            </w:pPr>
            <w:r>
              <w:rPr>
                <w:rFonts w:eastAsia="仿宋_GB2312"/>
                <w:color w:val="auto"/>
                <w:kern w:val="2"/>
                <w:sz w:val="18"/>
                <w:szCs w:val="18"/>
                <w:highlight w:val="none"/>
              </w:rPr>
              <w:t>9</w:t>
            </w:r>
            <w:r>
              <w:rPr>
                <w:rFonts w:hint="eastAsia" w:eastAsia="仿宋_GB2312"/>
                <w:color w:val="auto"/>
                <w:kern w:val="2"/>
                <w:sz w:val="18"/>
                <w:szCs w:val="18"/>
                <w:highlight w:val="none"/>
                <w:lang w:val="en-US" w:eastAsia="zh-CN"/>
              </w:rPr>
              <w:t>7</w:t>
            </w:r>
          </w:p>
        </w:tc>
        <w:tc>
          <w:tcPr>
            <w:tcW w:w="1731"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表土保护率（％）</w:t>
            </w:r>
          </w:p>
        </w:tc>
        <w:tc>
          <w:tcPr>
            <w:tcW w:w="1643"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林草植被恢复率（％）</w:t>
            </w:r>
          </w:p>
        </w:tc>
        <w:tc>
          <w:tcPr>
            <w:tcW w:w="2394" w:type="dxa"/>
            <w:gridSpan w:val="5"/>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w:t>
            </w:r>
          </w:p>
        </w:tc>
        <w:tc>
          <w:tcPr>
            <w:tcW w:w="1731"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林草覆盖率（％）</w:t>
            </w:r>
          </w:p>
        </w:tc>
        <w:tc>
          <w:tcPr>
            <w:tcW w:w="1643"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982" w:type="dxa"/>
            <w:vMerge w:val="restart"/>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水土保持措施</w:t>
            </w: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防治分区</w:t>
            </w:r>
          </w:p>
        </w:tc>
        <w:tc>
          <w:tcPr>
            <w:tcW w:w="2394" w:type="dxa"/>
            <w:gridSpan w:val="5"/>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工程措施</w:t>
            </w:r>
          </w:p>
        </w:tc>
        <w:tc>
          <w:tcPr>
            <w:tcW w:w="1731"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植物措施</w:t>
            </w:r>
          </w:p>
        </w:tc>
        <w:tc>
          <w:tcPr>
            <w:tcW w:w="1643"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临时措施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工程建设区</w:t>
            </w:r>
          </w:p>
        </w:tc>
        <w:tc>
          <w:tcPr>
            <w:tcW w:w="2394" w:type="dxa"/>
            <w:gridSpan w:val="5"/>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w:t>
            </w:r>
          </w:p>
        </w:tc>
        <w:tc>
          <w:tcPr>
            <w:tcW w:w="1731" w:type="dxa"/>
            <w:gridSpan w:val="3"/>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w:t>
            </w:r>
          </w:p>
        </w:tc>
        <w:tc>
          <w:tcPr>
            <w:tcW w:w="1643" w:type="dxa"/>
            <w:gridSpan w:val="3"/>
            <w:vAlign w:val="center"/>
          </w:tcPr>
          <w:p>
            <w:pPr>
              <w:adjustRightInd/>
              <w:snapToGrid w:val="0"/>
              <w:spacing w:line="240" w:lineRule="auto"/>
              <w:jc w:val="center"/>
              <w:textAlignment w:val="auto"/>
              <w:rPr>
                <w:rFonts w:hint="default" w:eastAsia="仿宋_GB2312"/>
                <w:color w:val="auto"/>
                <w:kern w:val="2"/>
                <w:sz w:val="18"/>
                <w:szCs w:val="18"/>
                <w:highlight w:val="none"/>
                <w:lang w:val="en-US"/>
              </w:rPr>
            </w:pPr>
            <w:r>
              <w:rPr>
                <w:rFonts w:eastAsia="仿宋_GB2312"/>
                <w:color w:val="auto"/>
                <w:sz w:val="18"/>
                <w:szCs w:val="18"/>
                <w:highlight w:val="none"/>
              </w:rPr>
              <w:t>密目网覆盖</w:t>
            </w:r>
            <w:r>
              <w:rPr>
                <w:rFonts w:hint="eastAsia" w:eastAsia="仿宋_GB2312"/>
                <w:color w:val="auto"/>
                <w:sz w:val="18"/>
                <w:szCs w:val="18"/>
                <w:highlight w:val="none"/>
                <w:lang w:val="en-US" w:eastAsia="zh-CN"/>
              </w:rPr>
              <w:t>3</w:t>
            </w:r>
            <w:r>
              <w:rPr>
                <w:rFonts w:hint="eastAsia" w:eastAsia="仿宋_GB2312"/>
                <w:color w:val="auto"/>
                <w:sz w:val="18"/>
                <w:szCs w:val="18"/>
                <w:highlight w:val="none"/>
              </w:rPr>
              <w:t>00</w:t>
            </w:r>
            <w:r>
              <w:rPr>
                <w:rFonts w:eastAsia="仿宋_GB2312"/>
                <w:color w:val="auto"/>
                <w:sz w:val="18"/>
                <w:szCs w:val="18"/>
                <w:highlight w:val="none"/>
              </w:rPr>
              <w:t>m</w:t>
            </w:r>
            <w:r>
              <w:rPr>
                <w:rFonts w:eastAsia="仿宋_GB2312"/>
                <w:color w:val="auto"/>
                <w:sz w:val="18"/>
                <w:szCs w:val="18"/>
                <w:highlight w:val="none"/>
                <w:vertAlign w:val="superscript"/>
              </w:rPr>
              <w:t>2</w:t>
            </w:r>
            <w:r>
              <w:rPr>
                <w:rFonts w:hint="eastAsia" w:eastAsia="仿宋_GB2312"/>
                <w:color w:val="auto"/>
                <w:sz w:val="18"/>
                <w:szCs w:val="18"/>
                <w:highlight w:val="none"/>
                <w:lang w:eastAsia="zh-CN"/>
              </w:rPr>
              <w:t>，</w:t>
            </w:r>
            <w:r>
              <w:rPr>
                <w:rFonts w:hint="eastAsia" w:eastAsia="仿宋_GB2312"/>
                <w:color w:val="auto"/>
                <w:sz w:val="18"/>
                <w:szCs w:val="18"/>
                <w:highlight w:val="none"/>
                <w:lang w:val="en-US" w:eastAsia="zh-CN"/>
              </w:rPr>
              <w:t>泥浆池1座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restart"/>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水土保持投资估算（万元）</w:t>
            </w: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工程措施</w:t>
            </w:r>
          </w:p>
        </w:tc>
        <w:tc>
          <w:tcPr>
            <w:tcW w:w="2394" w:type="dxa"/>
            <w:gridSpan w:val="5"/>
            <w:vAlign w:val="center"/>
          </w:tcPr>
          <w:p>
            <w:pPr>
              <w:spacing w:line="240" w:lineRule="auto"/>
              <w:jc w:val="center"/>
              <w:rPr>
                <w:rFonts w:hint="default" w:eastAsia="仿宋_GB2312"/>
                <w:color w:val="auto"/>
                <w:kern w:val="2"/>
                <w:sz w:val="18"/>
                <w:szCs w:val="18"/>
                <w:highlight w:val="none"/>
                <w:lang w:val="en-US" w:eastAsia="zh-CN"/>
              </w:rPr>
            </w:pPr>
            <w:r>
              <w:rPr>
                <w:rFonts w:eastAsia="仿宋_GB2312"/>
                <w:color w:val="auto"/>
                <w:kern w:val="2"/>
                <w:sz w:val="18"/>
                <w:szCs w:val="18"/>
                <w:highlight w:val="none"/>
              </w:rPr>
              <w:t>\</w:t>
            </w:r>
          </w:p>
        </w:tc>
        <w:tc>
          <w:tcPr>
            <w:tcW w:w="1731" w:type="dxa"/>
            <w:gridSpan w:val="3"/>
            <w:vAlign w:val="center"/>
          </w:tcPr>
          <w:p>
            <w:pPr>
              <w:snapToGrid w:val="0"/>
              <w:spacing w:line="240" w:lineRule="auto"/>
              <w:jc w:val="center"/>
              <w:rPr>
                <w:rFonts w:eastAsia="仿宋_GB2312"/>
                <w:color w:val="auto"/>
                <w:kern w:val="2"/>
                <w:sz w:val="18"/>
                <w:szCs w:val="18"/>
                <w:highlight w:val="none"/>
              </w:rPr>
            </w:pPr>
            <w:r>
              <w:rPr>
                <w:rFonts w:eastAsia="仿宋_GB2312"/>
                <w:color w:val="auto"/>
                <w:sz w:val="18"/>
                <w:szCs w:val="18"/>
                <w:highlight w:val="none"/>
              </w:rPr>
              <w:t>植物措施</w:t>
            </w:r>
          </w:p>
        </w:tc>
        <w:tc>
          <w:tcPr>
            <w:tcW w:w="1643" w:type="dxa"/>
            <w:gridSpan w:val="3"/>
            <w:vAlign w:val="center"/>
          </w:tcPr>
          <w:p>
            <w:pPr>
              <w:snapToGrid w:val="0"/>
              <w:spacing w:line="240" w:lineRule="auto"/>
              <w:jc w:val="center"/>
              <w:rPr>
                <w:rFonts w:eastAsia="仿宋_GB2312"/>
                <w:color w:val="auto"/>
                <w:kern w:val="2"/>
                <w:sz w:val="18"/>
                <w:szCs w:val="18"/>
                <w:highlight w:val="none"/>
              </w:rPr>
            </w:pPr>
            <w:r>
              <w:rPr>
                <w:rFonts w:eastAsia="仿宋_GB2312"/>
                <w:color w:val="auto"/>
                <w:kern w:val="2"/>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临时措施</w:t>
            </w:r>
          </w:p>
        </w:tc>
        <w:tc>
          <w:tcPr>
            <w:tcW w:w="2394" w:type="dxa"/>
            <w:gridSpan w:val="5"/>
            <w:vAlign w:val="center"/>
          </w:tcPr>
          <w:p>
            <w:pPr>
              <w:spacing w:line="240" w:lineRule="auto"/>
              <w:jc w:val="center"/>
              <w:rPr>
                <w:rFonts w:hint="default" w:eastAsia="仿宋_GB2312"/>
                <w:color w:val="auto"/>
                <w:kern w:val="2"/>
                <w:sz w:val="18"/>
                <w:szCs w:val="18"/>
                <w:highlight w:val="none"/>
                <w:lang w:val="en-US" w:eastAsia="zh-CN"/>
              </w:rPr>
            </w:pPr>
            <w:r>
              <w:rPr>
                <w:rFonts w:hint="eastAsia" w:eastAsia="仿宋_GB2312"/>
                <w:color w:val="auto"/>
                <w:sz w:val="18"/>
                <w:szCs w:val="18"/>
                <w:highlight w:val="none"/>
                <w:lang w:val="en-US" w:eastAsia="zh-CN"/>
              </w:rPr>
              <w:t>0.29</w:t>
            </w:r>
          </w:p>
        </w:tc>
        <w:tc>
          <w:tcPr>
            <w:tcW w:w="1731" w:type="dxa"/>
            <w:gridSpan w:val="3"/>
            <w:vAlign w:val="center"/>
          </w:tcPr>
          <w:p>
            <w:pPr>
              <w:snapToGrid w:val="0"/>
              <w:spacing w:line="240" w:lineRule="auto"/>
              <w:jc w:val="center"/>
              <w:rPr>
                <w:rFonts w:eastAsia="仿宋_GB2312"/>
                <w:color w:val="auto"/>
                <w:kern w:val="2"/>
                <w:sz w:val="18"/>
                <w:szCs w:val="18"/>
                <w:highlight w:val="none"/>
              </w:rPr>
            </w:pPr>
            <w:r>
              <w:rPr>
                <w:rFonts w:eastAsia="仿宋_GB2312"/>
                <w:color w:val="auto"/>
                <w:sz w:val="18"/>
                <w:szCs w:val="18"/>
                <w:highlight w:val="none"/>
              </w:rPr>
              <w:t>水土保持补偿费</w:t>
            </w:r>
          </w:p>
        </w:tc>
        <w:tc>
          <w:tcPr>
            <w:tcW w:w="1643" w:type="dxa"/>
            <w:gridSpan w:val="3"/>
            <w:vAlign w:val="center"/>
          </w:tcPr>
          <w:p>
            <w:pPr>
              <w:snapToGrid w:val="0"/>
              <w:spacing w:line="240" w:lineRule="auto"/>
              <w:jc w:val="center"/>
              <w:rPr>
                <w:rFonts w:hint="default" w:eastAsia="仿宋_GB2312"/>
                <w:color w:val="auto"/>
                <w:kern w:val="2"/>
                <w:sz w:val="18"/>
                <w:szCs w:val="18"/>
                <w:highlight w:val="none"/>
                <w:lang w:val="en-US" w:eastAsia="zh-CN"/>
              </w:rPr>
            </w:pPr>
            <w:r>
              <w:rPr>
                <w:rFonts w:hint="eastAsia" w:eastAsia="仿宋_GB2312"/>
                <w:color w:val="auto"/>
                <w:sz w:val="18"/>
                <w:szCs w:val="18"/>
                <w:highlight w:val="none"/>
                <w:lang w:val="en-US" w:eastAsia="zh-CN"/>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Merge w:val="restart"/>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独立费用</w:t>
            </w:r>
          </w:p>
        </w:tc>
        <w:tc>
          <w:tcPr>
            <w:tcW w:w="2394" w:type="dxa"/>
            <w:gridSpan w:val="5"/>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建设管理费</w:t>
            </w:r>
          </w:p>
        </w:tc>
        <w:tc>
          <w:tcPr>
            <w:tcW w:w="3374" w:type="dxa"/>
            <w:gridSpan w:val="6"/>
            <w:vAlign w:val="center"/>
          </w:tcPr>
          <w:p>
            <w:pPr>
              <w:adjustRightInd/>
              <w:snapToGrid w:val="0"/>
              <w:spacing w:line="240" w:lineRule="auto"/>
              <w:jc w:val="center"/>
              <w:textAlignment w:val="auto"/>
              <w:rPr>
                <w:rFonts w:hint="eastAsia" w:eastAsia="仿宋_GB2312"/>
                <w:color w:val="auto"/>
                <w:kern w:val="2"/>
                <w:sz w:val="18"/>
                <w:szCs w:val="18"/>
                <w:highlight w:val="none"/>
                <w:lang w:val="en-US" w:eastAsia="zh-CN"/>
              </w:rPr>
            </w:pPr>
            <w:r>
              <w:rPr>
                <w:rFonts w:eastAsia="仿宋_GB2312"/>
                <w:color w:val="auto"/>
                <w:kern w:val="2"/>
                <w:sz w:val="18"/>
                <w:szCs w:val="18"/>
                <w:highlight w:val="none"/>
              </w:rPr>
              <w:t>0.0</w:t>
            </w:r>
            <w:r>
              <w:rPr>
                <w:rFonts w:hint="eastAsia" w:eastAsia="仿宋_GB2312"/>
                <w:color w:val="auto"/>
                <w:kern w:val="2"/>
                <w:sz w:val="18"/>
                <w:szCs w:val="18"/>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2394" w:type="dxa"/>
            <w:gridSpan w:val="5"/>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水土保持监理费</w:t>
            </w:r>
          </w:p>
        </w:tc>
        <w:tc>
          <w:tcPr>
            <w:tcW w:w="3374" w:type="dxa"/>
            <w:gridSpan w:val="6"/>
            <w:vAlign w:val="center"/>
          </w:tcPr>
          <w:p>
            <w:pPr>
              <w:adjustRightInd/>
              <w:snapToGrid w:val="0"/>
              <w:spacing w:line="240" w:lineRule="auto"/>
              <w:jc w:val="center"/>
              <w:textAlignment w:val="auto"/>
              <w:rPr>
                <w:rFonts w:hint="default" w:eastAsia="仿宋_GB2312"/>
                <w:color w:val="auto"/>
                <w:kern w:val="2"/>
                <w:sz w:val="18"/>
                <w:szCs w:val="18"/>
                <w:highlight w:val="none"/>
                <w:lang w:val="en-US" w:eastAsia="zh-CN"/>
              </w:rPr>
            </w:pPr>
            <w:r>
              <w:rPr>
                <w:rFonts w:hint="eastAsia" w:eastAsia="仿宋_GB2312"/>
                <w:color w:val="auto"/>
                <w:kern w:val="2"/>
                <w:sz w:val="18"/>
                <w:szCs w:val="18"/>
                <w:highlight w:val="none"/>
                <w:lang w:val="en-US" w:eastAsia="zh-CN"/>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2394" w:type="dxa"/>
            <w:gridSpan w:val="5"/>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科研勘测设计费</w:t>
            </w:r>
          </w:p>
        </w:tc>
        <w:tc>
          <w:tcPr>
            <w:tcW w:w="3374" w:type="dxa"/>
            <w:gridSpan w:val="6"/>
            <w:vAlign w:val="center"/>
          </w:tcPr>
          <w:p>
            <w:pPr>
              <w:adjustRightInd/>
              <w:snapToGrid w:val="0"/>
              <w:spacing w:line="240" w:lineRule="auto"/>
              <w:jc w:val="center"/>
              <w:textAlignment w:val="auto"/>
              <w:rPr>
                <w:rFonts w:eastAsia="仿宋_GB2312"/>
                <w:color w:val="auto"/>
                <w:kern w:val="2"/>
                <w:sz w:val="18"/>
                <w:szCs w:val="18"/>
                <w:highlight w:val="none"/>
              </w:rPr>
            </w:pPr>
            <w:r>
              <w:rPr>
                <w:rFonts w:hint="eastAsia" w:eastAsia="仿宋_GB2312"/>
                <w:color w:val="auto"/>
                <w:kern w:val="2"/>
                <w:sz w:val="18"/>
                <w:szCs w:val="18"/>
                <w:highlight w:val="none"/>
                <w:lang w:val="en-US" w:eastAsia="zh-CN"/>
              </w:rPr>
              <w:t>3</w:t>
            </w:r>
            <w:r>
              <w:rPr>
                <w:rFonts w:eastAsia="仿宋_GB2312"/>
                <w:color w:val="auto"/>
                <w:kern w:val="2"/>
                <w:sz w:val="18"/>
                <w:szCs w:val="18"/>
                <w:highlight w:val="none"/>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2" w:type="dxa"/>
            <w:vMerge w:val="continue"/>
            <w:vAlign w:val="center"/>
          </w:tcPr>
          <w:p>
            <w:pPr>
              <w:adjustRightInd/>
              <w:snapToGrid w:val="0"/>
              <w:spacing w:line="240" w:lineRule="auto"/>
              <w:jc w:val="center"/>
              <w:textAlignment w:val="auto"/>
              <w:rPr>
                <w:rFonts w:eastAsia="仿宋_GB2312"/>
                <w:color w:val="auto"/>
                <w:kern w:val="2"/>
                <w:sz w:val="18"/>
                <w:szCs w:val="18"/>
                <w:highlight w:val="none"/>
              </w:rPr>
            </w:pPr>
          </w:p>
        </w:tc>
        <w:tc>
          <w:tcPr>
            <w:tcW w:w="1982"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总投资</w:t>
            </w:r>
          </w:p>
        </w:tc>
        <w:tc>
          <w:tcPr>
            <w:tcW w:w="5768" w:type="dxa"/>
            <w:gridSpan w:val="11"/>
            <w:vAlign w:val="center"/>
          </w:tcPr>
          <w:p>
            <w:pPr>
              <w:adjustRightInd/>
              <w:snapToGrid w:val="0"/>
              <w:spacing w:line="240" w:lineRule="auto"/>
              <w:jc w:val="center"/>
              <w:textAlignment w:val="auto"/>
              <w:rPr>
                <w:rFonts w:hint="default" w:eastAsia="仿宋_GB2312"/>
                <w:color w:val="auto"/>
                <w:kern w:val="2"/>
                <w:sz w:val="18"/>
                <w:szCs w:val="18"/>
                <w:highlight w:val="none"/>
                <w:lang w:val="en-US" w:eastAsia="zh-CN"/>
              </w:rPr>
            </w:pPr>
            <w:r>
              <w:rPr>
                <w:rFonts w:hint="eastAsia" w:eastAsia="仿宋_GB2312"/>
                <w:color w:val="auto"/>
                <w:sz w:val="18"/>
                <w:szCs w:val="18"/>
                <w:highlight w:val="none"/>
                <w:lang w:val="en-US" w:eastAsia="zh-CN"/>
              </w:rPr>
              <w:t>14.39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4"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编制单位</w:t>
            </w:r>
          </w:p>
        </w:tc>
        <w:tc>
          <w:tcPr>
            <w:tcW w:w="2628" w:type="dxa"/>
            <w:gridSpan w:val="4"/>
            <w:vAlign w:val="center"/>
          </w:tcPr>
          <w:p>
            <w:pPr>
              <w:snapToGrid w:val="0"/>
              <w:spacing w:line="240" w:lineRule="auto"/>
              <w:jc w:val="center"/>
              <w:rPr>
                <w:rFonts w:hint="eastAsia" w:ascii="Times New Roman" w:hAnsi="Times New Roman" w:eastAsia="仿宋_GB2312" w:cs="Times New Roman"/>
                <w:color w:val="auto"/>
                <w:sz w:val="18"/>
                <w:szCs w:val="18"/>
                <w:highlight w:val="none"/>
                <w:lang w:val="en-US" w:eastAsia="zh-CN" w:bidi="ar-SA"/>
              </w:rPr>
            </w:pPr>
            <w:r>
              <w:rPr>
                <w:rFonts w:eastAsia="仿宋_GB2312"/>
                <w:color w:val="auto"/>
                <w:sz w:val="18"/>
                <w:szCs w:val="18"/>
                <w:highlight w:val="none"/>
              </w:rPr>
              <w:t>吉林省生环环境工程有限公司</w:t>
            </w:r>
          </w:p>
        </w:tc>
        <w:tc>
          <w:tcPr>
            <w:tcW w:w="2014"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建设单位</w:t>
            </w:r>
          </w:p>
        </w:tc>
        <w:tc>
          <w:tcPr>
            <w:tcW w:w="2356" w:type="dxa"/>
            <w:gridSpan w:val="4"/>
            <w:vAlign w:val="center"/>
          </w:tcPr>
          <w:p>
            <w:pPr>
              <w:adjustRightInd/>
              <w:snapToGrid w:val="0"/>
              <w:spacing w:line="240" w:lineRule="auto"/>
              <w:jc w:val="center"/>
              <w:textAlignment w:val="auto"/>
              <w:rPr>
                <w:rFonts w:hint="eastAsia" w:eastAsia="仿宋_GB2312"/>
                <w:color w:val="auto"/>
                <w:kern w:val="2"/>
                <w:sz w:val="18"/>
                <w:szCs w:val="18"/>
                <w:highlight w:val="none"/>
                <w:lang w:eastAsia="zh-CN"/>
              </w:rPr>
            </w:pPr>
            <w:r>
              <w:rPr>
                <w:rFonts w:hint="eastAsia" w:eastAsia="仿宋_GB2312"/>
                <w:color w:val="auto"/>
                <w:kern w:val="2"/>
                <w:sz w:val="18"/>
                <w:szCs w:val="18"/>
                <w:highlight w:val="none"/>
                <w:lang w:eastAsia="zh-CN"/>
              </w:rPr>
              <w:t>吉林省鼎生工程有限公司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4"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法人代表</w:t>
            </w:r>
          </w:p>
        </w:tc>
        <w:tc>
          <w:tcPr>
            <w:tcW w:w="2628" w:type="dxa"/>
            <w:gridSpan w:val="4"/>
            <w:vAlign w:val="center"/>
          </w:tcPr>
          <w:p>
            <w:pPr>
              <w:snapToGrid w:val="0"/>
              <w:spacing w:line="240" w:lineRule="auto"/>
              <w:jc w:val="center"/>
              <w:rPr>
                <w:rFonts w:ascii="Times New Roman" w:hAnsi="Times New Roman" w:eastAsia="仿宋_GB2312" w:cs="Times New Roman"/>
                <w:color w:val="auto"/>
                <w:sz w:val="18"/>
                <w:szCs w:val="18"/>
                <w:highlight w:val="none"/>
                <w:lang w:val="en-US" w:eastAsia="zh-CN" w:bidi="ar-SA"/>
              </w:rPr>
            </w:pPr>
            <w:r>
              <w:rPr>
                <w:rFonts w:eastAsia="仿宋_GB2312"/>
                <w:color w:val="auto"/>
                <w:sz w:val="18"/>
                <w:szCs w:val="18"/>
                <w:highlight w:val="none"/>
              </w:rPr>
              <w:t>于周芝</w:t>
            </w:r>
          </w:p>
        </w:tc>
        <w:tc>
          <w:tcPr>
            <w:tcW w:w="2014"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法人代表</w:t>
            </w:r>
          </w:p>
        </w:tc>
        <w:tc>
          <w:tcPr>
            <w:tcW w:w="2356"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ascii="Arial" w:hAnsi="Arial" w:eastAsia="宋体" w:cs="Arial"/>
                <w:i w:val="0"/>
                <w:iCs w:val="0"/>
                <w:caps w:val="0"/>
                <w:color w:val="auto"/>
                <w:spacing w:val="0"/>
                <w:sz w:val="18"/>
                <w:szCs w:val="18"/>
                <w:highlight w:val="none"/>
                <w:shd w:val="clear" w:fill="FFFFFF"/>
              </w:rPr>
              <w:t>张艳猛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4"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地址</w:t>
            </w:r>
          </w:p>
        </w:tc>
        <w:tc>
          <w:tcPr>
            <w:tcW w:w="2628" w:type="dxa"/>
            <w:gridSpan w:val="4"/>
            <w:vAlign w:val="center"/>
          </w:tcPr>
          <w:p>
            <w:pPr>
              <w:snapToGrid w:val="0"/>
              <w:spacing w:line="240" w:lineRule="auto"/>
              <w:jc w:val="center"/>
              <w:rPr>
                <w:rFonts w:ascii="Times New Roman" w:hAnsi="Times New Roman" w:eastAsia="仿宋_GB2312" w:cs="Times New Roman"/>
                <w:color w:val="auto"/>
                <w:sz w:val="18"/>
                <w:szCs w:val="18"/>
                <w:highlight w:val="none"/>
                <w:lang w:val="en-US" w:eastAsia="zh-CN" w:bidi="ar-SA"/>
              </w:rPr>
            </w:pPr>
            <w:r>
              <w:rPr>
                <w:rFonts w:eastAsia="仿宋_GB2312"/>
                <w:color w:val="auto"/>
                <w:sz w:val="18"/>
                <w:szCs w:val="18"/>
                <w:highlight w:val="none"/>
              </w:rPr>
              <w:t>长春市经济开发区机场大路7299号1301-617</w:t>
            </w:r>
          </w:p>
        </w:tc>
        <w:tc>
          <w:tcPr>
            <w:tcW w:w="2014"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地址</w:t>
            </w:r>
          </w:p>
        </w:tc>
        <w:tc>
          <w:tcPr>
            <w:tcW w:w="2356"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hint="eastAsia" w:eastAsia="仿宋_GB2312"/>
                <w:color w:val="auto"/>
                <w:sz w:val="18"/>
                <w:szCs w:val="18"/>
                <w:highlight w:val="none"/>
                <w:lang w:val="en-US" w:eastAsia="zh-CN"/>
              </w:rPr>
              <w:t xml:space="preserve">白山市抚松县德胜村道口 </w:t>
            </w:r>
            <w:r>
              <w:rPr>
                <w:rFonts w:hint="default" w:eastAsia="仿宋_GB2312"/>
                <w:color w:val="auto"/>
                <w:sz w:val="18"/>
                <w:szCs w:val="18"/>
                <w:highlight w:val="none"/>
                <w:lang w:val="en-US" w:eastAsia="zh-CN"/>
              </w:rPr>
              <w:t xml:space="preserve">504 </w:t>
            </w:r>
            <w:r>
              <w:rPr>
                <w:rFonts w:hint="eastAsia" w:eastAsia="仿宋_GB2312"/>
                <w:color w:val="auto"/>
                <w:sz w:val="18"/>
                <w:szCs w:val="18"/>
                <w:highlight w:val="none"/>
                <w:lang w:val="en-US" w:eastAsia="zh-CN"/>
              </w:rPr>
              <w:t>国道东侧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4"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邮编</w:t>
            </w:r>
          </w:p>
        </w:tc>
        <w:tc>
          <w:tcPr>
            <w:tcW w:w="2628" w:type="dxa"/>
            <w:gridSpan w:val="4"/>
            <w:vAlign w:val="center"/>
          </w:tcPr>
          <w:p>
            <w:pPr>
              <w:snapToGrid w:val="0"/>
              <w:spacing w:line="240" w:lineRule="auto"/>
              <w:jc w:val="center"/>
              <w:rPr>
                <w:rFonts w:ascii="Times New Roman" w:hAnsi="Times New Roman" w:eastAsia="仿宋_GB2312" w:cs="Times New Roman"/>
                <w:color w:val="auto"/>
                <w:sz w:val="18"/>
                <w:szCs w:val="18"/>
                <w:highlight w:val="none"/>
                <w:lang w:val="en-US" w:eastAsia="zh-CN" w:bidi="ar-SA"/>
              </w:rPr>
            </w:pPr>
            <w:r>
              <w:rPr>
                <w:rFonts w:eastAsia="仿宋_GB2312"/>
                <w:color w:val="auto"/>
                <w:sz w:val="18"/>
                <w:szCs w:val="18"/>
                <w:highlight w:val="none"/>
              </w:rPr>
              <w:t>130000</w:t>
            </w:r>
          </w:p>
        </w:tc>
        <w:tc>
          <w:tcPr>
            <w:tcW w:w="996"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邮编</w:t>
            </w:r>
          </w:p>
        </w:tc>
        <w:tc>
          <w:tcPr>
            <w:tcW w:w="3374" w:type="dxa"/>
            <w:gridSpan w:val="6"/>
            <w:vAlign w:val="center"/>
          </w:tcPr>
          <w:p>
            <w:pPr>
              <w:adjustRightInd/>
              <w:snapToGrid w:val="0"/>
              <w:spacing w:line="240" w:lineRule="auto"/>
              <w:jc w:val="center"/>
              <w:textAlignment w:val="auto"/>
              <w:rPr>
                <w:rFonts w:hint="default" w:eastAsia="仿宋_GB2312"/>
                <w:color w:val="auto"/>
                <w:kern w:val="2"/>
                <w:sz w:val="18"/>
                <w:szCs w:val="18"/>
                <w:highlight w:val="none"/>
                <w:lang w:val="en-US" w:eastAsia="zh-CN"/>
              </w:rPr>
            </w:pPr>
            <w:r>
              <w:rPr>
                <w:rFonts w:hint="eastAsia" w:eastAsia="仿宋_GB2312"/>
                <w:color w:val="auto"/>
                <w:kern w:val="2"/>
                <w:sz w:val="18"/>
                <w:szCs w:val="18"/>
                <w:highlight w:val="none"/>
                <w:lang w:val="en-US" w:eastAsia="zh-CN"/>
              </w:rPr>
              <w:t>134500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4"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联系人及电话</w:t>
            </w:r>
          </w:p>
        </w:tc>
        <w:tc>
          <w:tcPr>
            <w:tcW w:w="2628" w:type="dxa"/>
            <w:gridSpan w:val="4"/>
            <w:vAlign w:val="center"/>
          </w:tcPr>
          <w:p>
            <w:pPr>
              <w:pStyle w:val="71"/>
              <w:widowControl w:val="0"/>
              <w:rPr>
                <w:rFonts w:ascii="Times New Roman" w:hAnsi="Times New Roman" w:eastAsia="仿宋_GB2312" w:cs="Times New Roman"/>
                <w:color w:val="auto"/>
                <w:kern w:val="2"/>
                <w:sz w:val="18"/>
                <w:szCs w:val="18"/>
                <w:highlight w:val="none"/>
                <w:lang w:val="en-US" w:eastAsia="zh-CN" w:bidi="ar-SA"/>
              </w:rPr>
            </w:pPr>
            <w:r>
              <w:rPr>
                <w:rFonts w:hint="eastAsia" w:ascii="Times New Roman" w:hAnsi="Times New Roman" w:eastAsia="仿宋_GB2312"/>
                <w:color w:val="auto"/>
                <w:sz w:val="18"/>
                <w:szCs w:val="18"/>
                <w:highlight w:val="none"/>
                <w:lang w:val="en-US" w:eastAsia="zh-CN"/>
              </w:rPr>
              <w:t>单宝红/13610782057</w:t>
            </w:r>
          </w:p>
        </w:tc>
        <w:tc>
          <w:tcPr>
            <w:tcW w:w="996"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联系人及电话</w:t>
            </w:r>
          </w:p>
        </w:tc>
        <w:tc>
          <w:tcPr>
            <w:tcW w:w="3374" w:type="dxa"/>
            <w:gridSpan w:val="6"/>
            <w:vAlign w:val="center"/>
          </w:tcPr>
          <w:p>
            <w:pPr>
              <w:adjustRightInd/>
              <w:snapToGrid w:val="0"/>
              <w:spacing w:line="240" w:lineRule="auto"/>
              <w:jc w:val="center"/>
              <w:textAlignment w:val="auto"/>
              <w:rPr>
                <w:rFonts w:eastAsia="仿宋_GB2312"/>
                <w:color w:val="auto"/>
                <w:kern w:val="2"/>
                <w:sz w:val="18"/>
                <w:szCs w:val="18"/>
                <w:highlight w:val="none"/>
              </w:rPr>
            </w:pPr>
            <w:r>
              <w:rPr>
                <w:color w:val="auto"/>
                <w:sz w:val="18"/>
                <w:szCs w:val="18"/>
                <w:highlight w:val="none"/>
              </w:rPr>
              <w:t>张玲</w:t>
            </w:r>
            <w:r>
              <w:rPr>
                <w:rFonts w:eastAsia="仿宋_GB2312"/>
                <w:color w:val="auto"/>
                <w:kern w:val="2"/>
                <w:sz w:val="18"/>
                <w:szCs w:val="18"/>
                <w:highlight w:val="none"/>
              </w:rPr>
              <w:t>/</w:t>
            </w:r>
            <w:r>
              <w:rPr>
                <w:color w:val="auto"/>
                <w:sz w:val="18"/>
                <w:szCs w:val="18"/>
                <w:highlight w:val="none"/>
              </w:rPr>
              <w:t>18743983907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4"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电子邮箱</w:t>
            </w:r>
          </w:p>
        </w:tc>
        <w:tc>
          <w:tcPr>
            <w:tcW w:w="2628" w:type="dxa"/>
            <w:gridSpan w:val="4"/>
            <w:vAlign w:val="center"/>
          </w:tcPr>
          <w:p>
            <w:pPr>
              <w:adjustRightInd/>
              <w:snapToGrid w:val="0"/>
              <w:spacing w:line="240" w:lineRule="auto"/>
              <w:jc w:val="center"/>
              <w:textAlignment w:val="auto"/>
              <w:rPr>
                <w:rFonts w:eastAsia="仿宋_GB2312"/>
                <w:color w:val="auto"/>
                <w:kern w:val="2"/>
                <w:sz w:val="18"/>
                <w:szCs w:val="18"/>
                <w:highlight w:val="none"/>
              </w:rPr>
            </w:pPr>
            <w:r>
              <w:rPr>
                <w:rFonts w:hint="eastAsia" w:ascii="Times New Roman" w:hAnsi="Times New Roman" w:eastAsia="仿宋_GB2312"/>
                <w:color w:val="auto"/>
                <w:sz w:val="18"/>
                <w:szCs w:val="18"/>
                <w:highlight w:val="none"/>
                <w:lang w:val="en-US" w:eastAsia="zh-CN"/>
              </w:rPr>
              <w:t>378043770</w:t>
            </w:r>
            <w:r>
              <w:rPr>
                <w:rFonts w:ascii="Times New Roman" w:hAnsi="Times New Roman" w:eastAsia="仿宋_GB2312"/>
                <w:color w:val="auto"/>
                <w:sz w:val="18"/>
                <w:szCs w:val="18"/>
                <w:highlight w:val="none"/>
              </w:rPr>
              <w:t>@qq.com</w:t>
            </w:r>
          </w:p>
        </w:tc>
        <w:tc>
          <w:tcPr>
            <w:tcW w:w="996" w:type="dxa"/>
            <w:gridSpan w:val="2"/>
            <w:vAlign w:val="center"/>
          </w:tcPr>
          <w:p>
            <w:pPr>
              <w:adjustRightInd/>
              <w:snapToGrid w:val="0"/>
              <w:spacing w:line="240" w:lineRule="auto"/>
              <w:jc w:val="center"/>
              <w:textAlignment w:val="auto"/>
              <w:rPr>
                <w:rFonts w:eastAsia="仿宋_GB2312"/>
                <w:color w:val="auto"/>
                <w:kern w:val="2"/>
                <w:sz w:val="18"/>
                <w:szCs w:val="18"/>
                <w:highlight w:val="none"/>
              </w:rPr>
            </w:pPr>
            <w:r>
              <w:rPr>
                <w:rFonts w:eastAsia="仿宋_GB2312"/>
                <w:color w:val="auto"/>
                <w:kern w:val="2"/>
                <w:sz w:val="18"/>
                <w:szCs w:val="18"/>
                <w:highlight w:val="none"/>
              </w:rPr>
              <w:t>电子邮箱</w:t>
            </w:r>
          </w:p>
        </w:tc>
        <w:tc>
          <w:tcPr>
            <w:tcW w:w="3374" w:type="dxa"/>
            <w:gridSpan w:val="6"/>
            <w:vAlign w:val="center"/>
          </w:tcPr>
          <w:p>
            <w:pPr>
              <w:adjustRightInd/>
              <w:snapToGrid w:val="0"/>
              <w:spacing w:line="240" w:lineRule="auto"/>
              <w:jc w:val="center"/>
              <w:textAlignment w:val="auto"/>
              <w:rPr>
                <w:rFonts w:eastAsia="仿宋_GB2312"/>
                <w:color w:val="auto"/>
                <w:kern w:val="2"/>
                <w:sz w:val="18"/>
                <w:szCs w:val="18"/>
                <w:highlight w:val="none"/>
              </w:rPr>
            </w:pPr>
            <w:r>
              <w:rPr>
                <w:rFonts w:hint="eastAsia" w:eastAsia="仿宋_GB2312"/>
                <w:color w:val="auto"/>
                <w:kern w:val="2"/>
                <w:sz w:val="18"/>
                <w:szCs w:val="18"/>
                <w:highlight w:val="none"/>
              </w:rPr>
              <w:t>851444074@qq.com</w:t>
            </w:r>
          </w:p>
        </w:tc>
      </w:tr>
    </w:tbl>
    <w:p>
      <w:pPr>
        <w:rPr>
          <w:color w:val="auto"/>
        </w:rPr>
      </w:pPr>
      <w:r>
        <w:rPr>
          <w:color w:val="auto"/>
        </w:rPr>
        <w:br w:type="page"/>
      </w:r>
    </w:p>
    <w:p>
      <w:pPr>
        <w:jc w:val="center"/>
        <w:rPr>
          <w:rFonts w:eastAsia="仿宋_GB2312"/>
          <w:b/>
          <w:color w:val="auto"/>
          <w:sz w:val="28"/>
          <w:szCs w:val="24"/>
        </w:rPr>
      </w:pPr>
      <w:r>
        <w:rPr>
          <w:rFonts w:eastAsia="黑体"/>
          <w:bCs/>
          <w:color w:val="auto"/>
          <w:sz w:val="32"/>
          <w:szCs w:val="32"/>
        </w:rPr>
        <w:t>说 明</w:t>
      </w:r>
    </w:p>
    <w:p>
      <w:pPr>
        <w:rPr>
          <w:rFonts w:eastAsia="仿宋_GB2312"/>
          <w:color w:val="auto"/>
        </w:rPr>
      </w:pPr>
    </w:p>
    <w:p>
      <w:pPr>
        <w:rPr>
          <w:rFonts w:eastAsia="仿宋_GB2312"/>
          <w:color w:val="auto"/>
        </w:rPr>
      </w:pPr>
    </w:p>
    <w:p>
      <w:pPr>
        <w:spacing w:line="360" w:lineRule="auto"/>
        <w:ind w:firstLine="560" w:firstLineChars="200"/>
        <w:rPr>
          <w:rFonts w:eastAsia="仿宋_GB2312"/>
          <w:color w:val="auto"/>
          <w:sz w:val="28"/>
        </w:rPr>
      </w:pPr>
      <w:r>
        <w:rPr>
          <w:rFonts w:eastAsia="仿宋_GB2312"/>
          <w:color w:val="auto"/>
          <w:sz w:val="28"/>
        </w:rPr>
        <w:t>1、随表附送附图一份。</w:t>
      </w:r>
    </w:p>
    <w:p>
      <w:pPr>
        <w:snapToGrid w:val="0"/>
        <w:spacing w:line="360" w:lineRule="auto"/>
        <w:ind w:firstLine="560" w:firstLineChars="200"/>
        <w:rPr>
          <w:rFonts w:eastAsia="仿宋_GB2312"/>
          <w:color w:val="auto"/>
          <w:sz w:val="28"/>
        </w:rPr>
      </w:pPr>
      <w:r>
        <w:rPr>
          <w:rFonts w:eastAsia="仿宋_GB2312"/>
          <w:color w:val="auto"/>
          <w:sz w:val="28"/>
        </w:rPr>
        <w:t>2、本表一式三份，经水行政主管部门审查批准后，一份留水行政主管部门作为监督检查依据，一份送项目审批部门作为审批项目依据，一份留本单位（或个人）作为实施依据。</w:t>
      </w:r>
    </w:p>
    <w:p>
      <w:pPr>
        <w:snapToGrid w:val="0"/>
        <w:spacing w:line="360" w:lineRule="auto"/>
        <w:ind w:firstLine="560" w:firstLineChars="200"/>
        <w:rPr>
          <w:rFonts w:eastAsia="仿宋_GB2312"/>
          <w:color w:val="auto"/>
          <w:sz w:val="28"/>
        </w:rPr>
      </w:pPr>
      <w:r>
        <w:rPr>
          <w:rFonts w:eastAsia="仿宋_GB2312"/>
          <w:color w:val="auto"/>
          <w:sz w:val="28"/>
        </w:rPr>
        <w:t>3、在生产建设项目施工过程中，必须实施“水土保持方案报告表”中的内容实施各项水土保持措施，并接受水行政主管部门监督检查。</w:t>
      </w:r>
    </w:p>
    <w:p>
      <w:pPr>
        <w:snapToGrid w:val="0"/>
        <w:spacing w:line="360" w:lineRule="auto"/>
        <w:ind w:firstLine="560" w:firstLineChars="200"/>
        <w:rPr>
          <w:color w:val="auto"/>
        </w:rPr>
        <w:sectPr>
          <w:headerReference r:id="rId5" w:type="default"/>
          <w:footerReference r:id="rId6" w:type="default"/>
          <w:pgSz w:w="11907" w:h="16840"/>
          <w:pgMar w:top="1418" w:right="1588" w:bottom="1418" w:left="1588" w:header="851" w:footer="851" w:gutter="0"/>
          <w:pgNumType w:start="1"/>
          <w:cols w:space="720" w:num="1"/>
        </w:sectPr>
      </w:pPr>
      <w:r>
        <w:rPr>
          <w:rFonts w:eastAsia="仿宋_GB2312"/>
          <w:color w:val="auto"/>
          <w:sz w:val="28"/>
        </w:rPr>
        <w:t>4、凡此表表达不清的事项，可用附件表述</w:t>
      </w:r>
      <w:r>
        <w:rPr>
          <w:rFonts w:hint="eastAsia" w:eastAsia="仿宋_GB2312"/>
          <w:color w:val="auto"/>
          <w:sz w:val="28"/>
        </w:rPr>
        <w:t>。</w:t>
      </w:r>
    </w:p>
    <w:p>
      <w:pPr>
        <w:pStyle w:val="4"/>
        <w:spacing w:before="0" w:after="0" w:line="360" w:lineRule="auto"/>
        <w:jc w:val="center"/>
        <w:rPr>
          <w:rFonts w:eastAsia="仿宋_GB2312"/>
          <w:b w:val="0"/>
          <w:bCs w:val="0"/>
          <w:color w:val="auto"/>
          <w:sz w:val="28"/>
          <w:szCs w:val="28"/>
          <w:highlight w:val="none"/>
        </w:rPr>
      </w:pPr>
      <w:bookmarkStart w:id="0" w:name="_Toc2626"/>
      <w:bookmarkStart w:id="1" w:name="_Toc28385"/>
      <w:r>
        <w:rPr>
          <w:rFonts w:eastAsia="黑体"/>
          <w:color w:val="auto"/>
          <w:sz w:val="32"/>
          <w:szCs w:val="32"/>
          <w:highlight w:val="none"/>
        </w:rPr>
        <w:t>目 录</w:t>
      </w:r>
      <w:bookmarkEnd w:id="0"/>
      <w:bookmarkEnd w:id="1"/>
    </w:p>
    <w:p>
      <w:pPr>
        <w:pStyle w:val="19"/>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sz w:val="24"/>
          <w:szCs w:val="24"/>
          <w:highlight w:val="yellow"/>
        </w:rPr>
        <w:fldChar w:fldCharType="begin"/>
      </w:r>
      <w:r>
        <w:rPr>
          <w:rFonts w:hint="default" w:ascii="Times New Roman" w:hAnsi="Times New Roman" w:eastAsia="仿宋" w:cs="Times New Roman"/>
          <w:b w:val="0"/>
          <w:color w:val="auto"/>
          <w:sz w:val="24"/>
          <w:szCs w:val="24"/>
          <w:highlight w:val="yellow"/>
        </w:rPr>
        <w:instrText xml:space="preserve"> TOC \o "1-3" \h \z \u </w:instrText>
      </w:r>
      <w:r>
        <w:rPr>
          <w:rFonts w:hint="default" w:ascii="Times New Roman" w:hAnsi="Times New Roman" w:eastAsia="仿宋" w:cs="Times New Roman"/>
          <w:b w:val="0"/>
          <w:color w:val="auto"/>
          <w:sz w:val="24"/>
          <w:szCs w:val="24"/>
          <w:highlight w:val="yellow"/>
        </w:rPr>
        <w:fldChar w:fldCharType="separate"/>
      </w: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_Toc23684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highlight w:val="none"/>
        </w:rPr>
        <w:t>1.综合说明</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_Toc23684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1</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_Toc2282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highlight w:val="none"/>
        </w:rPr>
        <w:t>1.1项目简况</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_Toc2282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1</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_Toc8825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1.2编制依据</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_Toc8825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2</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_Toc15740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1.3设计水平年</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_Toc15740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3</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_Toc10644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1.4水土流失防治责任范围</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_Toc10644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4</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_Toc4437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1.5水土流失防治目标</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_Toc4437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4</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_Toc27557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1.6项目水土保持评价结论</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_Toc27557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4</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_Toc9964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1.7水土流失预测结果</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_Toc9964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6</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_Toc22947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1.8水土保持措施布设成果</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_Toc22947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6</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_Toc2637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1.9水土保持监测方案</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_Toc2637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6</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_Toc31377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1.10水土保持投资及效益分析成果</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_Toc31377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6</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_Toc19695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highlight w:val="none"/>
        </w:rPr>
        <w:t>1.11结论</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_Toc19695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7</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19"/>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_Toc11909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2.项目概况</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_Toc11909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8</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_Toc31012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2.1项目组成及工程布置</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_Toc31012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8</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_Toc7892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2.2施工组织</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_Toc7892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11</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_Toc3195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2.3工程占地</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_Toc3195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13</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_Toc17054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2.4土石方平衡</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_Toc17054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13</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_Toc16532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2.5拆迁（移民）安置与专项设施改（迁）建</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_Toc16532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14</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_Toc28736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2.6施工进度</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_Toc28736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14</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_Toc14915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2.7自然概况</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_Toc14915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16</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19"/>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_Toc29591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3.项目水土保持评价</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_Toc29591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18</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_Toc23088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3.1主体工程选址水土保持评价</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_Toc23088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18</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_Toc9366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3.2建设方案与布局水土保持评价</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_Toc9366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19</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_Toc26880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3.3主体工程设计中水土保持措施界定</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_Toc26880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23</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19"/>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_Toc5730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4.水土流失分析与预测</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_Toc5730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24</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_Toc11787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4.1水土流失现状</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_Toc11787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24</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_Toc6291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4.2水土流失自然影响因素分析</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_Toc6291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24</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_Toc20902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4.3土壤流失量预测</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_Toc20902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25</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_Toc21723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4.4水土流失危害分析</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_Toc21723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27</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_Toc13987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4.5指导性意见</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_Toc13987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28</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19"/>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_Toc11016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5.水土保持措施</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_Toc11016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29</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_Toc11471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5.1防治区划分</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_Toc11471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29</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_Toc17922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5.2措施总体布局</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_Toc17922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29</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_Toc11393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5.3分区措施布设</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_Toc11393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30</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_Toc2930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5.4施工要求</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_Toc2930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30</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19"/>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_Toc14535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6.水土保持监测</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_Toc14535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33</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_Toc23919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6.1范围和时段</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_Toc23919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33</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_Toc11119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6.2内容和方法</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_Toc11119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33</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_Toc1972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6.3点位布设</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_Toc1972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35</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_Toc29061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6.4实施条件和成果</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_Toc29061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35</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19"/>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_Toc998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7水土保持投资估算及效益分析</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_Toc998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37</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_Toc14907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7.1投资估算</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_Toc14907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37</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_Toc30721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7.2 效益分析</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_Toc30721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44</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19"/>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_Toc24780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8.水土保持管理</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_Toc24780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45</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_Toc12998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8.1组织管理</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_Toc12998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45</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_Toc32700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8.2后续设计</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_Toc32700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46</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_Toc22620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8.3水土保持监测</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_Toc22620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46</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_Toc14179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8.4水土保持监理</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_Toc14179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47</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_Toc10569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8.5水土保持施工</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_Toc10569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48</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pStyle w:val="20"/>
        <w:tabs>
          <w:tab w:val="right" w:leader="dot" w:pos="8731"/>
        </w:tabs>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yellow"/>
        </w:rPr>
        <w:fldChar w:fldCharType="begin"/>
      </w:r>
      <w:r>
        <w:rPr>
          <w:rFonts w:hint="default" w:ascii="Times New Roman" w:hAnsi="Times New Roman" w:eastAsia="仿宋" w:cs="Times New Roman"/>
          <w:color w:val="auto"/>
          <w:sz w:val="24"/>
          <w:szCs w:val="24"/>
          <w:highlight w:val="yellow"/>
        </w:rPr>
        <w:instrText xml:space="preserve"> HYPERLINK \l _Toc2450 </w:instrText>
      </w:r>
      <w:r>
        <w:rPr>
          <w:rFonts w:hint="default" w:ascii="Times New Roman" w:hAnsi="Times New Roman" w:eastAsia="仿宋" w:cs="Times New Roman"/>
          <w:color w:val="auto"/>
          <w:sz w:val="24"/>
          <w:szCs w:val="24"/>
          <w:highlight w:val="yellow"/>
        </w:rPr>
        <w:fldChar w:fldCharType="separate"/>
      </w:r>
      <w:r>
        <w:rPr>
          <w:rFonts w:hint="default" w:ascii="Times New Roman" w:hAnsi="Times New Roman" w:eastAsia="仿宋" w:cs="Times New Roman"/>
          <w:color w:val="auto"/>
          <w:sz w:val="24"/>
          <w:szCs w:val="24"/>
        </w:rPr>
        <w:t>8.6水土保持设施验收</w:t>
      </w:r>
      <w:r>
        <w:rPr>
          <w:rFonts w:hint="default" w:ascii="Times New Roman" w:hAnsi="Times New Roman" w:eastAsia="仿宋" w:cs="Times New Roman"/>
          <w:color w:val="auto"/>
          <w:sz w:val="24"/>
          <w:szCs w:val="24"/>
        </w:rPr>
        <w:tab/>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PAGEREF _Toc2450 \h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49</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highlight w:val="yellow"/>
        </w:rPr>
        <w:fldChar w:fldCharType="end"/>
      </w:r>
    </w:p>
    <w:p>
      <w:pPr>
        <w:spacing w:line="360" w:lineRule="auto"/>
        <w:jc w:val="both"/>
        <w:rPr>
          <w:rFonts w:hint="default" w:ascii="Times New Roman" w:hAnsi="Times New Roman" w:eastAsia="仿宋" w:cs="Times New Roman"/>
          <w:color w:val="auto"/>
          <w:sz w:val="24"/>
          <w:szCs w:val="24"/>
          <w:highlight w:val="yellow"/>
        </w:rPr>
      </w:pPr>
      <w:r>
        <w:rPr>
          <w:rFonts w:hint="default" w:ascii="Times New Roman" w:hAnsi="Times New Roman" w:eastAsia="仿宋" w:cs="Times New Roman"/>
          <w:color w:val="auto"/>
          <w:sz w:val="24"/>
          <w:szCs w:val="24"/>
          <w:highlight w:val="yellow"/>
        </w:rPr>
        <w:fldChar w:fldCharType="end"/>
      </w:r>
    </w:p>
    <w:p>
      <w:pPr>
        <w:spacing w:line="360" w:lineRule="auto"/>
        <w:jc w:val="both"/>
        <w:rPr>
          <w:rFonts w:eastAsia="仿宋_GB2312"/>
          <w:b/>
          <w:bCs/>
          <w:caps w:val="0"/>
          <w:color w:val="auto"/>
          <w:sz w:val="28"/>
          <w:szCs w:val="28"/>
          <w:highlight w:val="none"/>
        </w:rPr>
      </w:pPr>
      <w:r>
        <w:rPr>
          <w:rFonts w:eastAsia="仿宋_GB2312"/>
          <w:b/>
          <w:bCs/>
          <w:caps w:val="0"/>
          <w:color w:val="auto"/>
          <w:sz w:val="28"/>
          <w:szCs w:val="28"/>
          <w:highlight w:val="none"/>
        </w:rPr>
        <w:t>附表：</w:t>
      </w:r>
    </w:p>
    <w:p>
      <w:pPr>
        <w:spacing w:line="360" w:lineRule="auto"/>
        <w:rPr>
          <w:rFonts w:eastAsia="仿宋_GB2312"/>
          <w:color w:val="auto"/>
          <w:sz w:val="24"/>
          <w:szCs w:val="24"/>
          <w:highlight w:val="none"/>
        </w:rPr>
      </w:pPr>
      <w:r>
        <w:rPr>
          <w:rFonts w:eastAsia="仿宋_GB2312"/>
          <w:color w:val="auto"/>
          <w:sz w:val="24"/>
          <w:szCs w:val="24"/>
          <w:highlight w:val="none"/>
        </w:rPr>
        <w:t>（1）防治责任范围表</w:t>
      </w:r>
    </w:p>
    <w:p>
      <w:pPr>
        <w:spacing w:line="360" w:lineRule="auto"/>
        <w:rPr>
          <w:rFonts w:eastAsia="仿宋_GB2312"/>
          <w:color w:val="auto"/>
          <w:sz w:val="24"/>
          <w:szCs w:val="24"/>
          <w:highlight w:val="none"/>
        </w:rPr>
      </w:pPr>
      <w:r>
        <w:rPr>
          <w:rFonts w:eastAsia="仿宋_GB2312"/>
          <w:color w:val="auto"/>
          <w:sz w:val="24"/>
          <w:szCs w:val="24"/>
          <w:highlight w:val="none"/>
        </w:rPr>
        <w:t>（2）防治标准指标计算表</w:t>
      </w:r>
    </w:p>
    <w:p>
      <w:pPr>
        <w:rPr>
          <w:rFonts w:eastAsia="仿宋_GB2312"/>
          <w:color w:val="auto"/>
          <w:sz w:val="28"/>
          <w:szCs w:val="28"/>
          <w:highlight w:val="none"/>
        </w:rPr>
      </w:pPr>
      <w:r>
        <w:rPr>
          <w:rFonts w:eastAsia="仿宋_GB2312"/>
          <w:b/>
          <w:color w:val="auto"/>
          <w:sz w:val="28"/>
          <w:szCs w:val="28"/>
          <w:highlight w:val="none"/>
        </w:rPr>
        <w:t>附件：</w:t>
      </w:r>
    </w:p>
    <w:p>
      <w:pPr>
        <w:spacing w:line="360" w:lineRule="auto"/>
        <w:rPr>
          <w:rFonts w:hint="eastAsia" w:eastAsia="仿宋_GB2312"/>
          <w:color w:val="auto"/>
          <w:sz w:val="24"/>
          <w:szCs w:val="24"/>
          <w:highlight w:val="none"/>
        </w:rPr>
      </w:pPr>
      <w:r>
        <w:rPr>
          <w:rFonts w:hint="eastAsia" w:eastAsia="仿宋_GB2312"/>
          <w:color w:val="auto"/>
          <w:sz w:val="24"/>
          <w:szCs w:val="24"/>
          <w:highlight w:val="none"/>
        </w:rPr>
        <w:t>（1）</w:t>
      </w:r>
      <w:r>
        <w:rPr>
          <w:rFonts w:eastAsia="仿宋_GB2312"/>
          <w:color w:val="auto"/>
          <w:sz w:val="24"/>
          <w:szCs w:val="24"/>
          <w:highlight w:val="none"/>
        </w:rPr>
        <w:t>水土保持方案报告表编制委托书</w:t>
      </w:r>
    </w:p>
    <w:p>
      <w:pPr>
        <w:spacing w:line="360" w:lineRule="auto"/>
        <w:rPr>
          <w:rFonts w:hint="default" w:eastAsia="仿宋_GB2312"/>
          <w:color w:val="auto"/>
          <w:sz w:val="24"/>
          <w:szCs w:val="24"/>
          <w:highlight w:val="none"/>
          <w:lang w:val="en-US" w:eastAsia="zh-CN"/>
        </w:rPr>
      </w:pP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2</w:t>
      </w: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营业执照</w:t>
      </w:r>
    </w:p>
    <w:p>
      <w:pPr>
        <w:spacing w:line="360" w:lineRule="auto"/>
        <w:rPr>
          <w:rFonts w:hint="default" w:eastAsia="仿宋_GB2312"/>
          <w:color w:val="auto"/>
          <w:sz w:val="24"/>
          <w:szCs w:val="24"/>
          <w:highlight w:val="none"/>
          <w:lang w:val="en-US" w:eastAsia="zh-CN"/>
        </w:rPr>
      </w:pP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3</w:t>
      </w: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租赁合同</w:t>
      </w:r>
    </w:p>
    <w:p>
      <w:pPr>
        <w:spacing w:line="360" w:lineRule="auto"/>
        <w:rPr>
          <w:rFonts w:hint="default" w:eastAsia="仿宋_GB2312"/>
          <w:color w:val="auto"/>
          <w:sz w:val="24"/>
          <w:szCs w:val="24"/>
          <w:highlight w:val="none"/>
          <w:lang w:val="en-US" w:eastAsia="zh-CN"/>
        </w:rPr>
      </w:pP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4</w:t>
      </w: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建设用地审批表</w:t>
      </w:r>
    </w:p>
    <w:p>
      <w:pPr>
        <w:spacing w:line="360" w:lineRule="auto"/>
        <w:rPr>
          <w:rFonts w:hint="eastAsia" w:eastAsia="仿宋_GB2312"/>
          <w:color w:val="auto"/>
          <w:sz w:val="24"/>
          <w:szCs w:val="24"/>
          <w:highlight w:val="none"/>
          <w:lang w:eastAsia="zh-CN"/>
        </w:rPr>
      </w:pP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5</w:t>
      </w: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关于</w:t>
      </w:r>
      <w:r>
        <w:rPr>
          <w:rFonts w:hint="eastAsia" w:eastAsia="仿宋_GB2312"/>
          <w:color w:val="auto"/>
          <w:sz w:val="24"/>
          <w:szCs w:val="24"/>
          <w:highlight w:val="none"/>
          <w:lang w:eastAsia="zh-CN"/>
        </w:rPr>
        <w:t>吉林省鼎生工程有限公司水泥碎石制品建设项目</w:t>
      </w:r>
      <w:r>
        <w:rPr>
          <w:rFonts w:hint="eastAsia" w:eastAsia="仿宋_GB2312"/>
          <w:color w:val="auto"/>
          <w:sz w:val="24"/>
          <w:szCs w:val="24"/>
          <w:highlight w:val="none"/>
          <w:lang w:val="en-US" w:eastAsia="zh-CN"/>
        </w:rPr>
        <w:t>环境影响报告表的批复</w:t>
      </w: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抚行审投资〔2022〕305号</w:t>
      </w:r>
      <w:r>
        <w:rPr>
          <w:rFonts w:hint="eastAsia" w:eastAsia="仿宋_GB2312"/>
          <w:color w:val="auto"/>
          <w:sz w:val="24"/>
          <w:szCs w:val="24"/>
          <w:highlight w:val="none"/>
          <w:lang w:eastAsia="zh-CN"/>
        </w:rPr>
        <w:t>）</w:t>
      </w:r>
    </w:p>
    <w:p>
      <w:pPr>
        <w:spacing w:line="360" w:lineRule="auto"/>
        <w:rPr>
          <w:rFonts w:hint="eastAsia" w:eastAsia="仿宋_GB2312"/>
          <w:color w:val="auto"/>
          <w:sz w:val="24"/>
          <w:szCs w:val="24"/>
          <w:highlight w:val="none"/>
          <w:lang w:val="en-US" w:eastAsia="zh-CN"/>
        </w:rPr>
      </w:pPr>
      <w:r>
        <w:rPr>
          <w:rFonts w:hint="eastAsia" w:eastAsia="仿宋_GB2312"/>
          <w:color w:val="auto"/>
          <w:sz w:val="24"/>
          <w:szCs w:val="24"/>
          <w:highlight w:val="none"/>
        </w:rPr>
        <w:t>（</w:t>
      </w:r>
      <w:r>
        <w:rPr>
          <w:rFonts w:hint="eastAsia" w:eastAsia="仿宋_GB2312"/>
          <w:color w:val="auto"/>
          <w:sz w:val="24"/>
          <w:szCs w:val="24"/>
          <w:highlight w:val="none"/>
          <w:lang w:val="en-US" w:eastAsia="zh-CN"/>
        </w:rPr>
        <w:t>6</w:t>
      </w:r>
      <w:r>
        <w:rPr>
          <w:rFonts w:hint="eastAsia" w:eastAsia="仿宋_GB2312"/>
          <w:color w:val="auto"/>
          <w:sz w:val="24"/>
          <w:szCs w:val="24"/>
          <w:highlight w:val="none"/>
        </w:rPr>
        <w:t>）</w:t>
      </w: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抚松县水利局限期编报水土保持方案通知书</w:t>
      </w: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抚水保</w:t>
      </w: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方案通字[2023]第（001）号）</w:t>
      </w:r>
    </w:p>
    <w:p>
      <w:pPr>
        <w:spacing w:line="360" w:lineRule="auto"/>
        <w:rPr>
          <w:rFonts w:hint="eastAsia" w:eastAsia="仿宋_GB2312"/>
          <w:color w:val="auto"/>
          <w:sz w:val="24"/>
          <w:szCs w:val="24"/>
          <w:highlight w:val="none"/>
          <w:lang w:val="en-US" w:eastAsia="zh-CN"/>
        </w:rPr>
      </w:pPr>
    </w:p>
    <w:p>
      <w:pPr>
        <w:spacing w:line="360" w:lineRule="auto"/>
        <w:rPr>
          <w:rFonts w:hint="eastAsia" w:eastAsia="仿宋_GB2312"/>
          <w:color w:val="auto"/>
          <w:sz w:val="24"/>
          <w:szCs w:val="24"/>
          <w:highlight w:val="none"/>
          <w:lang w:val="en-US" w:eastAsia="zh-CN"/>
        </w:rPr>
      </w:pPr>
    </w:p>
    <w:p>
      <w:pPr>
        <w:spacing w:line="360" w:lineRule="auto"/>
        <w:rPr>
          <w:rFonts w:hint="eastAsia" w:eastAsia="仿宋_GB2312"/>
          <w:color w:val="auto"/>
          <w:sz w:val="24"/>
          <w:szCs w:val="24"/>
          <w:highlight w:val="none"/>
          <w:lang w:val="en-US" w:eastAsia="zh-CN"/>
        </w:rPr>
      </w:pPr>
    </w:p>
    <w:p>
      <w:pPr>
        <w:spacing w:line="360" w:lineRule="auto"/>
        <w:rPr>
          <w:rFonts w:eastAsia="仿宋_GB2312"/>
          <w:b/>
          <w:color w:val="auto"/>
          <w:sz w:val="28"/>
          <w:szCs w:val="28"/>
          <w:highlight w:val="none"/>
        </w:rPr>
      </w:pPr>
      <w:r>
        <w:rPr>
          <w:rFonts w:eastAsia="仿宋_GB2312"/>
          <w:b/>
          <w:color w:val="auto"/>
          <w:sz w:val="28"/>
          <w:szCs w:val="28"/>
          <w:highlight w:val="none"/>
        </w:rPr>
        <w:t>附图：</w:t>
      </w:r>
    </w:p>
    <w:tbl>
      <w:tblPr>
        <w:tblStyle w:val="24"/>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5665"/>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983"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序号</w:t>
            </w:r>
          </w:p>
        </w:tc>
        <w:tc>
          <w:tcPr>
            <w:tcW w:w="5665"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附图名称</w:t>
            </w:r>
          </w:p>
        </w:tc>
        <w:tc>
          <w:tcPr>
            <w:tcW w:w="1873"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3"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1</w:t>
            </w:r>
          </w:p>
        </w:tc>
        <w:tc>
          <w:tcPr>
            <w:tcW w:w="5665"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项目地理位置图</w:t>
            </w:r>
          </w:p>
        </w:tc>
        <w:tc>
          <w:tcPr>
            <w:tcW w:w="1873"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A4彩图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3"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2</w:t>
            </w:r>
          </w:p>
        </w:tc>
        <w:tc>
          <w:tcPr>
            <w:tcW w:w="5665"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项目区水系图</w:t>
            </w:r>
          </w:p>
        </w:tc>
        <w:tc>
          <w:tcPr>
            <w:tcW w:w="1873"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A4彩图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3"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3</w:t>
            </w:r>
          </w:p>
        </w:tc>
        <w:tc>
          <w:tcPr>
            <w:tcW w:w="5665"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项目总体布置</w:t>
            </w:r>
            <w:r>
              <w:rPr>
                <w:rFonts w:hint="eastAsia" w:eastAsia="仿宋_GB2312"/>
                <w:color w:val="auto"/>
                <w:sz w:val="24"/>
                <w:szCs w:val="24"/>
                <w:highlight w:val="none"/>
              </w:rPr>
              <w:t>及分区防治措施总体布设图</w:t>
            </w:r>
          </w:p>
        </w:tc>
        <w:tc>
          <w:tcPr>
            <w:tcW w:w="1873"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A</w:t>
            </w:r>
            <w:r>
              <w:rPr>
                <w:rFonts w:hint="eastAsia" w:eastAsia="仿宋_GB2312"/>
                <w:color w:val="auto"/>
                <w:sz w:val="24"/>
                <w:szCs w:val="24"/>
                <w:highlight w:val="none"/>
                <w:lang w:val="en-US" w:eastAsia="zh-CN"/>
              </w:rPr>
              <w:t>3</w:t>
            </w:r>
            <w:r>
              <w:rPr>
                <w:rFonts w:hint="eastAsia" w:eastAsia="仿宋_GB2312"/>
                <w:color w:val="auto"/>
                <w:sz w:val="24"/>
                <w:szCs w:val="24"/>
                <w:highlight w:val="none"/>
              </w:rPr>
              <w:t>彩</w:t>
            </w:r>
            <w:r>
              <w:rPr>
                <w:rFonts w:eastAsia="仿宋_GB2312"/>
                <w:color w:val="auto"/>
                <w:sz w:val="24"/>
                <w:szCs w:val="24"/>
                <w:highlight w:val="none"/>
              </w:rPr>
              <w:t>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3"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4</w:t>
            </w:r>
          </w:p>
        </w:tc>
        <w:tc>
          <w:tcPr>
            <w:tcW w:w="5665"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临时堆土防护典型</w:t>
            </w:r>
            <w:r>
              <w:rPr>
                <w:rFonts w:eastAsia="仿宋_GB2312"/>
                <w:color w:val="auto"/>
                <w:sz w:val="24"/>
                <w:szCs w:val="24"/>
                <w:highlight w:val="none"/>
              </w:rPr>
              <w:t>布</w:t>
            </w:r>
            <w:r>
              <w:rPr>
                <w:rFonts w:hint="eastAsia" w:eastAsia="仿宋_GB2312"/>
                <w:color w:val="auto"/>
                <w:sz w:val="24"/>
                <w:szCs w:val="24"/>
                <w:highlight w:val="none"/>
                <w:lang w:val="en-US" w:eastAsia="zh-CN"/>
              </w:rPr>
              <w:t>设</w:t>
            </w:r>
            <w:r>
              <w:rPr>
                <w:rFonts w:eastAsia="仿宋_GB2312"/>
                <w:color w:val="auto"/>
                <w:sz w:val="24"/>
                <w:szCs w:val="24"/>
                <w:highlight w:val="none"/>
              </w:rPr>
              <w:t>图</w:t>
            </w:r>
          </w:p>
        </w:tc>
        <w:tc>
          <w:tcPr>
            <w:tcW w:w="1873" w:type="dxa"/>
            <w:vAlign w:val="center"/>
          </w:tcPr>
          <w:p>
            <w:pPr>
              <w:spacing w:line="240" w:lineRule="auto"/>
              <w:jc w:val="center"/>
              <w:rPr>
                <w:rFonts w:eastAsia="仿宋_GB2312"/>
                <w:color w:val="auto"/>
                <w:sz w:val="24"/>
                <w:szCs w:val="24"/>
                <w:highlight w:val="none"/>
              </w:rPr>
            </w:pPr>
            <w:r>
              <w:rPr>
                <w:rFonts w:eastAsia="仿宋_GB2312"/>
                <w:color w:val="auto"/>
                <w:sz w:val="24"/>
                <w:szCs w:val="24"/>
                <w:highlight w:val="none"/>
              </w:rPr>
              <w:t>A4</w:t>
            </w:r>
            <w:r>
              <w:rPr>
                <w:rFonts w:hint="eastAsia" w:eastAsia="仿宋_GB2312"/>
                <w:color w:val="auto"/>
                <w:sz w:val="24"/>
                <w:szCs w:val="24"/>
                <w:highlight w:val="none"/>
                <w:lang w:val="en-US" w:eastAsia="zh-CN"/>
              </w:rPr>
              <w:t>彩</w:t>
            </w:r>
            <w:r>
              <w:rPr>
                <w:rFonts w:eastAsia="仿宋_GB2312"/>
                <w:color w:val="auto"/>
                <w:sz w:val="24"/>
                <w:szCs w:val="24"/>
                <w:highlight w:val="none"/>
              </w:rPr>
              <w:t>图</w:t>
            </w:r>
          </w:p>
        </w:tc>
      </w:tr>
    </w:tbl>
    <w:p>
      <w:pPr>
        <w:spacing w:line="240" w:lineRule="auto"/>
        <w:jc w:val="both"/>
        <w:rPr>
          <w:rFonts w:eastAsia="仿宋_GB2312"/>
          <w:color w:val="auto"/>
          <w:sz w:val="36"/>
        </w:rPr>
        <w:sectPr>
          <w:headerReference r:id="rId7" w:type="default"/>
          <w:footerReference r:id="rId8" w:type="default"/>
          <w:pgSz w:w="11907" w:h="16840"/>
          <w:pgMar w:top="1418" w:right="1588" w:bottom="1418" w:left="1588" w:header="851" w:footer="851" w:gutter="0"/>
          <w:pgNumType w:fmt="upperRoman" w:start="1"/>
          <w:cols w:space="720" w:num="1"/>
        </w:sectPr>
      </w:pPr>
    </w:p>
    <w:p>
      <w:pPr>
        <w:pStyle w:val="4"/>
        <w:spacing w:before="0" w:after="0" w:line="360" w:lineRule="auto"/>
        <w:rPr>
          <w:rFonts w:eastAsia="仿宋_GB2312"/>
          <w:color w:val="auto"/>
          <w:sz w:val="28"/>
          <w:szCs w:val="28"/>
          <w:highlight w:val="none"/>
        </w:rPr>
      </w:pPr>
      <w:bookmarkStart w:id="2" w:name="_Toc23684"/>
      <w:r>
        <w:rPr>
          <w:rFonts w:eastAsia="仿宋_GB2312"/>
          <w:color w:val="auto"/>
          <w:sz w:val="28"/>
          <w:szCs w:val="28"/>
          <w:highlight w:val="none"/>
        </w:rPr>
        <w:t>1.综合说明</w:t>
      </w:r>
      <w:bookmarkEnd w:id="2"/>
    </w:p>
    <w:p>
      <w:pPr>
        <w:pStyle w:val="5"/>
        <w:spacing w:before="0" w:after="0" w:line="360" w:lineRule="auto"/>
        <w:rPr>
          <w:rFonts w:ascii="Times New Roman" w:hAnsi="Times New Roman" w:eastAsia="仿宋_GB2312"/>
          <w:color w:val="auto"/>
          <w:sz w:val="28"/>
          <w:szCs w:val="28"/>
          <w:highlight w:val="none"/>
        </w:rPr>
      </w:pPr>
      <w:bookmarkStart w:id="3" w:name="_Toc2282"/>
      <w:r>
        <w:rPr>
          <w:rFonts w:ascii="Times New Roman" w:hAnsi="Times New Roman" w:eastAsia="仿宋_GB2312"/>
          <w:color w:val="auto"/>
          <w:sz w:val="28"/>
          <w:szCs w:val="28"/>
          <w:highlight w:val="none"/>
        </w:rPr>
        <w:t>1.1项目简况</w:t>
      </w:r>
      <w:bookmarkEnd w:id="3"/>
    </w:p>
    <w:p>
      <w:pPr>
        <w:spacing w:line="360" w:lineRule="auto"/>
        <w:rPr>
          <w:rFonts w:eastAsia="仿宋_GB2312"/>
          <w:b/>
          <w:color w:val="auto"/>
          <w:szCs w:val="24"/>
          <w:highlight w:val="none"/>
        </w:rPr>
      </w:pPr>
      <w:r>
        <w:rPr>
          <w:rFonts w:eastAsia="仿宋_GB2312"/>
          <w:b/>
          <w:color w:val="auto"/>
          <w:sz w:val="28"/>
          <w:szCs w:val="28"/>
          <w:highlight w:val="none"/>
        </w:rPr>
        <w:t>1.1.1</w:t>
      </w:r>
      <w:r>
        <w:rPr>
          <w:rFonts w:eastAsia="仿宋_GB2312"/>
          <w:b/>
          <w:color w:val="auto"/>
          <w:szCs w:val="24"/>
          <w:highlight w:val="none"/>
        </w:rPr>
        <w:t>项目基本情况</w:t>
      </w:r>
    </w:p>
    <w:p>
      <w:pPr>
        <w:spacing w:line="360" w:lineRule="auto"/>
        <w:ind w:firstLine="480" w:firstLineChars="200"/>
        <w:rPr>
          <w:rFonts w:hint="default" w:eastAsia="仿宋_GB2312"/>
          <w:color w:val="auto"/>
          <w:szCs w:val="24"/>
          <w:highlight w:val="none"/>
          <w:lang w:val="en-US" w:eastAsia="zh-CN"/>
        </w:rPr>
      </w:pPr>
      <w:r>
        <w:rPr>
          <w:rFonts w:hint="eastAsia" w:eastAsia="仿宋_GB2312"/>
          <w:color w:val="auto"/>
          <w:szCs w:val="24"/>
          <w:highlight w:val="none"/>
          <w:lang w:eastAsia="zh-CN"/>
        </w:rPr>
        <w:t>随着</w:t>
      </w:r>
      <w:r>
        <w:rPr>
          <w:rFonts w:hint="eastAsia" w:eastAsia="仿宋_GB2312"/>
          <w:color w:val="auto"/>
          <w:szCs w:val="24"/>
          <w:highlight w:val="none"/>
          <w:lang w:val="en-US" w:eastAsia="zh-CN"/>
        </w:rPr>
        <w:t>抚松县</w:t>
      </w:r>
      <w:r>
        <w:rPr>
          <w:rFonts w:hint="eastAsia" w:eastAsia="仿宋_GB2312"/>
          <w:color w:val="auto"/>
          <w:szCs w:val="24"/>
          <w:highlight w:val="none"/>
          <w:lang w:eastAsia="zh-CN"/>
        </w:rPr>
        <w:t>及周边城市基础设施的不断发展，建设规模大量增加，</w:t>
      </w:r>
      <w:r>
        <w:rPr>
          <w:rFonts w:hint="eastAsia" w:eastAsia="仿宋_GB2312"/>
          <w:color w:val="auto"/>
          <w:szCs w:val="24"/>
          <w:highlight w:val="none"/>
          <w:lang w:val="en-US" w:eastAsia="zh-CN"/>
        </w:rPr>
        <w:t>商品混凝土、稳定土、碎石以及其他建筑材料的需求也在大量增加，其市场前景</w:t>
      </w:r>
      <w:r>
        <w:rPr>
          <w:rFonts w:hint="eastAsia" w:eastAsia="仿宋_GB2312"/>
          <w:color w:val="auto"/>
          <w:szCs w:val="24"/>
          <w:highlight w:val="none"/>
          <w:lang w:eastAsia="zh-CN"/>
        </w:rPr>
        <w:t>十分广阔。</w:t>
      </w:r>
      <w:r>
        <w:rPr>
          <w:rFonts w:hint="eastAsia" w:eastAsia="仿宋_GB2312"/>
          <w:color w:val="auto"/>
          <w:szCs w:val="24"/>
          <w:highlight w:val="none"/>
          <w:lang w:val="en-US" w:eastAsia="zh-CN"/>
        </w:rPr>
        <w:t>为了迎合市场需求，</w:t>
      </w:r>
      <w:r>
        <w:rPr>
          <w:rFonts w:hint="eastAsia" w:eastAsia="仿宋_GB2312"/>
          <w:color w:val="auto"/>
          <w:szCs w:val="24"/>
          <w:highlight w:val="none"/>
          <w:lang w:eastAsia="zh-CN"/>
        </w:rPr>
        <w:t>吉林省鼎生工程有限公司</w:t>
      </w:r>
      <w:r>
        <w:rPr>
          <w:rFonts w:hint="eastAsia" w:eastAsia="仿宋_GB2312"/>
          <w:color w:val="auto"/>
          <w:szCs w:val="24"/>
          <w:highlight w:val="none"/>
          <w:lang w:val="en-US" w:eastAsia="zh-CN"/>
        </w:rPr>
        <w:t>拟在</w:t>
      </w:r>
      <w:r>
        <w:rPr>
          <w:rFonts w:hint="default" w:eastAsia="仿宋_GB2312"/>
          <w:color w:val="auto"/>
          <w:szCs w:val="24"/>
          <w:highlight w:val="none"/>
          <w:lang w:eastAsia="zh-CN"/>
        </w:rPr>
        <w:t>白山市抚松县德胜村道口504国道东侧</w:t>
      </w:r>
      <w:r>
        <w:rPr>
          <w:rFonts w:hint="eastAsia" w:eastAsia="仿宋_GB2312"/>
          <w:color w:val="auto"/>
          <w:szCs w:val="24"/>
          <w:highlight w:val="none"/>
          <w:lang w:val="en-US" w:eastAsia="zh-CN"/>
        </w:rPr>
        <w:t>建设</w:t>
      </w:r>
      <w:r>
        <w:rPr>
          <w:rFonts w:hint="eastAsia" w:eastAsia="仿宋_GB2312"/>
          <w:color w:val="auto"/>
          <w:szCs w:val="24"/>
          <w:highlight w:val="none"/>
          <w:lang w:eastAsia="zh-CN"/>
        </w:rPr>
        <w:t>吉林省鼎生工程有限公司水泥碎石制品建设项目，</w:t>
      </w:r>
      <w:r>
        <w:rPr>
          <w:rFonts w:hint="eastAsia" w:eastAsia="仿宋_GB2312"/>
          <w:color w:val="auto"/>
          <w:szCs w:val="24"/>
          <w:highlight w:val="none"/>
          <w:lang w:val="en-US" w:eastAsia="zh-CN"/>
        </w:rPr>
        <w:t>该项目的建设可以推动地方城镇基础设施建设及其它工程的建设。本项目建设完成后能有效增加地方财政收入，从而推动社会各项事业发展，促进地方人员就业和增收，有利于地方经济发展和社会稳定。因此本项目的建设是必要的。</w:t>
      </w:r>
    </w:p>
    <w:p>
      <w:pPr>
        <w:spacing w:line="360" w:lineRule="auto"/>
        <w:ind w:firstLine="480" w:firstLineChars="200"/>
        <w:rPr>
          <w:rFonts w:hint="default" w:eastAsia="仿宋_GB2312"/>
          <w:color w:val="auto"/>
          <w:szCs w:val="24"/>
          <w:highlight w:val="none"/>
          <w:lang w:val="en-US" w:eastAsia="zh-CN"/>
        </w:rPr>
      </w:pPr>
      <w:r>
        <w:rPr>
          <w:rFonts w:hint="eastAsia" w:eastAsia="仿宋_GB2312"/>
          <w:color w:val="auto"/>
          <w:szCs w:val="24"/>
          <w:highlight w:val="none"/>
          <w:lang w:eastAsia="zh-CN"/>
        </w:rPr>
        <w:t>吉林省鼎生工程有限公司水泥碎石制品建设项目</w:t>
      </w:r>
      <w:r>
        <w:rPr>
          <w:rFonts w:hint="eastAsia" w:eastAsia="仿宋_GB2312"/>
          <w:color w:val="auto"/>
          <w:szCs w:val="24"/>
          <w:highlight w:val="none"/>
          <w:lang w:val="en-US" w:eastAsia="zh-CN"/>
        </w:rPr>
        <w:t>行政隶属于</w:t>
      </w:r>
      <w:r>
        <w:rPr>
          <w:rFonts w:hint="eastAsia" w:eastAsia="仿宋_GB2312"/>
          <w:color w:val="auto"/>
          <w:szCs w:val="24"/>
          <w:highlight w:val="none"/>
          <w:lang w:val="en-US" w:eastAsia="zh-CN"/>
        </w:rPr>
        <w:t>吉林省白山市抚松县兴隆乡</w:t>
      </w:r>
      <w:r>
        <w:rPr>
          <w:rFonts w:hint="eastAsia" w:eastAsia="仿宋_GB2312"/>
          <w:color w:val="auto"/>
          <w:szCs w:val="24"/>
          <w:highlight w:val="none"/>
          <w:lang w:val="en-US" w:eastAsia="zh-CN"/>
        </w:rPr>
        <w:t>，厂址</w:t>
      </w:r>
      <w:r>
        <w:rPr>
          <w:rFonts w:eastAsia="仿宋_GB2312"/>
          <w:color w:val="auto"/>
          <w:szCs w:val="24"/>
          <w:highlight w:val="none"/>
        </w:rPr>
        <w:t>位于</w:t>
      </w:r>
      <w:r>
        <w:rPr>
          <w:rFonts w:hint="default" w:eastAsia="仿宋_GB2312"/>
          <w:color w:val="auto"/>
          <w:szCs w:val="24"/>
          <w:highlight w:val="none"/>
          <w:lang w:eastAsia="zh-CN"/>
        </w:rPr>
        <w:t>白山市抚松县德胜村道口504国道东侧，租赁原民富砖瓦陶瓷厂空地</w:t>
      </w:r>
      <w:r>
        <w:rPr>
          <w:rFonts w:hint="eastAsia" w:eastAsia="仿宋_GB2312"/>
          <w:color w:val="auto"/>
          <w:szCs w:val="24"/>
          <w:highlight w:val="none"/>
          <w:lang w:eastAsia="zh-CN"/>
        </w:rPr>
        <w:t>。</w:t>
      </w:r>
      <w:r>
        <w:rPr>
          <w:rFonts w:hint="eastAsia" w:eastAsia="仿宋_GB2312"/>
          <w:color w:val="auto"/>
          <w:szCs w:val="24"/>
          <w:highlight w:val="none"/>
          <w:lang w:val="en-US" w:eastAsia="zh-CN"/>
        </w:rPr>
        <w:t>厂址东至荒地，南至荒地，西至荒地，北至荒地，</w:t>
      </w:r>
      <w:r>
        <w:rPr>
          <w:rFonts w:hint="default" w:eastAsia="仿宋_GB2312"/>
          <w:color w:val="auto"/>
          <w:szCs w:val="24"/>
          <w:highlight w:val="none"/>
          <w:lang w:eastAsia="zh-CN"/>
        </w:rPr>
        <w:t>项目区</w:t>
      </w:r>
      <w:r>
        <w:rPr>
          <w:rFonts w:hint="eastAsia" w:eastAsia="仿宋_GB2312"/>
          <w:color w:val="auto"/>
          <w:szCs w:val="24"/>
          <w:highlight w:val="none"/>
          <w:lang w:val="en-US" w:eastAsia="zh-CN"/>
        </w:rPr>
        <w:t>中心</w:t>
      </w:r>
      <w:r>
        <w:rPr>
          <w:rFonts w:hint="default" w:eastAsia="仿宋_GB2312"/>
          <w:color w:val="auto"/>
          <w:szCs w:val="24"/>
          <w:highlight w:val="none"/>
          <w:lang w:eastAsia="zh-CN"/>
        </w:rPr>
        <w:t>地理坐标：东经127°23'24.46"，北纬42°14'11.35"</w:t>
      </w:r>
      <w:r>
        <w:rPr>
          <w:rFonts w:hint="eastAsia" w:eastAsia="仿宋_GB2312"/>
          <w:color w:val="auto"/>
          <w:szCs w:val="24"/>
          <w:highlight w:val="none"/>
          <w:lang w:eastAsia="zh-CN"/>
        </w:rPr>
        <w:t>，</w:t>
      </w:r>
      <w:r>
        <w:rPr>
          <w:rFonts w:hint="eastAsia" w:eastAsia="仿宋_GB2312"/>
          <w:color w:val="auto"/>
          <w:szCs w:val="24"/>
          <w:highlight w:val="none"/>
          <w:lang w:val="en-US" w:eastAsia="zh-CN"/>
        </w:rPr>
        <w:t>项目区附近有504国道，交通便利。</w:t>
      </w:r>
    </w:p>
    <w:p>
      <w:pPr>
        <w:spacing w:line="360" w:lineRule="auto"/>
        <w:ind w:firstLine="480" w:firstLineChars="200"/>
        <w:rPr>
          <w:rFonts w:hint="eastAsia"/>
          <w:color w:val="auto"/>
          <w:sz w:val="24"/>
          <w:lang w:eastAsia="zh-CN"/>
        </w:rPr>
      </w:pPr>
      <w:r>
        <w:rPr>
          <w:rFonts w:hint="eastAsia" w:eastAsia="仿宋_GB2312"/>
          <w:color w:val="auto"/>
          <w:szCs w:val="24"/>
          <w:highlight w:val="none"/>
          <w:lang w:val="en-US" w:eastAsia="zh-CN"/>
        </w:rPr>
        <w:t>本项目为新建建设类项目。总用</w:t>
      </w:r>
      <w:r>
        <w:rPr>
          <w:rFonts w:hint="eastAsia" w:eastAsia="仿宋_GB2312"/>
          <w:color w:val="auto"/>
          <w:szCs w:val="24"/>
          <w:highlight w:val="none"/>
          <w:lang w:eastAsia="zh-CN"/>
        </w:rPr>
        <w:t>地面积6664m</w:t>
      </w:r>
      <w:r>
        <w:rPr>
          <w:rFonts w:hint="eastAsia" w:eastAsia="仿宋_GB2312"/>
          <w:color w:val="auto"/>
          <w:szCs w:val="24"/>
          <w:highlight w:val="none"/>
          <w:vertAlign w:val="superscript"/>
          <w:lang w:eastAsia="zh-CN"/>
        </w:rPr>
        <w:t>2</w:t>
      </w:r>
      <w:r>
        <w:rPr>
          <w:rFonts w:hint="eastAsia" w:eastAsia="仿宋_GB2312"/>
          <w:color w:val="auto"/>
          <w:szCs w:val="24"/>
          <w:highlight w:val="none"/>
          <w:lang w:eastAsia="zh-CN"/>
        </w:rPr>
        <w:t>，</w:t>
      </w:r>
      <w:r>
        <w:rPr>
          <w:rFonts w:hint="eastAsia" w:eastAsia="仿宋_GB2312"/>
          <w:color w:val="auto"/>
          <w:szCs w:val="24"/>
          <w:highlight w:val="none"/>
          <w:lang w:val="en-US" w:eastAsia="zh-CN"/>
        </w:rPr>
        <w:t>总</w:t>
      </w:r>
      <w:r>
        <w:rPr>
          <w:rFonts w:hint="eastAsia" w:eastAsia="仿宋_GB2312"/>
          <w:color w:val="auto"/>
          <w:szCs w:val="24"/>
          <w:highlight w:val="none"/>
          <w:lang w:eastAsia="zh-CN"/>
        </w:rPr>
        <w:t>建筑面积1100m</w:t>
      </w:r>
      <w:r>
        <w:rPr>
          <w:rFonts w:hint="eastAsia" w:eastAsia="仿宋_GB2312"/>
          <w:color w:val="auto"/>
          <w:szCs w:val="24"/>
          <w:highlight w:val="none"/>
          <w:vertAlign w:val="superscript"/>
          <w:lang w:eastAsia="zh-CN"/>
        </w:rPr>
        <w:t>2</w:t>
      </w:r>
      <w:r>
        <w:rPr>
          <w:rFonts w:hint="eastAsia" w:eastAsia="仿宋_GB2312"/>
          <w:color w:val="auto"/>
          <w:szCs w:val="24"/>
          <w:highlight w:val="none"/>
          <w:lang w:eastAsia="zh-CN"/>
        </w:rPr>
        <w:t>，</w:t>
      </w:r>
      <w:r>
        <w:rPr>
          <w:rFonts w:hint="eastAsia" w:eastAsia="仿宋_GB2312"/>
          <w:color w:val="auto"/>
          <w:szCs w:val="24"/>
          <w:highlight w:val="none"/>
          <w:lang w:val="en-US" w:eastAsia="zh-CN"/>
        </w:rPr>
        <w:t>建（构）筑物基底面积1219</w:t>
      </w:r>
      <w:r>
        <w:rPr>
          <w:rFonts w:hint="eastAsia" w:eastAsia="仿宋_GB2312"/>
          <w:color w:val="auto"/>
          <w:szCs w:val="24"/>
          <w:highlight w:val="none"/>
          <w:lang w:eastAsia="zh-CN"/>
        </w:rPr>
        <w:t>m</w:t>
      </w:r>
      <w:r>
        <w:rPr>
          <w:rFonts w:hint="eastAsia" w:eastAsia="仿宋_GB2312"/>
          <w:color w:val="auto"/>
          <w:szCs w:val="24"/>
          <w:highlight w:val="none"/>
          <w:vertAlign w:val="superscript"/>
          <w:lang w:eastAsia="zh-CN"/>
        </w:rPr>
        <w:t>2</w:t>
      </w:r>
      <w:r>
        <w:rPr>
          <w:rFonts w:hint="eastAsia" w:eastAsia="仿宋_GB2312"/>
          <w:color w:val="auto"/>
          <w:szCs w:val="24"/>
          <w:highlight w:val="none"/>
          <w:lang w:eastAsia="zh-CN"/>
        </w:rPr>
        <w:t>，</w:t>
      </w:r>
      <w:r>
        <w:rPr>
          <w:rFonts w:hint="eastAsia" w:eastAsia="仿宋_GB2312"/>
          <w:color w:val="auto"/>
          <w:szCs w:val="24"/>
          <w:highlight w:val="none"/>
          <w:lang w:val="en-US" w:eastAsia="zh-CN"/>
        </w:rPr>
        <w:t>道路及硬化区域面积5445m</w:t>
      </w:r>
      <w:r>
        <w:rPr>
          <w:rFonts w:hint="eastAsia" w:eastAsia="仿宋_GB2312"/>
          <w:color w:val="auto"/>
          <w:szCs w:val="24"/>
          <w:highlight w:val="none"/>
          <w:vertAlign w:val="superscript"/>
          <w:lang w:val="en-US" w:eastAsia="zh-CN"/>
        </w:rPr>
        <w:t>2</w:t>
      </w:r>
      <w:r>
        <w:rPr>
          <w:rFonts w:hint="eastAsia" w:eastAsia="仿宋_GB2312"/>
          <w:color w:val="auto"/>
          <w:szCs w:val="24"/>
          <w:highlight w:val="none"/>
          <w:lang w:val="en-US" w:eastAsia="zh-CN"/>
        </w:rPr>
        <w:t>。本项目</w:t>
      </w:r>
      <w:r>
        <w:rPr>
          <w:rFonts w:hint="default" w:eastAsia="仿宋_GB2312"/>
          <w:color w:val="auto"/>
          <w:szCs w:val="24"/>
          <w:highlight w:val="none"/>
          <w:lang w:val="en-US" w:eastAsia="zh-CN"/>
        </w:rPr>
        <w:t>主要建设</w:t>
      </w:r>
      <w:r>
        <w:rPr>
          <w:rFonts w:hint="eastAsia" w:eastAsia="仿宋_GB2312"/>
          <w:color w:val="auto"/>
          <w:szCs w:val="24"/>
          <w:highlight w:val="none"/>
          <w:lang w:val="en-US" w:eastAsia="zh-CN"/>
        </w:rPr>
        <w:t>内容包括：</w:t>
      </w:r>
      <w:r>
        <w:rPr>
          <w:rFonts w:hint="default" w:eastAsia="仿宋_GB2312"/>
          <w:color w:val="auto"/>
          <w:szCs w:val="24"/>
          <w:highlight w:val="none"/>
          <w:lang w:val="en-US" w:eastAsia="zh-CN"/>
        </w:rPr>
        <w:t>混凝土搅拌站生产线</w:t>
      </w:r>
      <w:r>
        <w:rPr>
          <w:rFonts w:hint="eastAsia" w:eastAsia="仿宋_GB2312"/>
          <w:color w:val="auto"/>
          <w:szCs w:val="24"/>
          <w:highlight w:val="none"/>
          <w:lang w:val="en-US" w:eastAsia="zh-CN"/>
        </w:rPr>
        <w:t>1条</w:t>
      </w:r>
      <w:r>
        <w:rPr>
          <w:rFonts w:hint="default" w:eastAsia="仿宋_GB2312"/>
          <w:color w:val="auto"/>
          <w:szCs w:val="24"/>
          <w:highlight w:val="none"/>
          <w:lang w:val="en-US" w:eastAsia="zh-CN"/>
        </w:rPr>
        <w:t>、稳定土搅拌站生产线</w:t>
      </w:r>
      <w:r>
        <w:rPr>
          <w:rFonts w:hint="eastAsia" w:eastAsia="仿宋_GB2312"/>
          <w:color w:val="auto"/>
          <w:szCs w:val="24"/>
          <w:highlight w:val="none"/>
          <w:lang w:val="en-US" w:eastAsia="zh-CN"/>
        </w:rPr>
        <w:t>1条</w:t>
      </w:r>
      <w:r>
        <w:rPr>
          <w:rFonts w:hint="default" w:eastAsia="仿宋_GB2312"/>
          <w:color w:val="auto"/>
          <w:szCs w:val="24"/>
          <w:highlight w:val="none"/>
          <w:lang w:val="en-US" w:eastAsia="zh-CN"/>
        </w:rPr>
        <w:t>、碎石生产线</w:t>
      </w:r>
      <w:r>
        <w:rPr>
          <w:rFonts w:hint="eastAsia" w:eastAsia="仿宋_GB2312"/>
          <w:color w:val="auto"/>
          <w:szCs w:val="24"/>
          <w:highlight w:val="none"/>
          <w:lang w:val="en-US" w:eastAsia="zh-CN"/>
        </w:rPr>
        <w:t>1条</w:t>
      </w:r>
      <w:r>
        <w:rPr>
          <w:rFonts w:hint="default" w:eastAsia="仿宋_GB2312"/>
          <w:color w:val="auto"/>
          <w:szCs w:val="24"/>
          <w:highlight w:val="none"/>
          <w:lang w:val="en-US" w:eastAsia="zh-CN"/>
        </w:rPr>
        <w:t>，办公室</w:t>
      </w:r>
      <w:r>
        <w:rPr>
          <w:rFonts w:hint="eastAsia" w:eastAsia="仿宋_GB2312"/>
          <w:color w:val="auto"/>
          <w:szCs w:val="24"/>
          <w:highlight w:val="none"/>
          <w:lang w:val="en-US" w:eastAsia="zh-CN"/>
        </w:rPr>
        <w:t>1座</w:t>
      </w:r>
      <w:r>
        <w:rPr>
          <w:rFonts w:hint="default" w:eastAsia="仿宋_GB2312"/>
          <w:color w:val="auto"/>
          <w:szCs w:val="24"/>
          <w:highlight w:val="none"/>
          <w:lang w:val="en-US" w:eastAsia="zh-CN"/>
        </w:rPr>
        <w:t>、试验室</w:t>
      </w:r>
      <w:r>
        <w:rPr>
          <w:rFonts w:hint="eastAsia" w:eastAsia="仿宋_GB2312"/>
          <w:color w:val="auto"/>
          <w:szCs w:val="24"/>
          <w:highlight w:val="none"/>
          <w:lang w:val="en-US" w:eastAsia="zh-CN"/>
        </w:rPr>
        <w:t>1座</w:t>
      </w:r>
      <w:r>
        <w:rPr>
          <w:rFonts w:hint="default" w:eastAsia="仿宋_GB2312"/>
          <w:color w:val="auto"/>
          <w:szCs w:val="24"/>
          <w:highlight w:val="none"/>
          <w:lang w:val="en-US" w:eastAsia="zh-CN"/>
        </w:rPr>
        <w:t>以及贮料场</w:t>
      </w:r>
      <w:r>
        <w:rPr>
          <w:rFonts w:hint="eastAsia" w:eastAsia="仿宋_GB2312"/>
          <w:color w:val="auto"/>
          <w:szCs w:val="24"/>
          <w:highlight w:val="none"/>
          <w:lang w:val="en-US" w:eastAsia="zh-CN"/>
        </w:rPr>
        <w:t>1处。</w:t>
      </w:r>
      <w:r>
        <w:rPr>
          <w:rFonts w:hint="eastAsia" w:eastAsia="仿宋_GB2312"/>
          <w:color w:val="auto"/>
          <w:szCs w:val="24"/>
          <w:highlight w:val="none"/>
          <w:lang w:eastAsia="zh-CN"/>
        </w:rPr>
        <w:t>项目建成后产品规模为年产商品混凝土10万m</w:t>
      </w:r>
      <w:r>
        <w:rPr>
          <w:rFonts w:hint="eastAsia" w:eastAsia="仿宋_GB2312"/>
          <w:color w:val="auto"/>
          <w:szCs w:val="24"/>
          <w:highlight w:val="none"/>
          <w:vertAlign w:val="superscript"/>
          <w:lang w:eastAsia="zh-CN"/>
        </w:rPr>
        <w:t>3</w:t>
      </w:r>
      <w:r>
        <w:rPr>
          <w:rFonts w:hint="eastAsia" w:eastAsia="仿宋_GB2312"/>
          <w:color w:val="auto"/>
          <w:szCs w:val="24"/>
          <w:highlight w:val="none"/>
          <w:lang w:eastAsia="zh-CN"/>
        </w:rPr>
        <w:t>/a、稳定土8万m</w:t>
      </w:r>
      <w:r>
        <w:rPr>
          <w:rFonts w:hint="eastAsia" w:eastAsia="仿宋_GB2312"/>
          <w:color w:val="auto"/>
          <w:szCs w:val="24"/>
          <w:highlight w:val="none"/>
          <w:vertAlign w:val="superscript"/>
          <w:lang w:eastAsia="zh-CN"/>
        </w:rPr>
        <w:t>3</w:t>
      </w:r>
      <w:r>
        <w:rPr>
          <w:rFonts w:hint="eastAsia" w:eastAsia="仿宋_GB2312"/>
          <w:color w:val="auto"/>
          <w:szCs w:val="24"/>
          <w:highlight w:val="none"/>
          <w:lang w:eastAsia="zh-CN"/>
        </w:rPr>
        <w:t>/a，碎石13万m</w:t>
      </w:r>
      <w:r>
        <w:rPr>
          <w:rFonts w:hint="eastAsia" w:eastAsia="仿宋_GB2312"/>
          <w:color w:val="auto"/>
          <w:szCs w:val="24"/>
          <w:highlight w:val="none"/>
          <w:vertAlign w:val="superscript"/>
          <w:lang w:eastAsia="zh-CN"/>
        </w:rPr>
        <w:t>3</w:t>
      </w:r>
      <w:r>
        <w:rPr>
          <w:rFonts w:hint="eastAsia" w:eastAsia="仿宋_GB2312"/>
          <w:color w:val="auto"/>
          <w:szCs w:val="24"/>
          <w:highlight w:val="none"/>
          <w:lang w:eastAsia="zh-CN"/>
        </w:rPr>
        <w:t>/a（其中8万m</w:t>
      </w:r>
      <w:r>
        <w:rPr>
          <w:rFonts w:hint="eastAsia" w:eastAsia="仿宋_GB2312"/>
          <w:color w:val="auto"/>
          <w:szCs w:val="24"/>
          <w:highlight w:val="none"/>
          <w:vertAlign w:val="superscript"/>
          <w:lang w:eastAsia="zh-CN"/>
        </w:rPr>
        <w:t>3</w:t>
      </w:r>
      <w:r>
        <w:rPr>
          <w:rFonts w:hint="eastAsia" w:eastAsia="仿宋_GB2312"/>
          <w:color w:val="auto"/>
          <w:szCs w:val="24"/>
          <w:highlight w:val="none"/>
          <w:lang w:eastAsia="zh-CN"/>
        </w:rPr>
        <w:t>/a自用，5万m</w:t>
      </w:r>
      <w:r>
        <w:rPr>
          <w:rFonts w:hint="eastAsia" w:eastAsia="仿宋_GB2312"/>
          <w:color w:val="auto"/>
          <w:szCs w:val="24"/>
          <w:highlight w:val="none"/>
          <w:vertAlign w:val="superscript"/>
          <w:lang w:eastAsia="zh-CN"/>
        </w:rPr>
        <w:t>3</w:t>
      </w:r>
      <w:r>
        <w:rPr>
          <w:rFonts w:hint="eastAsia" w:eastAsia="仿宋_GB2312"/>
          <w:color w:val="auto"/>
          <w:szCs w:val="24"/>
          <w:highlight w:val="none"/>
          <w:lang w:eastAsia="zh-CN"/>
        </w:rPr>
        <w:t>/a外售）。</w:t>
      </w:r>
    </w:p>
    <w:p>
      <w:pPr>
        <w:spacing w:line="360" w:lineRule="auto"/>
        <w:ind w:firstLine="480" w:firstLineChars="200"/>
        <w:rPr>
          <w:rFonts w:eastAsia="仿宋_GB2312"/>
          <w:b/>
          <w:color w:val="auto"/>
          <w:sz w:val="28"/>
          <w:szCs w:val="28"/>
          <w:highlight w:val="none"/>
        </w:rPr>
      </w:pPr>
      <w:r>
        <w:rPr>
          <w:rFonts w:eastAsia="仿宋_GB2312"/>
          <w:color w:val="auto"/>
          <w:szCs w:val="24"/>
        </w:rPr>
        <w:t>本项目由工程建设区组成，总占地面积</w:t>
      </w:r>
      <w:r>
        <w:rPr>
          <w:rFonts w:hint="eastAsia" w:eastAsia="仿宋_GB2312"/>
          <w:color w:val="auto"/>
          <w:szCs w:val="24"/>
          <w:lang w:val="en-US" w:eastAsia="zh-CN"/>
        </w:rPr>
        <w:t>0.67</w:t>
      </w:r>
      <w:r>
        <w:rPr>
          <w:rFonts w:eastAsia="仿宋_GB2312"/>
          <w:color w:val="auto"/>
          <w:szCs w:val="24"/>
        </w:rPr>
        <w:t>hm²，全部为永久征地，占地类型为</w:t>
      </w:r>
      <w:r>
        <w:rPr>
          <w:rFonts w:hint="eastAsia" w:ascii="Times New Roman" w:hAnsi="Times New Roman" w:eastAsia="仿宋_GB2312" w:cs="Times New Roman"/>
          <w:color w:val="auto"/>
          <w:sz w:val="24"/>
          <w:highlight w:val="none"/>
          <w:lang w:val="en-US" w:eastAsia="zh-CN"/>
        </w:rPr>
        <w:t>工矿仓储用地</w:t>
      </w:r>
      <w:r>
        <w:rPr>
          <w:rFonts w:eastAsia="仿宋_GB2312"/>
          <w:bCs/>
          <w:color w:val="auto"/>
          <w:szCs w:val="24"/>
        </w:rPr>
        <w:t>。</w:t>
      </w:r>
      <w:r>
        <w:rPr>
          <w:rFonts w:hint="default" w:ascii="Times New Roman" w:hAnsi="Times New Roman" w:eastAsia="仿宋_GB2312" w:cs="Times New Roman"/>
          <w:color w:val="auto"/>
        </w:rPr>
        <w:t>本项目挖填土石方总量为</w:t>
      </w:r>
      <w:r>
        <w:rPr>
          <w:rFonts w:hint="eastAsia" w:eastAsia="仿宋_GB2312" w:cs="Times New Roman"/>
          <w:color w:val="auto"/>
          <w:lang w:val="en-US" w:eastAsia="zh-CN"/>
        </w:rPr>
        <w:t>0.20万</w:t>
      </w:r>
      <w:r>
        <w:rPr>
          <w:rFonts w:hint="default" w:ascii="Times New Roman" w:hAnsi="Times New Roman" w:eastAsia="仿宋_GB2312" w:cs="Times New Roman"/>
          <w:color w:val="auto"/>
        </w:rPr>
        <w:t>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，其中挖方量为</w:t>
      </w:r>
      <w:r>
        <w:rPr>
          <w:rFonts w:hint="eastAsia" w:eastAsia="仿宋_GB2312" w:cs="Times New Roman"/>
          <w:color w:val="auto"/>
          <w:lang w:val="en-US" w:eastAsia="zh-CN"/>
        </w:rPr>
        <w:t>0.10万</w:t>
      </w:r>
      <w:r>
        <w:rPr>
          <w:rFonts w:hint="default" w:ascii="Times New Roman" w:hAnsi="Times New Roman" w:eastAsia="仿宋_GB2312" w:cs="Times New Roman"/>
          <w:color w:val="auto"/>
        </w:rPr>
        <w:t>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，填方量</w:t>
      </w:r>
      <w:r>
        <w:rPr>
          <w:rFonts w:hint="eastAsia" w:eastAsia="仿宋_GB2312" w:cs="Times New Roman"/>
          <w:color w:val="auto"/>
          <w:lang w:val="en-US" w:eastAsia="zh-CN"/>
        </w:rPr>
        <w:t>为0.10万</w:t>
      </w:r>
      <w:r>
        <w:rPr>
          <w:rFonts w:hint="default" w:ascii="Times New Roman" w:hAnsi="Times New Roman" w:eastAsia="仿宋_GB2312" w:cs="Times New Roman"/>
          <w:color w:val="auto"/>
        </w:rPr>
        <w:t>m</w:t>
      </w:r>
      <w:r>
        <w:rPr>
          <w:rFonts w:hint="default" w:ascii="Times New Roman" w:hAnsi="Times New Roman" w:eastAsia="仿宋_GB2312" w:cs="Times New Roman"/>
          <w:color w:val="auto"/>
          <w:vertAlign w:val="superscript"/>
        </w:rPr>
        <w:t>3</w:t>
      </w:r>
      <w:r>
        <w:rPr>
          <w:rFonts w:hint="eastAsia" w:eastAsia="仿宋_GB2312" w:cs="Times New Roman"/>
          <w:color w:val="auto"/>
          <w:lang w:eastAsia="zh-CN"/>
        </w:rPr>
        <w:t>，</w:t>
      </w:r>
      <w:r>
        <w:rPr>
          <w:rFonts w:hint="eastAsia" w:eastAsia="仿宋_GB2312" w:cs="Times New Roman"/>
          <w:color w:val="auto"/>
          <w:lang w:val="en-US" w:eastAsia="zh-CN"/>
        </w:rPr>
        <w:t>土石方平衡，</w:t>
      </w:r>
      <w:r>
        <w:rPr>
          <w:rFonts w:hint="eastAsia" w:eastAsia="仿宋_GB2312"/>
          <w:color w:val="auto"/>
          <w:sz w:val="24"/>
          <w:szCs w:val="24"/>
          <w:lang w:val="en-US" w:eastAsia="zh-CN"/>
        </w:rPr>
        <w:t>无剩余土方</w:t>
      </w:r>
      <w:r>
        <w:rPr>
          <w:rFonts w:eastAsia="仿宋"/>
          <w:color w:val="auto"/>
          <w:szCs w:val="24"/>
          <w:highlight w:val="none"/>
        </w:rPr>
        <w:t>。</w:t>
      </w:r>
      <w:r>
        <w:rPr>
          <w:rFonts w:eastAsia="仿宋_GB2312"/>
          <w:color w:val="auto"/>
          <w:highlight w:val="none"/>
        </w:rPr>
        <w:t>工程不涉及拆迁（移民）安置与专项设施改（迁）建。工程</w:t>
      </w:r>
      <w:r>
        <w:rPr>
          <w:rFonts w:hint="eastAsia" w:eastAsia="仿宋_GB2312"/>
          <w:color w:val="auto"/>
          <w:highlight w:val="none"/>
        </w:rPr>
        <w:t>已于</w:t>
      </w:r>
      <w:r>
        <w:rPr>
          <w:rFonts w:eastAsia="仿宋_GB2312"/>
          <w:color w:val="auto"/>
          <w:highlight w:val="none"/>
        </w:rPr>
        <w:t>202</w:t>
      </w:r>
      <w:r>
        <w:rPr>
          <w:rFonts w:hint="eastAsia" w:eastAsia="仿宋_GB2312"/>
          <w:color w:val="auto"/>
          <w:highlight w:val="none"/>
          <w:lang w:val="en-US" w:eastAsia="zh-CN"/>
        </w:rPr>
        <w:t>2</w:t>
      </w:r>
      <w:r>
        <w:rPr>
          <w:rFonts w:eastAsia="仿宋_GB2312"/>
          <w:color w:val="auto"/>
          <w:highlight w:val="none"/>
        </w:rPr>
        <w:t>年</w:t>
      </w:r>
      <w:r>
        <w:rPr>
          <w:rFonts w:hint="eastAsia" w:eastAsia="仿宋_GB2312"/>
          <w:color w:val="auto"/>
          <w:highlight w:val="none"/>
          <w:lang w:val="en-US" w:eastAsia="zh-CN"/>
        </w:rPr>
        <w:t>8</w:t>
      </w:r>
      <w:r>
        <w:rPr>
          <w:rFonts w:eastAsia="仿宋_GB2312"/>
          <w:color w:val="auto"/>
          <w:highlight w:val="none"/>
        </w:rPr>
        <w:t>月开工，202</w:t>
      </w:r>
      <w:r>
        <w:rPr>
          <w:rFonts w:hint="eastAsia" w:eastAsia="仿宋_GB2312"/>
          <w:color w:val="auto"/>
          <w:highlight w:val="none"/>
          <w:lang w:val="en-US" w:eastAsia="zh-CN"/>
        </w:rPr>
        <w:t>3</w:t>
      </w:r>
      <w:r>
        <w:rPr>
          <w:rFonts w:eastAsia="仿宋_GB2312"/>
          <w:color w:val="auto"/>
          <w:highlight w:val="none"/>
        </w:rPr>
        <w:t>年</w:t>
      </w:r>
      <w:r>
        <w:rPr>
          <w:rFonts w:hint="eastAsia" w:eastAsia="仿宋_GB2312"/>
          <w:color w:val="auto"/>
          <w:highlight w:val="none"/>
          <w:lang w:val="en-US" w:eastAsia="zh-CN"/>
        </w:rPr>
        <w:t>4</w:t>
      </w:r>
      <w:r>
        <w:rPr>
          <w:rFonts w:eastAsia="仿宋_GB2312"/>
          <w:color w:val="auto"/>
          <w:highlight w:val="none"/>
        </w:rPr>
        <w:t>月完工，总工期</w:t>
      </w:r>
      <w:r>
        <w:rPr>
          <w:rFonts w:hint="eastAsia" w:eastAsia="仿宋_GB2312"/>
          <w:color w:val="auto"/>
          <w:highlight w:val="none"/>
          <w:lang w:val="en-US" w:eastAsia="zh-CN"/>
        </w:rPr>
        <w:t>9</w:t>
      </w:r>
      <w:r>
        <w:rPr>
          <w:rFonts w:eastAsia="仿宋_GB2312"/>
          <w:color w:val="auto"/>
          <w:highlight w:val="none"/>
        </w:rPr>
        <w:t>个月。工程总投资</w:t>
      </w:r>
      <w:r>
        <w:rPr>
          <w:rFonts w:hint="eastAsia" w:eastAsia="仿宋_GB2312"/>
          <w:color w:val="auto"/>
          <w:highlight w:val="none"/>
          <w:lang w:val="en-US" w:eastAsia="zh-CN"/>
        </w:rPr>
        <w:t>1000</w:t>
      </w:r>
      <w:r>
        <w:rPr>
          <w:rFonts w:hint="eastAsia" w:eastAsia="仿宋_GB2312"/>
          <w:color w:val="auto"/>
          <w:highlight w:val="none"/>
        </w:rPr>
        <w:t>.</w:t>
      </w:r>
      <w:r>
        <w:rPr>
          <w:rFonts w:hint="eastAsia" w:eastAsia="仿宋_GB2312"/>
          <w:color w:val="auto"/>
          <w:highlight w:val="none"/>
          <w:lang w:val="en-US" w:eastAsia="zh-CN"/>
        </w:rPr>
        <w:t>0</w:t>
      </w:r>
      <w:r>
        <w:rPr>
          <w:rFonts w:hint="eastAsia" w:eastAsia="仿宋_GB2312"/>
          <w:color w:val="auto"/>
          <w:highlight w:val="none"/>
        </w:rPr>
        <w:t>0</w:t>
      </w:r>
      <w:r>
        <w:rPr>
          <w:rFonts w:eastAsia="仿宋_GB2312"/>
          <w:color w:val="auto"/>
          <w:highlight w:val="none"/>
        </w:rPr>
        <w:t>万元，其中土建投资</w:t>
      </w:r>
      <w:r>
        <w:rPr>
          <w:rFonts w:hint="eastAsia" w:eastAsia="仿宋_GB2312"/>
          <w:color w:val="auto"/>
          <w:highlight w:val="none"/>
          <w:lang w:val="en-US" w:eastAsia="zh-CN"/>
        </w:rPr>
        <w:t>184.00</w:t>
      </w:r>
      <w:r>
        <w:rPr>
          <w:rFonts w:eastAsia="仿宋_GB2312"/>
          <w:color w:val="auto"/>
          <w:highlight w:val="none"/>
        </w:rPr>
        <w:t>万元，资金来源全部由企业自筹。</w:t>
      </w:r>
      <w:r>
        <w:rPr>
          <w:rFonts w:eastAsia="仿宋_GB2312"/>
          <w:color w:val="auto"/>
          <w:szCs w:val="24"/>
          <w:highlight w:val="none"/>
        </w:rPr>
        <w:t>项目法人为</w:t>
      </w:r>
      <w:r>
        <w:rPr>
          <w:rFonts w:hint="eastAsia" w:eastAsia="仿宋_GB2312"/>
          <w:color w:val="auto"/>
          <w:szCs w:val="24"/>
          <w:highlight w:val="none"/>
          <w:lang w:eastAsia="zh-CN"/>
        </w:rPr>
        <w:t>吉林省鼎生工程有限公司</w:t>
      </w:r>
      <w:r>
        <w:rPr>
          <w:rFonts w:eastAsia="仿宋_GB2312"/>
          <w:color w:val="auto"/>
          <w:szCs w:val="24"/>
          <w:highlight w:val="none"/>
        </w:rPr>
        <w:t>。</w:t>
      </w:r>
    </w:p>
    <w:p>
      <w:pPr>
        <w:spacing w:line="360" w:lineRule="auto"/>
        <w:rPr>
          <w:rFonts w:eastAsia="仿宋_GB2312"/>
          <w:color w:val="auto"/>
          <w:highlight w:val="none"/>
        </w:rPr>
      </w:pPr>
      <w:r>
        <w:rPr>
          <w:rFonts w:eastAsia="仿宋_GB2312"/>
          <w:b/>
          <w:color w:val="auto"/>
          <w:sz w:val="28"/>
          <w:szCs w:val="28"/>
          <w:highlight w:val="none"/>
        </w:rPr>
        <w:t>1.1.2</w:t>
      </w:r>
      <w:r>
        <w:rPr>
          <w:rFonts w:eastAsia="仿宋_GB2312"/>
          <w:b/>
          <w:color w:val="auto"/>
          <w:highlight w:val="none"/>
        </w:rPr>
        <w:t>项目前期工作进展情况</w:t>
      </w:r>
    </w:p>
    <w:p>
      <w:pPr>
        <w:spacing w:line="360" w:lineRule="auto"/>
        <w:ind w:firstLine="480" w:firstLineChars="200"/>
        <w:rPr>
          <w:rFonts w:hint="eastAsia" w:eastAsia="仿宋_GB2312"/>
          <w:color w:val="auto"/>
          <w:szCs w:val="24"/>
          <w:highlight w:val="none"/>
          <w:lang w:val="en-US" w:eastAsia="zh-CN"/>
        </w:rPr>
      </w:pPr>
      <w:r>
        <w:rPr>
          <w:rFonts w:eastAsia="仿宋_GB2312"/>
          <w:color w:val="auto"/>
          <w:szCs w:val="24"/>
          <w:highlight w:val="none"/>
        </w:rPr>
        <w:t>20</w:t>
      </w:r>
      <w:r>
        <w:rPr>
          <w:rFonts w:hint="eastAsia" w:eastAsia="仿宋_GB2312"/>
          <w:color w:val="auto"/>
          <w:szCs w:val="24"/>
          <w:highlight w:val="none"/>
        </w:rPr>
        <w:t>2</w:t>
      </w:r>
      <w:r>
        <w:rPr>
          <w:rFonts w:hint="eastAsia" w:eastAsia="仿宋_GB2312"/>
          <w:color w:val="auto"/>
          <w:szCs w:val="24"/>
          <w:highlight w:val="none"/>
          <w:lang w:val="en-US" w:eastAsia="zh-CN"/>
        </w:rPr>
        <w:t>2</w:t>
      </w:r>
      <w:r>
        <w:rPr>
          <w:rFonts w:eastAsia="仿宋_GB2312"/>
          <w:color w:val="auto"/>
          <w:szCs w:val="24"/>
          <w:highlight w:val="none"/>
        </w:rPr>
        <w:t>年</w:t>
      </w:r>
      <w:r>
        <w:rPr>
          <w:rFonts w:hint="eastAsia" w:eastAsia="仿宋_GB2312"/>
          <w:color w:val="auto"/>
          <w:szCs w:val="24"/>
          <w:highlight w:val="none"/>
          <w:lang w:val="en-US" w:eastAsia="zh-CN"/>
        </w:rPr>
        <w:t>11</w:t>
      </w:r>
      <w:r>
        <w:rPr>
          <w:rFonts w:eastAsia="仿宋_GB2312"/>
          <w:color w:val="auto"/>
          <w:szCs w:val="24"/>
          <w:highlight w:val="none"/>
        </w:rPr>
        <w:t>月，</w:t>
      </w:r>
      <w:r>
        <w:rPr>
          <w:rFonts w:hint="eastAsia" w:eastAsia="仿宋_GB2312"/>
          <w:color w:val="auto"/>
          <w:szCs w:val="24"/>
          <w:highlight w:val="none"/>
          <w:lang w:eastAsia="zh-CN"/>
        </w:rPr>
        <w:t>吉林省鼎生工程有限公司</w:t>
      </w:r>
      <w:r>
        <w:rPr>
          <w:rFonts w:hint="eastAsia" w:eastAsia="仿宋_GB2312"/>
          <w:color w:val="auto"/>
          <w:szCs w:val="24"/>
          <w:highlight w:val="none"/>
          <w:lang w:val="en-US" w:eastAsia="zh-CN"/>
        </w:rPr>
        <w:t>编制</w:t>
      </w:r>
      <w:r>
        <w:rPr>
          <w:rFonts w:hint="eastAsia" w:eastAsia="仿宋_GB2312"/>
          <w:color w:val="auto"/>
          <w:szCs w:val="24"/>
          <w:highlight w:val="none"/>
        </w:rPr>
        <w:t>完</w:t>
      </w:r>
      <w:r>
        <w:rPr>
          <w:rFonts w:eastAsia="仿宋_GB2312"/>
          <w:color w:val="auto"/>
          <w:szCs w:val="24"/>
          <w:highlight w:val="none"/>
        </w:rPr>
        <w:t>成了《</w:t>
      </w:r>
      <w:r>
        <w:rPr>
          <w:rFonts w:hint="eastAsia" w:eastAsia="仿宋_GB2312"/>
          <w:color w:val="auto"/>
          <w:highlight w:val="none"/>
          <w:lang w:eastAsia="zh-CN"/>
        </w:rPr>
        <w:t>吉林省鼎生工程有限公司水泥碎石制品建设项目</w:t>
      </w:r>
      <w:r>
        <w:rPr>
          <w:rFonts w:hint="eastAsia" w:eastAsia="仿宋_GB2312"/>
          <w:bCs/>
          <w:color w:val="auto"/>
          <w:highlight w:val="none"/>
          <w:lang w:val="en-US" w:eastAsia="zh-CN"/>
        </w:rPr>
        <w:t>环境影响报告表</w:t>
      </w:r>
      <w:r>
        <w:rPr>
          <w:rFonts w:eastAsia="仿宋_GB2312"/>
          <w:color w:val="auto"/>
          <w:szCs w:val="24"/>
          <w:highlight w:val="none"/>
        </w:rPr>
        <w:t>》</w:t>
      </w:r>
      <w:r>
        <w:rPr>
          <w:rFonts w:hint="eastAsia" w:eastAsia="仿宋_GB2312"/>
          <w:color w:val="auto"/>
          <w:szCs w:val="24"/>
          <w:highlight w:val="none"/>
          <w:lang w:eastAsia="zh-CN"/>
        </w:rPr>
        <w:t>，</w:t>
      </w:r>
      <w:r>
        <w:rPr>
          <w:rFonts w:hint="eastAsia" w:eastAsia="仿宋_GB2312"/>
          <w:color w:val="auto"/>
          <w:szCs w:val="24"/>
          <w:highlight w:val="none"/>
          <w:lang w:val="en-US" w:eastAsia="zh-CN"/>
        </w:rPr>
        <w:t>并于2022年12月16日取得抚松县行政审批局《关于</w:t>
      </w:r>
      <w:r>
        <w:rPr>
          <w:rFonts w:hint="eastAsia" w:eastAsia="仿宋_GB2312"/>
          <w:color w:val="auto"/>
          <w:highlight w:val="none"/>
          <w:lang w:eastAsia="zh-CN"/>
        </w:rPr>
        <w:t>吉林省鼎生工程有限公司水泥碎石制品建设项目</w:t>
      </w:r>
      <w:r>
        <w:rPr>
          <w:rFonts w:hint="eastAsia" w:eastAsia="仿宋_GB2312"/>
          <w:bCs/>
          <w:color w:val="auto"/>
          <w:highlight w:val="none"/>
          <w:lang w:val="en-US" w:eastAsia="zh-CN"/>
        </w:rPr>
        <w:t>环境影响报告表的批复</w:t>
      </w:r>
      <w:r>
        <w:rPr>
          <w:rFonts w:hint="eastAsia" w:eastAsia="仿宋_GB2312"/>
          <w:color w:val="auto"/>
          <w:szCs w:val="24"/>
          <w:highlight w:val="none"/>
          <w:lang w:val="en-US" w:eastAsia="zh-CN"/>
        </w:rPr>
        <w:t>》（抚行审投资〔2022〕305号）。</w:t>
      </w:r>
    </w:p>
    <w:p>
      <w:pPr>
        <w:spacing w:line="360" w:lineRule="auto"/>
        <w:ind w:firstLine="480" w:firstLineChars="200"/>
        <w:rPr>
          <w:rFonts w:hint="eastAsia"/>
          <w:color w:val="auto"/>
          <w:lang w:val="en-US" w:eastAsia="zh-CN"/>
        </w:rPr>
      </w:pPr>
      <w:r>
        <w:rPr>
          <w:rFonts w:eastAsia="仿宋_GB2312"/>
          <w:bCs/>
          <w:color w:val="auto"/>
          <w:sz w:val="24"/>
          <w:szCs w:val="24"/>
        </w:rPr>
        <w:t>截至目前，本项目</w:t>
      </w:r>
      <w:r>
        <w:rPr>
          <w:rFonts w:hint="default" w:eastAsia="仿宋_GB2312"/>
          <w:color w:val="auto"/>
          <w:sz w:val="24"/>
          <w:szCs w:val="24"/>
          <w:highlight w:val="none"/>
          <w:lang w:val="en-US" w:eastAsia="zh-CN"/>
        </w:rPr>
        <w:t>混凝土搅拌站生产线、稳定土搅拌站生产线、碎石生产线，办公室、试验室</w:t>
      </w:r>
      <w:r>
        <w:rPr>
          <w:rFonts w:hint="eastAsia" w:eastAsia="仿宋_GB2312"/>
          <w:color w:val="auto"/>
          <w:sz w:val="24"/>
          <w:szCs w:val="24"/>
          <w:highlight w:val="none"/>
          <w:lang w:val="en-US" w:eastAsia="zh-CN"/>
        </w:rPr>
        <w:t>均已建成，项目已完工。</w:t>
      </w:r>
    </w:p>
    <w:p>
      <w:pPr>
        <w:spacing w:line="360" w:lineRule="auto"/>
        <w:ind w:firstLine="480" w:firstLineChars="200"/>
        <w:rPr>
          <w:rFonts w:eastAsia="仿宋_GB2312"/>
          <w:color w:val="auto"/>
          <w:highlight w:val="none"/>
        </w:rPr>
      </w:pPr>
      <w:r>
        <w:rPr>
          <w:rFonts w:eastAsia="仿宋_GB2312"/>
          <w:color w:val="auto"/>
          <w:highlight w:val="none"/>
        </w:rPr>
        <w:t>202</w:t>
      </w:r>
      <w:r>
        <w:rPr>
          <w:rFonts w:hint="eastAsia" w:eastAsia="仿宋_GB2312"/>
          <w:color w:val="auto"/>
          <w:highlight w:val="none"/>
          <w:lang w:val="en-US" w:eastAsia="zh-CN"/>
        </w:rPr>
        <w:t>3</w:t>
      </w:r>
      <w:r>
        <w:rPr>
          <w:rFonts w:eastAsia="仿宋_GB2312"/>
          <w:color w:val="auto"/>
          <w:highlight w:val="none"/>
        </w:rPr>
        <w:t>年</w:t>
      </w:r>
      <w:r>
        <w:rPr>
          <w:rFonts w:hint="eastAsia" w:eastAsia="仿宋_GB2312"/>
          <w:color w:val="auto"/>
          <w:highlight w:val="none"/>
          <w:lang w:val="en-US" w:eastAsia="zh-CN"/>
        </w:rPr>
        <w:t>2</w:t>
      </w:r>
      <w:r>
        <w:rPr>
          <w:rFonts w:eastAsia="仿宋_GB2312"/>
          <w:color w:val="auto"/>
          <w:highlight w:val="none"/>
        </w:rPr>
        <w:t>月</w:t>
      </w:r>
      <w:r>
        <w:rPr>
          <w:rFonts w:hint="eastAsia" w:eastAsia="仿宋_GB2312"/>
          <w:color w:val="auto"/>
          <w:highlight w:val="none"/>
          <w:lang w:val="en-US" w:eastAsia="zh-CN"/>
        </w:rPr>
        <w:t>27</w:t>
      </w:r>
      <w:r>
        <w:rPr>
          <w:rFonts w:eastAsia="仿宋_GB2312"/>
          <w:color w:val="auto"/>
          <w:highlight w:val="none"/>
        </w:rPr>
        <w:t>日，</w:t>
      </w:r>
      <w:r>
        <w:rPr>
          <w:rFonts w:hint="eastAsia" w:eastAsia="仿宋_GB2312"/>
          <w:color w:val="auto"/>
          <w:highlight w:val="none"/>
          <w:lang w:val="en-US" w:eastAsia="zh-CN"/>
        </w:rPr>
        <w:t>抚松县</w:t>
      </w:r>
      <w:r>
        <w:rPr>
          <w:rFonts w:eastAsia="仿宋_GB2312"/>
          <w:color w:val="auto"/>
          <w:highlight w:val="none"/>
        </w:rPr>
        <w:t>水利局对</w:t>
      </w:r>
      <w:r>
        <w:rPr>
          <w:rFonts w:hint="eastAsia" w:eastAsia="仿宋_GB2312"/>
          <w:color w:val="auto"/>
          <w:highlight w:val="none"/>
          <w:lang w:eastAsia="zh-CN"/>
        </w:rPr>
        <w:t>吉林省鼎生工程有限公司</w:t>
      </w:r>
      <w:r>
        <w:rPr>
          <w:rFonts w:eastAsia="仿宋_GB2312"/>
          <w:color w:val="auto"/>
          <w:highlight w:val="none"/>
        </w:rPr>
        <w:t>下达了《</w:t>
      </w:r>
      <w:r>
        <w:rPr>
          <w:rFonts w:hint="eastAsia" w:eastAsia="仿宋_GB2312"/>
          <w:color w:val="auto"/>
          <w:highlight w:val="none"/>
        </w:rPr>
        <w:t>限期</w:t>
      </w:r>
      <w:r>
        <w:rPr>
          <w:rFonts w:hint="eastAsia" w:eastAsia="仿宋_GB2312"/>
          <w:color w:val="auto"/>
          <w:highlight w:val="none"/>
          <w:lang w:val="en-US" w:eastAsia="zh-CN"/>
        </w:rPr>
        <w:t>编报</w:t>
      </w:r>
      <w:r>
        <w:rPr>
          <w:rFonts w:hint="eastAsia" w:eastAsia="仿宋_GB2312"/>
          <w:color w:val="auto"/>
          <w:highlight w:val="none"/>
        </w:rPr>
        <w:t>水土保持方案通知书</w:t>
      </w:r>
      <w:r>
        <w:rPr>
          <w:rFonts w:eastAsia="仿宋_GB2312"/>
          <w:color w:val="auto"/>
          <w:highlight w:val="none"/>
        </w:rPr>
        <w:t>》（</w:t>
      </w:r>
      <w:r>
        <w:rPr>
          <w:rFonts w:hint="eastAsia" w:eastAsia="仿宋_GB2312"/>
          <w:color w:val="auto"/>
          <w:highlight w:val="none"/>
          <w:lang w:val="en-US" w:eastAsia="zh-CN"/>
        </w:rPr>
        <w:t>抚水保）方案通字[2023]第（001）号</w:t>
      </w:r>
      <w:r>
        <w:rPr>
          <w:rFonts w:eastAsia="仿宋_GB2312"/>
          <w:color w:val="auto"/>
          <w:highlight w:val="none"/>
        </w:rPr>
        <w:t>，责令</w:t>
      </w:r>
      <w:r>
        <w:rPr>
          <w:rFonts w:hint="eastAsia" w:eastAsia="仿宋_GB2312"/>
          <w:color w:val="auto"/>
          <w:highlight w:val="none"/>
          <w:lang w:eastAsia="zh-CN"/>
        </w:rPr>
        <w:t>吉林省鼎生工程有限公司</w:t>
      </w:r>
      <w:r>
        <w:rPr>
          <w:rFonts w:eastAsia="仿宋_GB2312"/>
          <w:color w:val="auto"/>
          <w:highlight w:val="none"/>
        </w:rPr>
        <w:t>及时组织编报《</w:t>
      </w:r>
      <w:r>
        <w:rPr>
          <w:rFonts w:hint="eastAsia" w:eastAsia="仿宋_GB2312"/>
          <w:color w:val="auto"/>
          <w:highlight w:val="none"/>
          <w:lang w:eastAsia="zh-CN"/>
        </w:rPr>
        <w:t>吉林省鼎生工程有限公司水泥碎石制品建设项目</w:t>
      </w:r>
      <w:r>
        <w:rPr>
          <w:rFonts w:eastAsia="仿宋_GB2312"/>
          <w:color w:val="auto"/>
          <w:highlight w:val="none"/>
        </w:rPr>
        <w:t>水土保持方案报告表》。</w:t>
      </w:r>
    </w:p>
    <w:p>
      <w:pPr>
        <w:spacing w:line="360" w:lineRule="auto"/>
        <w:ind w:firstLine="480" w:firstLineChars="200"/>
        <w:rPr>
          <w:rFonts w:eastAsia="仿宋_GB2312"/>
          <w:bCs/>
          <w:iCs/>
          <w:color w:val="auto"/>
          <w:szCs w:val="24"/>
        </w:rPr>
      </w:pPr>
      <w:r>
        <w:rPr>
          <w:rFonts w:eastAsia="仿宋_GB2312"/>
          <w:snapToGrid w:val="0"/>
          <w:color w:val="auto"/>
          <w:szCs w:val="24"/>
        </w:rPr>
        <w:t>202</w:t>
      </w:r>
      <w:r>
        <w:rPr>
          <w:rFonts w:hint="eastAsia" w:eastAsia="仿宋_GB2312"/>
          <w:snapToGrid w:val="0"/>
          <w:color w:val="auto"/>
          <w:szCs w:val="24"/>
          <w:lang w:val="en-US" w:eastAsia="zh-CN"/>
        </w:rPr>
        <w:t>3</w:t>
      </w:r>
      <w:r>
        <w:rPr>
          <w:rFonts w:eastAsia="仿宋_GB2312"/>
          <w:snapToGrid w:val="0"/>
          <w:color w:val="auto"/>
          <w:szCs w:val="24"/>
        </w:rPr>
        <w:t>年</w:t>
      </w:r>
      <w:r>
        <w:rPr>
          <w:rFonts w:hint="eastAsia" w:eastAsia="仿宋_GB2312"/>
          <w:snapToGrid w:val="0"/>
          <w:color w:val="auto"/>
          <w:szCs w:val="24"/>
          <w:lang w:val="en-US" w:eastAsia="zh-CN"/>
        </w:rPr>
        <w:t>2</w:t>
      </w:r>
      <w:r>
        <w:rPr>
          <w:rFonts w:eastAsia="仿宋_GB2312"/>
          <w:snapToGrid w:val="0"/>
          <w:color w:val="auto"/>
          <w:szCs w:val="24"/>
        </w:rPr>
        <w:t>月，</w:t>
      </w:r>
      <w:r>
        <w:rPr>
          <w:rFonts w:eastAsia="仿宋_GB2312"/>
          <w:color w:val="auto"/>
        </w:rPr>
        <w:t>受建设单位</w:t>
      </w:r>
      <w:r>
        <w:rPr>
          <w:rFonts w:hint="eastAsia" w:eastAsia="仿宋_GB2312"/>
          <w:color w:val="auto"/>
          <w:lang w:eastAsia="zh-CN"/>
        </w:rPr>
        <w:t>吉林省鼎生工程有限公司</w:t>
      </w:r>
      <w:r>
        <w:rPr>
          <w:rFonts w:eastAsia="仿宋_GB2312"/>
          <w:color w:val="auto"/>
        </w:rPr>
        <w:t>委托，</w:t>
      </w:r>
      <w:r>
        <w:rPr>
          <w:rFonts w:hint="eastAsia" w:eastAsia="仿宋_GB2312"/>
          <w:color w:val="auto"/>
          <w:lang w:eastAsia="zh-CN"/>
        </w:rPr>
        <w:t>吉林省生环环境工程有限公司</w:t>
      </w:r>
      <w:r>
        <w:rPr>
          <w:rFonts w:eastAsia="仿宋_GB2312"/>
          <w:color w:val="auto"/>
        </w:rPr>
        <w:t>承担了本工程水土保持方案的编制工</w:t>
      </w:r>
      <w:r>
        <w:rPr>
          <w:rFonts w:eastAsia="仿宋_GB2312"/>
          <w:color w:val="auto"/>
          <w:szCs w:val="22"/>
        </w:rPr>
        <w:t>作。编制单位</w:t>
      </w:r>
      <w:r>
        <w:rPr>
          <w:rFonts w:eastAsia="仿宋_GB2312"/>
          <w:color w:val="auto"/>
        </w:rPr>
        <w:t>根据《生产建设项目水土保持技术标准》（GB50433-2018）的要求，界定出工程的水土流失防治责任范围，明确了防治目标，布设了防治措施体系，完成了《</w:t>
      </w:r>
      <w:r>
        <w:rPr>
          <w:rFonts w:hint="eastAsia" w:eastAsia="仿宋_GB2312"/>
          <w:color w:val="auto"/>
          <w:lang w:eastAsia="zh-CN"/>
        </w:rPr>
        <w:t>吉林省鼎生工程有限公司水泥碎石制品建设项目</w:t>
      </w:r>
      <w:r>
        <w:rPr>
          <w:rFonts w:eastAsia="仿宋_GB2312"/>
          <w:color w:val="auto"/>
        </w:rPr>
        <w:t>水土保持方案报告表》的编写工作</w:t>
      </w:r>
      <w:r>
        <w:rPr>
          <w:rFonts w:eastAsia="仿宋_GB2312"/>
          <w:bCs/>
          <w:iCs/>
          <w:color w:val="auto"/>
          <w:szCs w:val="24"/>
        </w:rPr>
        <w:t>。</w:t>
      </w:r>
    </w:p>
    <w:p>
      <w:pPr>
        <w:spacing w:line="360" w:lineRule="auto"/>
        <w:rPr>
          <w:rFonts w:eastAsia="仿宋_GB2312"/>
          <w:color w:val="auto"/>
        </w:rPr>
      </w:pPr>
      <w:r>
        <w:rPr>
          <w:rFonts w:eastAsia="仿宋_GB2312"/>
          <w:b/>
          <w:color w:val="auto"/>
          <w:sz w:val="28"/>
          <w:szCs w:val="28"/>
        </w:rPr>
        <w:t>1.1.3</w:t>
      </w:r>
      <w:r>
        <w:rPr>
          <w:rFonts w:eastAsia="仿宋_GB2312"/>
          <w:b/>
          <w:color w:val="auto"/>
        </w:rPr>
        <w:t>自然简况</w:t>
      </w:r>
    </w:p>
    <w:p>
      <w:pPr>
        <w:spacing w:line="360" w:lineRule="auto"/>
        <w:ind w:firstLine="480" w:firstLineChars="200"/>
        <w:rPr>
          <w:rFonts w:hint="default" w:ascii="Times New Roman" w:hAnsi="Times New Roman" w:eastAsia="仿宋_GB2312" w:cs="Times New Roman"/>
          <w:bCs/>
          <w:color w:val="auto"/>
          <w:sz w:val="24"/>
          <w:szCs w:val="24"/>
        </w:rPr>
      </w:pPr>
      <w:r>
        <w:rPr>
          <w:rFonts w:eastAsia="仿宋_GB2312"/>
          <w:color w:val="auto"/>
          <w:szCs w:val="24"/>
        </w:rPr>
        <w:t>项目区属</w:t>
      </w:r>
      <w:r>
        <w:rPr>
          <w:rFonts w:hint="eastAsia" w:eastAsia="仿宋_GB2312"/>
          <w:color w:val="auto"/>
          <w:szCs w:val="24"/>
          <w:lang w:val="en-US" w:eastAsia="zh-CN"/>
        </w:rPr>
        <w:t>中低山</w:t>
      </w:r>
      <w:r>
        <w:rPr>
          <w:rFonts w:eastAsia="仿宋_GB2312"/>
          <w:color w:val="auto"/>
          <w:szCs w:val="24"/>
        </w:rPr>
        <w:t>地貌，气候类型属温带季风气候区，项目区年平均气温为</w:t>
      </w:r>
      <w:r>
        <w:rPr>
          <w:rFonts w:hint="eastAsia" w:eastAsia="仿宋_GB2312"/>
          <w:color w:val="auto"/>
          <w:szCs w:val="24"/>
          <w:lang w:val="en-US" w:eastAsia="zh-CN"/>
        </w:rPr>
        <w:t>3.4</w:t>
      </w:r>
      <w:r>
        <w:rPr>
          <w:rFonts w:eastAsia="仿宋_GB2312"/>
          <w:color w:val="auto"/>
          <w:szCs w:val="24"/>
        </w:rPr>
        <w:t>℃，≥10℃积温平均为</w:t>
      </w:r>
      <w:r>
        <w:rPr>
          <w:rFonts w:hint="eastAsia" w:eastAsia="仿宋_GB2312"/>
          <w:color w:val="auto"/>
          <w:szCs w:val="24"/>
          <w:lang w:val="en-US" w:eastAsia="zh-CN"/>
        </w:rPr>
        <w:t>2950</w:t>
      </w:r>
      <w:r>
        <w:rPr>
          <w:rFonts w:eastAsia="仿宋_GB2312"/>
          <w:color w:val="auto"/>
          <w:szCs w:val="24"/>
        </w:rPr>
        <w:t>℃，年平均降水量为</w:t>
      </w:r>
      <w:r>
        <w:rPr>
          <w:rFonts w:hint="eastAsia" w:eastAsia="仿宋_GB2312"/>
          <w:color w:val="auto"/>
          <w:szCs w:val="24"/>
          <w:lang w:val="en-US" w:eastAsia="zh-CN"/>
        </w:rPr>
        <w:t>816.2</w:t>
      </w:r>
      <w:r>
        <w:rPr>
          <w:rFonts w:eastAsia="仿宋_GB2312"/>
          <w:color w:val="auto"/>
          <w:szCs w:val="24"/>
        </w:rPr>
        <w:t>mm，年平均蒸发量</w:t>
      </w:r>
      <w:r>
        <w:rPr>
          <w:rFonts w:hint="eastAsia" w:eastAsia="仿宋_GB2312"/>
          <w:color w:val="auto"/>
          <w:szCs w:val="24"/>
          <w:lang w:val="en-US" w:eastAsia="zh-CN"/>
        </w:rPr>
        <w:t>1202.2</w:t>
      </w:r>
      <w:r>
        <w:rPr>
          <w:rFonts w:eastAsia="仿宋_GB2312"/>
          <w:color w:val="auto"/>
          <w:szCs w:val="24"/>
        </w:rPr>
        <w:t>mm，全地区年平均日照时数为</w:t>
      </w:r>
      <w:r>
        <w:rPr>
          <w:rFonts w:hint="eastAsia" w:eastAsia="仿宋_GB2312"/>
          <w:color w:val="auto"/>
          <w:szCs w:val="24"/>
          <w:lang w:val="en-US" w:eastAsia="zh-CN"/>
        </w:rPr>
        <w:t>2833</w:t>
      </w:r>
      <w:r>
        <w:rPr>
          <w:rFonts w:eastAsia="仿宋_GB2312"/>
          <w:color w:val="auto"/>
          <w:szCs w:val="24"/>
        </w:rPr>
        <w:t>h，年均风速</w:t>
      </w:r>
      <w:r>
        <w:rPr>
          <w:rFonts w:hint="eastAsia" w:eastAsia="仿宋_GB2312"/>
          <w:color w:val="auto"/>
          <w:szCs w:val="24"/>
          <w:lang w:val="en-US" w:eastAsia="zh-CN"/>
        </w:rPr>
        <w:t>2.7</w:t>
      </w:r>
      <w:r>
        <w:rPr>
          <w:rFonts w:eastAsia="仿宋_GB2312"/>
          <w:color w:val="auto"/>
          <w:szCs w:val="24"/>
        </w:rPr>
        <w:t>m/s。无霜期为14</w:t>
      </w:r>
      <w:r>
        <w:rPr>
          <w:rFonts w:hint="eastAsia" w:eastAsia="仿宋_GB2312"/>
          <w:color w:val="auto"/>
          <w:szCs w:val="24"/>
          <w:lang w:val="en-US" w:eastAsia="zh-CN"/>
        </w:rPr>
        <w:t>0</w:t>
      </w:r>
      <w:r>
        <w:rPr>
          <w:rFonts w:eastAsia="仿宋_GB2312"/>
          <w:color w:val="auto"/>
          <w:szCs w:val="24"/>
        </w:rPr>
        <w:t>d，最大冻土深为1.</w:t>
      </w:r>
      <w:r>
        <w:rPr>
          <w:rFonts w:hint="eastAsia" w:eastAsia="仿宋_GB2312"/>
          <w:color w:val="auto"/>
          <w:szCs w:val="24"/>
          <w:lang w:val="en-US" w:eastAsia="zh-CN"/>
        </w:rPr>
        <w:t>8</w:t>
      </w:r>
      <w:r>
        <w:rPr>
          <w:rFonts w:eastAsia="仿宋_GB2312"/>
          <w:color w:val="auto"/>
          <w:szCs w:val="24"/>
        </w:rPr>
        <w:t>0m</w:t>
      </w:r>
      <w:r>
        <w:rPr>
          <w:rFonts w:hint="eastAsia" w:eastAsia="仿宋_GB2312"/>
          <w:color w:val="auto"/>
          <w:szCs w:val="24"/>
          <w:lang w:val="en-US" w:eastAsia="zh-CN"/>
        </w:rPr>
        <w:t>。土壤类型为</w:t>
      </w:r>
      <w:r>
        <w:rPr>
          <w:rFonts w:eastAsia="仿宋_GB2312"/>
          <w:bCs/>
          <w:iCs/>
          <w:color w:val="auto"/>
          <w:szCs w:val="22"/>
        </w:rPr>
        <w:t>暗棕壤土</w:t>
      </w:r>
      <w:r>
        <w:rPr>
          <w:rFonts w:hint="eastAsia" w:eastAsia="仿宋_GB2312"/>
          <w:bCs/>
          <w:iCs/>
          <w:color w:val="auto"/>
          <w:szCs w:val="22"/>
          <w:lang w:eastAsia="zh-CN"/>
        </w:rPr>
        <w:t>，</w:t>
      </w:r>
      <w:r>
        <w:rPr>
          <w:rFonts w:eastAsia="仿宋_GB2312"/>
          <w:color w:val="auto"/>
          <w:szCs w:val="24"/>
        </w:rPr>
        <w:t>区域属温带针、阔混交林区域</w:t>
      </w:r>
      <w:r>
        <w:rPr>
          <w:rFonts w:hint="eastAsia" w:eastAsia="仿宋_GB2312"/>
          <w:color w:val="auto"/>
          <w:szCs w:val="24"/>
          <w:lang w:eastAsia="zh-CN"/>
        </w:rPr>
        <w:t>，</w:t>
      </w:r>
      <w:r>
        <w:rPr>
          <w:rFonts w:hint="eastAsia" w:eastAsia="仿宋_GB2312"/>
          <w:color w:val="auto"/>
          <w:szCs w:val="24"/>
          <w:lang w:val="en-US" w:eastAsia="zh-CN"/>
        </w:rPr>
        <w:t>项目开工前，占地为</w:t>
      </w:r>
      <w:r>
        <w:rPr>
          <w:rFonts w:hint="eastAsia" w:eastAsia="仿宋_GB2312"/>
          <w:color w:val="auto"/>
          <w:szCs w:val="24"/>
          <w:lang w:val="en-US" w:eastAsia="zh-CN"/>
        </w:rPr>
        <w:t>净地</w:t>
      </w:r>
      <w:r>
        <w:rPr>
          <w:rFonts w:hint="eastAsia" w:eastAsia="仿宋_GB2312"/>
          <w:color w:val="auto"/>
          <w:szCs w:val="24"/>
          <w:lang w:val="en-US" w:eastAsia="zh-CN"/>
        </w:rPr>
        <w:t>，无林草植被覆盖。</w:t>
      </w:r>
      <w:r>
        <w:rPr>
          <w:rFonts w:hint="default" w:ascii="Times New Roman" w:hAnsi="Times New Roman" w:eastAsia="仿宋_GB2312" w:cs="Times New Roman"/>
          <w:snapToGrid w:val="0"/>
          <w:color w:val="auto"/>
          <w:kern w:val="0"/>
          <w:sz w:val="24"/>
          <w:szCs w:val="24"/>
          <w:highlight w:val="none"/>
        </w:rPr>
        <w:t>项目区水土保持区划属东北黑土区，容许土壤流失量为 200t/km</w:t>
      </w:r>
      <w:r>
        <w:rPr>
          <w:rFonts w:hint="default" w:ascii="Times New Roman" w:hAnsi="Times New Roman" w:eastAsia="仿宋_GB2312" w:cs="Times New Roman"/>
          <w:snapToGrid w:val="0"/>
          <w:color w:val="auto"/>
          <w:kern w:val="0"/>
          <w:sz w:val="24"/>
          <w:szCs w:val="24"/>
          <w:highlight w:val="none"/>
          <w:vertAlign w:val="superscript"/>
        </w:rPr>
        <w:t>2</w:t>
      </w:r>
      <w:r>
        <w:rPr>
          <w:rFonts w:hint="default" w:ascii="Times New Roman" w:hAnsi="Times New Roman" w:eastAsia="仿宋_GB2312" w:cs="Times New Roman"/>
          <w:snapToGrid w:val="0"/>
          <w:color w:val="auto"/>
          <w:kern w:val="0"/>
          <w:sz w:val="24"/>
          <w:szCs w:val="24"/>
          <w:highlight w:val="none"/>
        </w:rPr>
        <w:t>.a，土壤侵蚀类型为水力侵蚀，土壤侵蚀强度以轻度侵蚀为主，原生地貌土壤侵蚀模数为</w:t>
      </w:r>
      <w:r>
        <w:rPr>
          <w:rFonts w:hint="default" w:ascii="Times New Roman" w:hAnsi="Times New Roman" w:eastAsia="仿宋_GB2312" w:cs="Times New Roman"/>
          <w:snapToGrid w:val="0"/>
          <w:color w:val="auto"/>
          <w:kern w:val="0"/>
          <w:sz w:val="24"/>
          <w:szCs w:val="24"/>
          <w:highlight w:val="none"/>
        </w:rPr>
        <w:t xml:space="preserve"> </w:t>
      </w:r>
      <w:r>
        <w:rPr>
          <w:rFonts w:hint="eastAsia" w:eastAsia="仿宋_GB2312" w:cs="Times New Roman"/>
          <w:snapToGrid w:val="0"/>
          <w:color w:val="auto"/>
          <w:kern w:val="0"/>
          <w:sz w:val="24"/>
          <w:szCs w:val="24"/>
          <w:highlight w:val="none"/>
          <w:lang w:val="en-US" w:eastAsia="zh-CN"/>
        </w:rPr>
        <w:t>4</w:t>
      </w:r>
      <w:r>
        <w:rPr>
          <w:rFonts w:hint="default" w:ascii="Times New Roman" w:hAnsi="Times New Roman" w:eastAsia="仿宋_GB2312" w:cs="Times New Roman"/>
          <w:snapToGrid w:val="0"/>
          <w:color w:val="auto"/>
          <w:kern w:val="0"/>
          <w:sz w:val="24"/>
          <w:szCs w:val="24"/>
          <w:highlight w:val="none"/>
        </w:rPr>
        <w:t>00t/km</w:t>
      </w:r>
      <w:r>
        <w:rPr>
          <w:rFonts w:hint="default" w:ascii="Times New Roman" w:hAnsi="Times New Roman" w:eastAsia="仿宋_GB2312" w:cs="Times New Roman"/>
          <w:snapToGrid w:val="0"/>
          <w:color w:val="auto"/>
          <w:kern w:val="0"/>
          <w:sz w:val="24"/>
          <w:szCs w:val="24"/>
          <w:highlight w:val="none"/>
          <w:vertAlign w:val="superscript"/>
        </w:rPr>
        <w:t>2</w:t>
      </w:r>
      <w:r>
        <w:rPr>
          <w:rFonts w:hint="default" w:ascii="Times New Roman" w:hAnsi="Times New Roman" w:eastAsia="仿宋_GB2312" w:cs="Times New Roman"/>
          <w:snapToGrid w:val="0"/>
          <w:color w:val="auto"/>
          <w:kern w:val="0"/>
          <w:sz w:val="24"/>
          <w:szCs w:val="24"/>
          <w:highlight w:val="none"/>
        </w:rPr>
        <w:t xml:space="preserve"> .a，</w:t>
      </w:r>
      <w:r>
        <w:rPr>
          <w:rFonts w:hint="default" w:ascii="Times New Roman" w:hAnsi="Times New Roman" w:eastAsia="仿宋_GB2312" w:cs="Times New Roman"/>
          <w:snapToGrid w:val="0"/>
          <w:color w:val="auto"/>
          <w:kern w:val="0"/>
          <w:sz w:val="24"/>
          <w:szCs w:val="24"/>
          <w:highlight w:val="none"/>
        </w:rPr>
        <w:t>水土流失重点防治区划属</w:t>
      </w:r>
      <w:r>
        <w:rPr>
          <w:rFonts w:hint="eastAsia" w:eastAsia="仿宋_GB2312"/>
          <w:color w:val="auto"/>
          <w:szCs w:val="24"/>
          <w:lang w:eastAsia="zh-CN"/>
        </w:rPr>
        <w:t>长白山国家级水土流失重点预防区</w:t>
      </w:r>
      <w:r>
        <w:rPr>
          <w:rFonts w:hint="default" w:ascii="Times New Roman" w:hAnsi="Times New Roman" w:eastAsia="仿宋_GB2312" w:cs="Times New Roman"/>
          <w:snapToGrid w:val="0"/>
          <w:color w:val="auto"/>
          <w:kern w:val="0"/>
          <w:sz w:val="24"/>
          <w:szCs w:val="24"/>
          <w:highlight w:val="none"/>
        </w:rPr>
        <w:t>，项目区未涉及其他水土保持敏感区。</w:t>
      </w:r>
    </w:p>
    <w:p>
      <w:pPr>
        <w:pStyle w:val="5"/>
        <w:spacing w:before="0" w:after="0" w:line="360" w:lineRule="auto"/>
        <w:rPr>
          <w:rFonts w:ascii="Times New Roman" w:hAnsi="Times New Roman" w:eastAsia="仿宋_GB2312"/>
          <w:color w:val="auto"/>
          <w:sz w:val="28"/>
          <w:szCs w:val="28"/>
        </w:rPr>
      </w:pPr>
      <w:bookmarkStart w:id="4" w:name="_Toc8825"/>
      <w:r>
        <w:rPr>
          <w:rFonts w:ascii="Times New Roman" w:hAnsi="Times New Roman" w:eastAsia="仿宋_GB2312"/>
          <w:color w:val="auto"/>
          <w:sz w:val="28"/>
          <w:szCs w:val="28"/>
        </w:rPr>
        <w:t>1.2编制依据</w:t>
      </w:r>
      <w:bookmarkEnd w:id="4"/>
    </w:p>
    <w:p>
      <w:pPr>
        <w:spacing w:line="360" w:lineRule="auto"/>
        <w:rPr>
          <w:rFonts w:eastAsia="仿宋_GB2312"/>
          <w:color w:val="auto"/>
        </w:rPr>
      </w:pPr>
      <w:r>
        <w:rPr>
          <w:rFonts w:eastAsia="仿宋_GB2312"/>
          <w:b/>
          <w:color w:val="auto"/>
          <w:sz w:val="28"/>
          <w:szCs w:val="28"/>
        </w:rPr>
        <w:t>1.2.1</w:t>
      </w:r>
      <w:r>
        <w:rPr>
          <w:rFonts w:eastAsia="仿宋_GB2312"/>
          <w:b/>
          <w:color w:val="auto"/>
          <w:szCs w:val="24"/>
        </w:rPr>
        <w:t>法律法规及规范性文件</w:t>
      </w:r>
    </w:p>
    <w:p>
      <w:pPr>
        <w:spacing w:line="360" w:lineRule="auto"/>
        <w:ind w:firstLine="480" w:firstLineChars="200"/>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（1）《中华人民共和国水土保持法》（全国人大常委会，1991年6月29日公布实施，2010年12月25日修订，2011年3月1日起施行）；</w:t>
      </w:r>
    </w:p>
    <w:p>
      <w:pPr>
        <w:spacing w:line="360" w:lineRule="auto"/>
        <w:ind w:firstLine="480" w:firstLineChars="200"/>
        <w:rPr>
          <w:rFonts w:hint="default" w:ascii="Times New Roman" w:hAnsi="Times New Roman" w:eastAsia="仿宋_GB2312" w:cs="Times New Roman"/>
          <w:bCs/>
          <w:color w:val="auto"/>
          <w:sz w:val="24"/>
          <w:lang w:eastAsia="zh-CN"/>
        </w:rPr>
      </w:pPr>
      <w:r>
        <w:rPr>
          <w:rFonts w:hint="default" w:ascii="Times New Roman" w:hAnsi="Times New Roman" w:eastAsia="仿宋_GB2312" w:cs="Times New Roman"/>
          <w:bCs/>
          <w:color w:val="auto"/>
          <w:sz w:val="24"/>
          <w:lang w:eastAsia="zh-CN"/>
        </w:rPr>
        <w:t>（</w:t>
      </w:r>
      <w:r>
        <w:rPr>
          <w:rFonts w:hint="default" w:ascii="Times New Roman" w:hAnsi="Times New Roman" w:eastAsia="仿宋_GB2312" w:cs="Times New Roman"/>
          <w:bCs/>
          <w:color w:val="auto"/>
          <w:sz w:val="24"/>
          <w:lang w:val="en-US" w:eastAsia="zh-CN"/>
        </w:rPr>
        <w:t>2</w:t>
      </w:r>
      <w:r>
        <w:rPr>
          <w:rFonts w:hint="default" w:ascii="Times New Roman" w:hAnsi="Times New Roman" w:eastAsia="仿宋_GB2312" w:cs="Times New Roman"/>
          <w:bCs/>
          <w:color w:val="auto"/>
          <w:sz w:val="24"/>
          <w:lang w:eastAsia="zh-CN"/>
        </w:rPr>
        <w:t>）</w:t>
      </w:r>
      <w:r>
        <w:rPr>
          <w:rFonts w:hint="default" w:ascii="Times New Roman" w:hAnsi="Times New Roman" w:eastAsia="仿宋_GB2312" w:cs="Times New Roman"/>
          <w:color w:val="auto"/>
          <w:sz w:val="24"/>
          <w:lang w:eastAsia="zh-CN"/>
        </w:rPr>
        <w:t>《中华人民共和国黑土地保护法》（</w:t>
      </w:r>
      <w:r>
        <w:rPr>
          <w:rFonts w:hint="default" w:ascii="Times New Roman" w:hAnsi="Times New Roman" w:eastAsia="仿宋_GB2312" w:cs="Times New Roman"/>
          <w:color w:val="auto"/>
          <w:sz w:val="24"/>
          <w:lang w:val="en-US" w:eastAsia="zh-CN"/>
        </w:rPr>
        <w:t>2022年8月1日</w:t>
      </w:r>
      <w:r>
        <w:rPr>
          <w:rFonts w:hint="default" w:ascii="Times New Roman" w:hAnsi="Times New Roman" w:eastAsia="仿宋_GB2312" w:cs="Times New Roman"/>
          <w:color w:val="auto"/>
          <w:sz w:val="24"/>
          <w:lang w:eastAsia="zh-CN"/>
        </w:rPr>
        <w:t>）；</w:t>
      </w:r>
    </w:p>
    <w:p>
      <w:pPr>
        <w:spacing w:line="360" w:lineRule="auto"/>
        <w:ind w:firstLine="480" w:firstLineChars="200"/>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w:t>
      </w:r>
      <w:r>
        <w:rPr>
          <w:rFonts w:hint="default" w:ascii="Times New Roman" w:hAnsi="Times New Roman" w:eastAsia="仿宋_GB2312" w:cs="Times New Roman"/>
          <w:bCs/>
          <w:color w:val="auto"/>
          <w:sz w:val="24"/>
          <w:lang w:val="en-US" w:eastAsia="zh-CN"/>
        </w:rPr>
        <w:t>3</w:t>
      </w:r>
      <w:r>
        <w:rPr>
          <w:rFonts w:hint="default" w:ascii="Times New Roman" w:hAnsi="Times New Roman" w:eastAsia="仿宋_GB2312" w:cs="Times New Roman"/>
          <w:bCs/>
          <w:color w:val="auto"/>
          <w:sz w:val="24"/>
        </w:rPr>
        <w:t>）《吉林省水土保持条例》（1992年9月14日通过，2013年11月29日修订，2014年3月1日起施行）；</w:t>
      </w:r>
    </w:p>
    <w:p>
      <w:pPr>
        <w:spacing w:line="360" w:lineRule="auto"/>
        <w:ind w:firstLine="480" w:firstLineChars="200"/>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w:t>
      </w:r>
      <w:r>
        <w:rPr>
          <w:rFonts w:hint="default" w:ascii="Times New Roman" w:hAnsi="Times New Roman" w:eastAsia="仿宋_GB2312" w:cs="Times New Roman"/>
          <w:bCs/>
          <w:color w:val="auto"/>
          <w:sz w:val="24"/>
          <w:lang w:val="en-US" w:eastAsia="zh-CN"/>
        </w:rPr>
        <w:t>4</w:t>
      </w:r>
      <w:r>
        <w:rPr>
          <w:rFonts w:hint="default" w:ascii="Times New Roman" w:hAnsi="Times New Roman" w:eastAsia="仿宋_GB2312" w:cs="Times New Roman"/>
          <w:bCs/>
          <w:color w:val="auto"/>
          <w:sz w:val="24"/>
        </w:rPr>
        <w:t>）《吉林省黑土地保护条例》（2018年3月30日吉林省第十三届人民代表大会常务委员会第二次会议通过，2018年7月1日起施行）；</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r>
        <w:rPr>
          <w:rFonts w:hint="eastAsia" w:ascii="Times New Roman" w:hAnsi="Times New Roman" w:eastAsia="仿宋_GB2312" w:cs="Times New Roman"/>
          <w:color w:val="auto"/>
          <w:sz w:val="24"/>
          <w:lang w:val="en-US" w:eastAsia="zh-CN"/>
        </w:rPr>
        <w:t>5</w:t>
      </w:r>
      <w:r>
        <w:rPr>
          <w:rFonts w:hint="default" w:ascii="Times New Roman" w:hAnsi="Times New Roman" w:eastAsia="仿宋_GB2312" w:cs="Times New Roman"/>
          <w:color w:val="auto"/>
          <w:sz w:val="24"/>
        </w:rPr>
        <w:t>）</w:t>
      </w:r>
      <w:r>
        <w:rPr>
          <w:rFonts w:hint="eastAsia" w:ascii="Times New Roman" w:hAnsi="Times New Roman" w:eastAsia="仿宋_GB2312" w:cs="Times New Roman"/>
          <w:color w:val="auto"/>
          <w:sz w:val="24"/>
          <w:lang w:eastAsia="zh-CN"/>
        </w:rPr>
        <w:t>《生产建设项目水土保持方案管理办法》（2023年1月17日水利部令第53号发布，2023年3月1日施行）</w:t>
      </w:r>
      <w:r>
        <w:rPr>
          <w:rFonts w:hint="default" w:ascii="Times New Roman" w:hAnsi="Times New Roman" w:eastAsia="仿宋_GB2312" w:cs="Times New Roman"/>
          <w:color w:val="auto"/>
          <w:sz w:val="24"/>
        </w:rPr>
        <w:t>；</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r>
        <w:rPr>
          <w:rFonts w:hint="eastAsia" w:ascii="Times New Roman" w:hAnsi="Times New Roman" w:eastAsia="仿宋_GB2312" w:cs="Times New Roman"/>
          <w:color w:val="auto"/>
          <w:sz w:val="24"/>
          <w:lang w:val="en-US" w:eastAsia="zh-CN"/>
        </w:rPr>
        <w:t>6</w:t>
      </w:r>
      <w:r>
        <w:rPr>
          <w:rFonts w:hint="default" w:ascii="Times New Roman" w:hAnsi="Times New Roman" w:eastAsia="仿宋_GB2312" w:cs="Times New Roman"/>
          <w:color w:val="auto"/>
          <w:sz w:val="24"/>
        </w:rPr>
        <w:t>）《水利部办公厅关于印发生产建设项目水土保持技术文件编写和印制格式规定（试行）的通知》（办水保〔2018〕135号）；</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r>
        <w:rPr>
          <w:rFonts w:hint="eastAsia" w:ascii="Times New Roman" w:hAnsi="Times New Roman" w:eastAsia="仿宋_GB2312" w:cs="Times New Roman"/>
          <w:color w:val="auto"/>
          <w:sz w:val="24"/>
          <w:lang w:val="en-US" w:eastAsia="zh-CN"/>
        </w:rPr>
        <w:t>7</w:t>
      </w:r>
      <w:r>
        <w:rPr>
          <w:rFonts w:hint="default" w:ascii="Times New Roman" w:hAnsi="Times New Roman" w:eastAsia="仿宋_GB2312" w:cs="Times New Roman"/>
          <w:color w:val="auto"/>
          <w:sz w:val="24"/>
        </w:rPr>
        <w:t>）《水利部办公厅关于进一步加强生产建设项目水土保持监测工作的通知》（办水保〔2020〕161 号）；</w:t>
      </w:r>
    </w:p>
    <w:p>
      <w:pPr>
        <w:spacing w:line="360" w:lineRule="auto"/>
        <w:ind w:firstLine="480" w:firstLineChars="200"/>
        <w:rPr>
          <w:rFonts w:eastAsia="仿宋_GB2312"/>
          <w:color w:val="auto"/>
          <w:szCs w:val="22"/>
        </w:rPr>
      </w:pPr>
      <w:r>
        <w:rPr>
          <w:rFonts w:hint="default" w:ascii="Times New Roman" w:hAnsi="Times New Roman" w:eastAsia="仿宋_GB2312" w:cs="Times New Roman"/>
          <w:color w:val="auto"/>
          <w:sz w:val="24"/>
        </w:rPr>
        <w:t>（</w:t>
      </w:r>
      <w:r>
        <w:rPr>
          <w:rFonts w:hint="eastAsia" w:ascii="Times New Roman" w:hAnsi="Times New Roman" w:eastAsia="仿宋_GB2312" w:cs="Times New Roman"/>
          <w:color w:val="auto"/>
          <w:sz w:val="24"/>
          <w:lang w:val="en-US" w:eastAsia="zh-CN"/>
        </w:rPr>
        <w:t>8</w:t>
      </w:r>
      <w:r>
        <w:rPr>
          <w:rFonts w:hint="default" w:ascii="Times New Roman" w:hAnsi="Times New Roman" w:eastAsia="仿宋_GB2312" w:cs="Times New Roman"/>
          <w:color w:val="auto"/>
          <w:sz w:val="24"/>
        </w:rPr>
        <w:t>）《水利部关于进一步深化“放管服”改革全面加强水土保持监管的意见》（办水保〔2019〕160 号）</w:t>
      </w:r>
      <w:r>
        <w:rPr>
          <w:rFonts w:hint="eastAsia" w:ascii="Times New Roman" w:hAnsi="Times New Roman" w:eastAsia="仿宋_GB2312" w:cs="Times New Roman"/>
          <w:color w:val="auto"/>
          <w:sz w:val="24"/>
          <w:lang w:eastAsia="zh-CN"/>
        </w:rPr>
        <w:t>。</w:t>
      </w:r>
    </w:p>
    <w:p>
      <w:pPr>
        <w:spacing w:line="360" w:lineRule="auto"/>
        <w:rPr>
          <w:rFonts w:eastAsia="仿宋_GB2312"/>
          <w:b/>
          <w:color w:val="auto"/>
          <w:kern w:val="2"/>
          <w:szCs w:val="24"/>
        </w:rPr>
      </w:pPr>
      <w:r>
        <w:rPr>
          <w:rFonts w:eastAsia="仿宋_GB2312"/>
          <w:b/>
          <w:color w:val="auto"/>
          <w:kern w:val="2"/>
          <w:szCs w:val="24"/>
        </w:rPr>
        <w:t>1.2.2技术标准</w:t>
      </w:r>
    </w:p>
    <w:p>
      <w:pPr>
        <w:spacing w:line="360" w:lineRule="auto"/>
        <w:ind w:firstLine="480" w:firstLineChars="200"/>
        <w:rPr>
          <w:rFonts w:eastAsia="仿宋_GB2312"/>
          <w:bCs/>
          <w:iCs/>
          <w:color w:val="auto"/>
        </w:rPr>
      </w:pPr>
      <w:r>
        <w:rPr>
          <w:rFonts w:eastAsia="仿宋_GB2312"/>
          <w:bCs/>
          <w:iCs/>
          <w:color w:val="auto"/>
        </w:rPr>
        <w:t>（1）《水土保持工程设计规范》（GB 51018-2014）；</w:t>
      </w:r>
    </w:p>
    <w:p>
      <w:pPr>
        <w:spacing w:line="360" w:lineRule="auto"/>
        <w:ind w:firstLine="480" w:firstLineChars="200"/>
        <w:rPr>
          <w:rFonts w:eastAsia="仿宋_GB2312"/>
          <w:bCs/>
          <w:iCs/>
          <w:color w:val="auto"/>
        </w:rPr>
      </w:pPr>
      <w:r>
        <w:rPr>
          <w:rFonts w:eastAsia="仿宋_GB2312"/>
          <w:bCs/>
          <w:iCs/>
          <w:color w:val="auto"/>
        </w:rPr>
        <w:t>（2）《生产建设项目水土保持技术标准》（GB 50433-2018）；</w:t>
      </w:r>
    </w:p>
    <w:p>
      <w:pPr>
        <w:spacing w:line="360" w:lineRule="auto"/>
        <w:ind w:firstLine="480" w:firstLineChars="200"/>
        <w:rPr>
          <w:rFonts w:eastAsia="仿宋_GB2312"/>
          <w:bCs/>
          <w:iCs/>
          <w:color w:val="auto"/>
        </w:rPr>
      </w:pPr>
      <w:r>
        <w:rPr>
          <w:rFonts w:eastAsia="仿宋_GB2312"/>
          <w:bCs/>
          <w:iCs/>
          <w:color w:val="auto"/>
        </w:rPr>
        <w:t>（3）《生产建设项目水土流失防治标准》（GB/T 50434-2018）；</w:t>
      </w:r>
    </w:p>
    <w:p>
      <w:pPr>
        <w:spacing w:line="360" w:lineRule="auto"/>
        <w:ind w:firstLine="480" w:firstLineChars="200"/>
        <w:rPr>
          <w:rFonts w:eastAsia="仿宋_GB2312"/>
          <w:bCs/>
          <w:iCs/>
          <w:color w:val="auto"/>
        </w:rPr>
      </w:pPr>
      <w:r>
        <w:rPr>
          <w:rFonts w:eastAsia="仿宋_GB2312"/>
          <w:bCs/>
          <w:iCs/>
          <w:color w:val="auto"/>
        </w:rPr>
        <w:t>（4）《生产建设项目水土保持监测与评价标准》（GB/T 51240-2018）；</w:t>
      </w:r>
    </w:p>
    <w:p>
      <w:pPr>
        <w:spacing w:line="360" w:lineRule="auto"/>
        <w:ind w:firstLine="480" w:firstLineChars="200"/>
        <w:rPr>
          <w:rFonts w:eastAsia="仿宋_GB2312"/>
          <w:bCs/>
          <w:iCs/>
          <w:color w:val="auto"/>
        </w:rPr>
      </w:pPr>
      <w:r>
        <w:rPr>
          <w:rFonts w:eastAsia="仿宋_GB2312"/>
          <w:bCs/>
          <w:iCs/>
          <w:color w:val="auto"/>
        </w:rPr>
        <w:t>（5）《水利水电工程制图标准 水土保持图》（SL73.6-2015）；</w:t>
      </w:r>
    </w:p>
    <w:p>
      <w:pPr>
        <w:spacing w:line="360" w:lineRule="auto"/>
        <w:ind w:firstLine="480" w:firstLineChars="200"/>
        <w:rPr>
          <w:rFonts w:eastAsia="仿宋_GB2312"/>
          <w:bCs/>
          <w:iCs/>
          <w:color w:val="auto"/>
        </w:rPr>
      </w:pPr>
      <w:r>
        <w:rPr>
          <w:rFonts w:eastAsia="仿宋_GB2312"/>
          <w:bCs/>
          <w:iCs/>
          <w:color w:val="auto"/>
        </w:rPr>
        <w:t>（6）《土地利用现状分类》（GB/T21010-2017）</w:t>
      </w:r>
    </w:p>
    <w:p>
      <w:pPr>
        <w:spacing w:line="360" w:lineRule="auto"/>
        <w:ind w:firstLine="480" w:firstLineChars="200"/>
        <w:rPr>
          <w:rFonts w:eastAsia="仿宋_GB2312"/>
          <w:bCs/>
          <w:iCs/>
          <w:color w:val="auto"/>
        </w:rPr>
      </w:pPr>
      <w:r>
        <w:rPr>
          <w:rFonts w:hint="eastAsia" w:eastAsia="仿宋_GB2312"/>
          <w:bCs/>
          <w:iCs/>
          <w:color w:val="auto"/>
          <w:lang w:eastAsia="zh-CN"/>
        </w:rPr>
        <w:t>（</w:t>
      </w:r>
      <w:r>
        <w:rPr>
          <w:rFonts w:hint="eastAsia" w:eastAsia="仿宋_GB2312"/>
          <w:bCs/>
          <w:iCs/>
          <w:color w:val="auto"/>
          <w:lang w:val="en-US" w:eastAsia="zh-CN"/>
        </w:rPr>
        <w:t>7</w:t>
      </w:r>
      <w:r>
        <w:rPr>
          <w:rFonts w:hint="eastAsia" w:eastAsia="仿宋_GB2312"/>
          <w:bCs/>
          <w:iCs/>
          <w:color w:val="auto"/>
          <w:lang w:eastAsia="zh-CN"/>
        </w:rPr>
        <w:t>）</w:t>
      </w:r>
      <w:r>
        <w:rPr>
          <w:rFonts w:hint="default" w:ascii="Times New Roman" w:hAnsi="Times New Roman" w:eastAsia="仿宋_GB2312" w:cs="Times New Roman"/>
          <w:bCs/>
          <w:color w:val="auto"/>
          <w:szCs w:val="22"/>
          <w:highlight w:val="none"/>
          <w:lang w:val="en-US" w:eastAsia="zh-CN"/>
        </w:rPr>
        <w:t>《水土保持工程调查与勘测标准》（GB/T 51297-2018）</w:t>
      </w:r>
      <w:r>
        <w:rPr>
          <w:rFonts w:eastAsia="仿宋_GB2312"/>
          <w:bCs/>
          <w:iCs/>
          <w:color w:val="auto"/>
        </w:rPr>
        <w:t>。</w:t>
      </w:r>
    </w:p>
    <w:p>
      <w:pPr>
        <w:keepNext/>
        <w:spacing w:line="360" w:lineRule="auto"/>
        <w:rPr>
          <w:rFonts w:eastAsia="仿宋_GB2312"/>
          <w:b/>
          <w:color w:val="auto"/>
          <w:kern w:val="2"/>
          <w:szCs w:val="24"/>
        </w:rPr>
      </w:pPr>
      <w:r>
        <w:rPr>
          <w:rFonts w:eastAsia="仿宋_GB2312"/>
          <w:b/>
          <w:color w:val="auto"/>
          <w:kern w:val="2"/>
          <w:szCs w:val="24"/>
        </w:rPr>
        <w:t>1.2.3技术资料</w:t>
      </w:r>
    </w:p>
    <w:p>
      <w:pPr>
        <w:spacing w:line="360" w:lineRule="auto"/>
        <w:ind w:firstLine="480" w:firstLineChars="200"/>
        <w:rPr>
          <w:rFonts w:eastAsia="仿宋_GB2312"/>
          <w:color w:val="auto"/>
        </w:rPr>
      </w:pPr>
      <w:r>
        <w:rPr>
          <w:rFonts w:eastAsia="仿宋_GB2312"/>
          <w:color w:val="auto"/>
        </w:rPr>
        <w:t>（1）《全国水土保持规划（2015～2030年）》；</w:t>
      </w:r>
    </w:p>
    <w:p>
      <w:pPr>
        <w:spacing w:line="360" w:lineRule="auto"/>
        <w:ind w:firstLine="480" w:firstLineChars="200"/>
        <w:rPr>
          <w:rFonts w:eastAsia="仿宋_GB2312"/>
          <w:color w:val="auto"/>
        </w:rPr>
      </w:pPr>
      <w:r>
        <w:rPr>
          <w:rFonts w:eastAsia="仿宋_GB2312"/>
          <w:color w:val="auto"/>
        </w:rPr>
        <w:t>（2）《吉林省水土保持规划（2016～2030年）》；</w:t>
      </w:r>
    </w:p>
    <w:p>
      <w:pPr>
        <w:spacing w:line="360" w:lineRule="auto"/>
        <w:ind w:firstLine="480" w:firstLineChars="200"/>
        <w:rPr>
          <w:rFonts w:hint="eastAsia" w:eastAsia="仿宋_GB2312"/>
          <w:color w:val="auto"/>
          <w:lang w:eastAsia="zh-CN"/>
        </w:rPr>
      </w:pPr>
      <w:r>
        <w:rPr>
          <w:rFonts w:eastAsia="仿宋_GB2312"/>
          <w:color w:val="auto"/>
        </w:rPr>
        <w:t>（</w:t>
      </w:r>
      <w:r>
        <w:rPr>
          <w:rFonts w:hint="eastAsia" w:eastAsia="仿宋_GB2312"/>
          <w:color w:val="auto"/>
        </w:rPr>
        <w:t>3</w:t>
      </w:r>
      <w:r>
        <w:rPr>
          <w:rFonts w:eastAsia="仿宋_GB2312"/>
          <w:color w:val="auto"/>
        </w:rPr>
        <w:t>）《</w:t>
      </w:r>
      <w:r>
        <w:rPr>
          <w:rFonts w:hint="eastAsia" w:eastAsia="仿宋_GB2312"/>
          <w:color w:val="auto"/>
          <w:lang w:val="en-US" w:eastAsia="zh-CN"/>
        </w:rPr>
        <w:t>白山</w:t>
      </w:r>
      <w:r>
        <w:rPr>
          <w:rFonts w:eastAsia="仿宋_GB2312"/>
          <w:color w:val="auto"/>
        </w:rPr>
        <w:t>市水土保持规划（201</w:t>
      </w:r>
      <w:r>
        <w:rPr>
          <w:rFonts w:hint="eastAsia" w:eastAsia="仿宋_GB2312"/>
          <w:color w:val="auto"/>
          <w:lang w:val="en-US" w:eastAsia="zh-CN"/>
        </w:rPr>
        <w:t>6</w:t>
      </w:r>
      <w:r>
        <w:rPr>
          <w:rFonts w:eastAsia="仿宋_GB2312"/>
          <w:color w:val="auto"/>
        </w:rPr>
        <w:t>～2030年）》</w:t>
      </w:r>
      <w:r>
        <w:rPr>
          <w:rFonts w:hint="eastAsia" w:eastAsia="仿宋_GB2312"/>
          <w:color w:val="auto"/>
          <w:lang w:eastAsia="zh-CN"/>
        </w:rPr>
        <w:t>；</w:t>
      </w:r>
    </w:p>
    <w:p>
      <w:pPr>
        <w:spacing w:line="360" w:lineRule="auto"/>
        <w:ind w:firstLine="480" w:firstLineChars="200"/>
        <w:rPr>
          <w:rFonts w:eastAsia="仿宋_GB2312"/>
          <w:color w:val="auto"/>
        </w:rPr>
      </w:pPr>
      <w:r>
        <w:rPr>
          <w:rFonts w:hint="eastAsia" w:eastAsia="仿宋_GB2312"/>
          <w:color w:val="auto"/>
          <w:lang w:eastAsia="zh-CN"/>
        </w:rPr>
        <w:t>（</w:t>
      </w:r>
      <w:r>
        <w:rPr>
          <w:rFonts w:hint="eastAsia" w:eastAsia="仿宋_GB2312"/>
          <w:color w:val="auto"/>
          <w:lang w:val="en-US" w:eastAsia="zh-CN"/>
        </w:rPr>
        <w:t>4</w:t>
      </w:r>
      <w:r>
        <w:rPr>
          <w:rFonts w:hint="eastAsia" w:eastAsia="仿宋_GB2312"/>
          <w:color w:val="auto"/>
          <w:lang w:eastAsia="zh-CN"/>
        </w:rPr>
        <w:t>）</w:t>
      </w:r>
      <w:r>
        <w:rPr>
          <w:rFonts w:eastAsia="仿宋_GB2312"/>
          <w:color w:val="auto"/>
        </w:rPr>
        <w:t>《</w:t>
      </w:r>
      <w:r>
        <w:rPr>
          <w:rFonts w:hint="eastAsia" w:eastAsia="仿宋_GB2312"/>
          <w:color w:val="auto"/>
          <w:lang w:val="en-US" w:eastAsia="zh-CN"/>
        </w:rPr>
        <w:t>抚松县</w:t>
      </w:r>
      <w:r>
        <w:rPr>
          <w:rFonts w:eastAsia="仿宋_GB2312"/>
          <w:color w:val="auto"/>
        </w:rPr>
        <w:t>水土保持规划（201</w:t>
      </w:r>
      <w:r>
        <w:rPr>
          <w:rFonts w:hint="eastAsia" w:eastAsia="仿宋_GB2312"/>
          <w:color w:val="auto"/>
          <w:lang w:val="en-US" w:eastAsia="zh-CN"/>
        </w:rPr>
        <w:t>6</w:t>
      </w:r>
      <w:r>
        <w:rPr>
          <w:rFonts w:eastAsia="仿宋_GB2312"/>
          <w:color w:val="auto"/>
        </w:rPr>
        <w:t>～2030年）》；</w:t>
      </w:r>
    </w:p>
    <w:p>
      <w:pPr>
        <w:spacing w:line="360" w:lineRule="auto"/>
        <w:ind w:firstLine="480" w:firstLineChars="200"/>
        <w:rPr>
          <w:rFonts w:eastAsia="仿宋_GB2312"/>
          <w:color w:val="auto"/>
        </w:rPr>
      </w:pPr>
      <w:r>
        <w:rPr>
          <w:rFonts w:eastAsia="仿宋_GB2312"/>
          <w:color w:val="auto"/>
        </w:rPr>
        <w:t>（</w:t>
      </w:r>
      <w:r>
        <w:rPr>
          <w:rFonts w:hint="eastAsia" w:eastAsia="仿宋_GB2312"/>
          <w:color w:val="auto"/>
        </w:rPr>
        <w:t>4</w:t>
      </w:r>
      <w:r>
        <w:rPr>
          <w:rFonts w:eastAsia="仿宋_GB2312"/>
          <w:color w:val="auto"/>
        </w:rPr>
        <w:t>）《吉林省水土保持公报》（吉林省水利厅，20</w:t>
      </w:r>
      <w:r>
        <w:rPr>
          <w:rFonts w:hint="eastAsia" w:eastAsia="仿宋_GB2312"/>
          <w:color w:val="auto"/>
          <w:lang w:val="en-US" w:eastAsia="zh-CN"/>
        </w:rPr>
        <w:t>21</w:t>
      </w:r>
      <w:r>
        <w:rPr>
          <w:rFonts w:eastAsia="仿宋_GB2312"/>
          <w:color w:val="auto"/>
        </w:rPr>
        <w:t>年）；</w:t>
      </w:r>
    </w:p>
    <w:p>
      <w:pPr>
        <w:spacing w:line="360" w:lineRule="auto"/>
        <w:ind w:firstLine="480" w:firstLineChars="200"/>
        <w:rPr>
          <w:rFonts w:hint="eastAsia" w:eastAsia="仿宋_GB2312"/>
          <w:color w:val="auto"/>
          <w:lang w:eastAsia="zh-CN"/>
        </w:rPr>
      </w:pPr>
      <w:r>
        <w:rPr>
          <w:rFonts w:eastAsia="仿宋_GB2312"/>
          <w:color w:val="auto"/>
        </w:rPr>
        <w:t>（</w:t>
      </w:r>
      <w:r>
        <w:rPr>
          <w:rFonts w:hint="eastAsia" w:eastAsia="仿宋_GB2312"/>
          <w:color w:val="auto"/>
        </w:rPr>
        <w:t>5</w:t>
      </w:r>
      <w:r>
        <w:rPr>
          <w:rFonts w:eastAsia="仿宋_GB2312"/>
          <w:color w:val="auto"/>
        </w:rPr>
        <w:t>）《</w:t>
      </w:r>
      <w:r>
        <w:rPr>
          <w:rFonts w:hint="eastAsia" w:eastAsia="仿宋_GB2312"/>
          <w:color w:val="auto"/>
          <w:lang w:eastAsia="zh-CN"/>
        </w:rPr>
        <w:t>吉林省鼎生工程有限公司水泥碎石制品建设项目</w:t>
      </w:r>
      <w:r>
        <w:rPr>
          <w:rFonts w:hint="eastAsia" w:eastAsia="仿宋_GB2312"/>
          <w:color w:val="auto"/>
          <w:szCs w:val="24"/>
          <w:lang w:val="en-US" w:eastAsia="zh-CN"/>
        </w:rPr>
        <w:t>环境影响报告表</w:t>
      </w:r>
      <w:r>
        <w:rPr>
          <w:rFonts w:eastAsia="仿宋_GB2312"/>
          <w:color w:val="auto"/>
        </w:rPr>
        <w:t>》（</w:t>
      </w:r>
      <w:r>
        <w:rPr>
          <w:rFonts w:eastAsia="仿宋_GB2312"/>
          <w:color w:val="auto"/>
          <w:szCs w:val="24"/>
        </w:rPr>
        <w:t>吉林省</w:t>
      </w:r>
      <w:r>
        <w:rPr>
          <w:rFonts w:hint="eastAsia" w:eastAsia="仿宋_GB2312"/>
          <w:color w:val="auto"/>
          <w:szCs w:val="24"/>
          <w:lang w:val="en-US" w:eastAsia="zh-CN"/>
        </w:rPr>
        <w:t>清山绿水环保科技有限公司</w:t>
      </w:r>
      <w:r>
        <w:rPr>
          <w:rFonts w:eastAsia="仿宋_GB2312"/>
          <w:color w:val="auto"/>
        </w:rPr>
        <w:t>，202</w:t>
      </w:r>
      <w:r>
        <w:rPr>
          <w:rFonts w:hint="eastAsia" w:eastAsia="仿宋_GB2312"/>
          <w:color w:val="auto"/>
          <w:lang w:val="en-US" w:eastAsia="zh-CN"/>
        </w:rPr>
        <w:t>2</w:t>
      </w:r>
      <w:r>
        <w:rPr>
          <w:rFonts w:eastAsia="仿宋_GB2312"/>
          <w:color w:val="auto"/>
        </w:rPr>
        <w:t>年</w:t>
      </w:r>
      <w:r>
        <w:rPr>
          <w:rFonts w:hint="eastAsia" w:eastAsia="仿宋_GB2312"/>
          <w:color w:val="auto"/>
          <w:lang w:val="en-US" w:eastAsia="zh-CN"/>
        </w:rPr>
        <w:t>12</w:t>
      </w:r>
      <w:r>
        <w:rPr>
          <w:rFonts w:eastAsia="仿宋_GB2312"/>
          <w:color w:val="auto"/>
        </w:rPr>
        <w:t>月）</w:t>
      </w:r>
      <w:r>
        <w:rPr>
          <w:rFonts w:hint="eastAsia" w:eastAsia="仿宋_GB2312"/>
          <w:color w:val="auto"/>
          <w:lang w:eastAsia="zh-CN"/>
        </w:rPr>
        <w:t>。</w:t>
      </w:r>
    </w:p>
    <w:p>
      <w:pPr>
        <w:pStyle w:val="5"/>
        <w:spacing w:before="0" w:after="0" w:line="360" w:lineRule="auto"/>
        <w:rPr>
          <w:rFonts w:ascii="Times New Roman" w:hAnsi="Times New Roman" w:eastAsia="仿宋_GB2312"/>
          <w:color w:val="auto"/>
          <w:sz w:val="28"/>
          <w:szCs w:val="28"/>
        </w:rPr>
      </w:pPr>
      <w:bookmarkStart w:id="5" w:name="_Toc15740"/>
      <w:r>
        <w:rPr>
          <w:rFonts w:ascii="Times New Roman" w:hAnsi="Times New Roman" w:eastAsia="仿宋_GB2312"/>
          <w:color w:val="auto"/>
          <w:sz w:val="28"/>
          <w:szCs w:val="28"/>
        </w:rPr>
        <w:t>1.3设计水平年</w:t>
      </w:r>
      <w:bookmarkEnd w:id="5"/>
    </w:p>
    <w:p>
      <w:pPr>
        <w:pStyle w:val="48"/>
        <w:ind w:firstLine="48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本项目</w:t>
      </w:r>
      <w:r>
        <w:rPr>
          <w:rFonts w:hint="eastAsia" w:ascii="Times New Roman" w:hAnsi="Times New Roman" w:eastAsia="仿宋_GB2312" w:cs="Times New Roman"/>
          <w:color w:val="auto"/>
          <w:sz w:val="24"/>
          <w:szCs w:val="24"/>
        </w:rPr>
        <w:t>已于</w:t>
      </w:r>
      <w:r>
        <w:rPr>
          <w:rFonts w:ascii="Times New Roman" w:hAnsi="Times New Roman" w:eastAsia="仿宋_GB2312" w:cs="Times New Roman"/>
          <w:color w:val="auto"/>
          <w:sz w:val="24"/>
          <w:szCs w:val="24"/>
        </w:rPr>
        <w:t>202</w:t>
      </w:r>
      <w:r>
        <w:rPr>
          <w:rFonts w:hint="eastAsia" w:ascii="Times New Roman" w:hAnsi="Times New Roman" w:eastAsia="仿宋_GB2312" w:cs="Times New Roman"/>
          <w:color w:val="auto"/>
          <w:sz w:val="24"/>
          <w:szCs w:val="24"/>
          <w:lang w:val="en-US" w:eastAsia="zh-CN"/>
        </w:rPr>
        <w:t>2</w:t>
      </w:r>
      <w:r>
        <w:rPr>
          <w:rFonts w:ascii="Times New Roman" w:hAnsi="Times New Roman" w:eastAsia="仿宋_GB2312" w:cs="Times New Roman"/>
          <w:color w:val="auto"/>
          <w:sz w:val="24"/>
          <w:szCs w:val="24"/>
        </w:rPr>
        <w:t>年</w:t>
      </w:r>
      <w:r>
        <w:rPr>
          <w:rFonts w:hint="eastAsia" w:ascii="Times New Roman" w:hAnsi="Times New Roman" w:eastAsia="仿宋_GB2312" w:cs="Times New Roman"/>
          <w:color w:val="auto"/>
          <w:sz w:val="24"/>
          <w:szCs w:val="24"/>
          <w:lang w:val="en-US" w:eastAsia="zh-CN"/>
        </w:rPr>
        <w:t>8</w:t>
      </w:r>
      <w:r>
        <w:rPr>
          <w:rFonts w:ascii="Times New Roman" w:hAnsi="Times New Roman" w:eastAsia="仿宋_GB2312" w:cs="Times New Roman"/>
          <w:color w:val="auto"/>
          <w:sz w:val="24"/>
          <w:szCs w:val="24"/>
        </w:rPr>
        <w:t>月开工，202</w:t>
      </w:r>
      <w:r>
        <w:rPr>
          <w:rFonts w:hint="eastAsia" w:ascii="Times New Roman" w:hAnsi="Times New Roman" w:eastAsia="仿宋_GB2312" w:cs="Times New Roman"/>
          <w:color w:val="auto"/>
          <w:sz w:val="24"/>
          <w:szCs w:val="24"/>
          <w:lang w:val="en-US" w:eastAsia="zh-CN"/>
        </w:rPr>
        <w:t>3</w:t>
      </w:r>
      <w:r>
        <w:rPr>
          <w:rFonts w:ascii="Times New Roman" w:hAnsi="Times New Roman" w:eastAsia="仿宋_GB2312" w:cs="Times New Roman"/>
          <w:color w:val="auto"/>
          <w:sz w:val="24"/>
          <w:szCs w:val="24"/>
        </w:rPr>
        <w:t>年</w:t>
      </w:r>
      <w:r>
        <w:rPr>
          <w:rFonts w:hint="eastAsia" w:ascii="Times New Roman" w:hAnsi="Times New Roman" w:eastAsia="仿宋_GB2312" w:cs="Times New Roman"/>
          <w:color w:val="auto"/>
          <w:sz w:val="24"/>
          <w:szCs w:val="24"/>
          <w:lang w:val="en-US" w:eastAsia="zh-CN"/>
        </w:rPr>
        <w:t>4</w:t>
      </w:r>
      <w:r>
        <w:rPr>
          <w:rFonts w:ascii="Times New Roman" w:hAnsi="Times New Roman" w:eastAsia="仿宋_GB2312" w:cs="Times New Roman"/>
          <w:color w:val="auto"/>
          <w:sz w:val="24"/>
          <w:szCs w:val="24"/>
        </w:rPr>
        <w:t>月完工，总工期</w:t>
      </w:r>
      <w:r>
        <w:rPr>
          <w:rFonts w:hint="eastAsia" w:ascii="Times New Roman" w:hAnsi="Times New Roman" w:eastAsia="仿宋_GB2312" w:cs="Times New Roman"/>
          <w:color w:val="auto"/>
          <w:sz w:val="24"/>
          <w:szCs w:val="24"/>
          <w:lang w:val="en-US" w:eastAsia="zh-CN"/>
        </w:rPr>
        <w:t>9</w:t>
      </w:r>
      <w:r>
        <w:rPr>
          <w:rFonts w:ascii="Times New Roman" w:hAnsi="Times New Roman" w:eastAsia="仿宋_GB2312" w:cs="Times New Roman"/>
          <w:color w:val="auto"/>
          <w:sz w:val="24"/>
          <w:szCs w:val="24"/>
        </w:rPr>
        <w:t>个月。根据工程特点及水土保持工程施工进度安排，确定本项目的水土保持方案设计水平年为主体工程完工后</w:t>
      </w:r>
      <w:r>
        <w:rPr>
          <w:rFonts w:hint="eastAsia" w:ascii="Times New Roman" w:hAnsi="Times New Roman" w:eastAsia="仿宋_GB2312" w:cs="Times New Roman"/>
          <w:color w:val="auto"/>
          <w:sz w:val="24"/>
          <w:szCs w:val="24"/>
        </w:rPr>
        <w:t>当年</w:t>
      </w:r>
      <w:r>
        <w:rPr>
          <w:rFonts w:ascii="Times New Roman" w:hAnsi="Times New Roman" w:eastAsia="仿宋_GB2312" w:cs="Times New Roman"/>
          <w:color w:val="auto"/>
          <w:sz w:val="24"/>
          <w:szCs w:val="24"/>
        </w:rPr>
        <w:t>，即202</w:t>
      </w:r>
      <w:r>
        <w:rPr>
          <w:rFonts w:hint="eastAsia" w:ascii="Times New Roman" w:hAnsi="Times New Roman" w:eastAsia="仿宋_GB2312" w:cs="Times New Roman"/>
          <w:color w:val="auto"/>
          <w:sz w:val="24"/>
          <w:szCs w:val="24"/>
          <w:lang w:val="en-US" w:eastAsia="zh-CN"/>
        </w:rPr>
        <w:t>3</w:t>
      </w:r>
      <w:r>
        <w:rPr>
          <w:rFonts w:ascii="Times New Roman" w:hAnsi="Times New Roman" w:eastAsia="仿宋_GB2312" w:cs="Times New Roman"/>
          <w:color w:val="auto"/>
          <w:sz w:val="24"/>
          <w:szCs w:val="24"/>
        </w:rPr>
        <w:t>年。</w:t>
      </w:r>
    </w:p>
    <w:p>
      <w:pPr>
        <w:pStyle w:val="5"/>
        <w:spacing w:before="0" w:after="0" w:line="360" w:lineRule="auto"/>
        <w:rPr>
          <w:rFonts w:ascii="Times New Roman" w:hAnsi="Times New Roman" w:eastAsia="仿宋_GB2312"/>
          <w:color w:val="auto"/>
          <w:sz w:val="28"/>
          <w:szCs w:val="28"/>
        </w:rPr>
      </w:pPr>
      <w:bookmarkStart w:id="6" w:name="_Toc10644"/>
      <w:r>
        <w:rPr>
          <w:rFonts w:ascii="Times New Roman" w:hAnsi="Times New Roman" w:eastAsia="仿宋_GB2312"/>
          <w:color w:val="auto"/>
          <w:sz w:val="28"/>
          <w:szCs w:val="28"/>
        </w:rPr>
        <w:t>1.4水土流失防治责任范围</w:t>
      </w:r>
      <w:bookmarkEnd w:id="6"/>
    </w:p>
    <w:p>
      <w:pPr>
        <w:spacing w:line="360" w:lineRule="auto"/>
        <w:ind w:firstLine="480" w:firstLineChars="200"/>
        <w:jc w:val="both"/>
        <w:rPr>
          <w:rFonts w:eastAsia="仿宋_GB2312"/>
          <w:color w:val="auto"/>
          <w:szCs w:val="24"/>
        </w:rPr>
      </w:pPr>
      <w:r>
        <w:rPr>
          <w:rFonts w:eastAsia="仿宋_GB2312"/>
          <w:color w:val="auto"/>
        </w:rPr>
        <w:t>根据主体工程设计文件，经现场勘察，本项目水土流失防治责任范围为项目</w:t>
      </w:r>
      <w:r>
        <w:rPr>
          <w:rFonts w:eastAsia="仿宋_GB2312"/>
          <w:color w:val="auto"/>
          <w:szCs w:val="24"/>
        </w:rPr>
        <w:t>永久占地</w:t>
      </w:r>
      <w:r>
        <w:rPr>
          <w:rFonts w:eastAsia="仿宋_GB2312"/>
          <w:color w:val="auto"/>
        </w:rPr>
        <w:t>，水土流失防治责任范围</w:t>
      </w:r>
      <w:r>
        <w:rPr>
          <w:rFonts w:hint="eastAsia" w:eastAsia="仿宋_GB2312"/>
          <w:color w:val="auto"/>
          <w:lang w:val="en-US" w:eastAsia="zh-CN"/>
        </w:rPr>
        <w:t>0.67</w:t>
      </w:r>
      <w:r>
        <w:rPr>
          <w:rFonts w:eastAsia="仿宋_GB2312"/>
          <w:color w:val="auto"/>
        </w:rPr>
        <w:t>hm</w:t>
      </w:r>
      <w:r>
        <w:rPr>
          <w:rFonts w:eastAsia="仿宋_GB2312"/>
          <w:color w:val="auto"/>
          <w:vertAlign w:val="superscript"/>
        </w:rPr>
        <w:t>2</w:t>
      </w:r>
      <w:r>
        <w:rPr>
          <w:rFonts w:eastAsia="仿宋_GB2312"/>
          <w:color w:val="auto"/>
        </w:rPr>
        <w:t>，水土流失防治责任主体为</w:t>
      </w:r>
      <w:r>
        <w:rPr>
          <w:rFonts w:hint="eastAsia" w:eastAsia="仿宋_GB2312"/>
          <w:color w:val="auto"/>
          <w:szCs w:val="24"/>
          <w:lang w:eastAsia="zh-CN"/>
        </w:rPr>
        <w:t>吉林省鼎生工程有限公司</w:t>
      </w:r>
      <w:r>
        <w:rPr>
          <w:rFonts w:eastAsia="仿宋_GB2312"/>
          <w:color w:val="auto"/>
          <w:szCs w:val="24"/>
        </w:rPr>
        <w:t>。</w:t>
      </w:r>
    </w:p>
    <w:p>
      <w:pPr>
        <w:pStyle w:val="5"/>
        <w:spacing w:before="0" w:after="0" w:line="360" w:lineRule="auto"/>
        <w:rPr>
          <w:rFonts w:ascii="Times New Roman" w:hAnsi="Times New Roman" w:eastAsia="仿宋_GB2312"/>
          <w:color w:val="auto"/>
          <w:sz w:val="28"/>
          <w:szCs w:val="28"/>
        </w:rPr>
      </w:pPr>
      <w:bookmarkStart w:id="7" w:name="_Toc4437"/>
      <w:r>
        <w:rPr>
          <w:rFonts w:ascii="Times New Roman" w:hAnsi="Times New Roman" w:eastAsia="仿宋_GB2312"/>
          <w:color w:val="auto"/>
          <w:sz w:val="28"/>
          <w:szCs w:val="28"/>
        </w:rPr>
        <w:t>1.5水土流失防治目标</w:t>
      </w:r>
      <w:bookmarkEnd w:id="7"/>
    </w:p>
    <w:p>
      <w:pPr>
        <w:spacing w:line="360" w:lineRule="auto"/>
        <w:jc w:val="both"/>
        <w:rPr>
          <w:rFonts w:eastAsia="仿宋_GB2312"/>
          <w:color w:val="auto"/>
        </w:rPr>
      </w:pPr>
      <w:r>
        <w:rPr>
          <w:rFonts w:eastAsia="仿宋_GB2312"/>
          <w:b/>
          <w:color w:val="auto"/>
          <w:sz w:val="28"/>
          <w:szCs w:val="28"/>
        </w:rPr>
        <w:t>1.5.1</w:t>
      </w:r>
      <w:r>
        <w:rPr>
          <w:rFonts w:eastAsia="仿宋_GB2312"/>
          <w:b/>
          <w:color w:val="auto"/>
          <w:szCs w:val="24"/>
        </w:rPr>
        <w:t>执行标准等级</w:t>
      </w:r>
    </w:p>
    <w:p>
      <w:pPr>
        <w:spacing w:line="360" w:lineRule="auto"/>
        <w:ind w:firstLine="480" w:firstLineChars="200"/>
        <w:jc w:val="both"/>
        <w:rPr>
          <w:color w:val="auto"/>
        </w:rPr>
      </w:pPr>
      <w:r>
        <w:rPr>
          <w:rFonts w:eastAsia="仿宋_GB2312"/>
          <w:color w:val="auto"/>
          <w:szCs w:val="22"/>
        </w:rPr>
        <w:t>根据《全国水土保持规划（2015—2030年）》、《吉林省水土保持规划(2016—2030年)》，项目区属于</w:t>
      </w:r>
      <w:r>
        <w:rPr>
          <w:rFonts w:hint="eastAsia" w:eastAsia="仿宋_GB2312"/>
          <w:color w:val="auto"/>
          <w:szCs w:val="22"/>
          <w:lang w:eastAsia="zh-CN"/>
        </w:rPr>
        <w:t>长白山国家级水土流失重点预防区</w:t>
      </w:r>
      <w:r>
        <w:rPr>
          <w:rFonts w:eastAsia="仿宋_GB2312"/>
          <w:color w:val="auto"/>
          <w:szCs w:val="22"/>
        </w:rPr>
        <w:t>。根据《生产建设项目水土流失防治标准》（GB/T 50434-2018），项目区水土保持区划属东北黑土区，执行东北黑土区水土流失防治一级标准。</w:t>
      </w:r>
    </w:p>
    <w:p>
      <w:pPr>
        <w:spacing w:line="360" w:lineRule="auto"/>
        <w:jc w:val="both"/>
        <w:rPr>
          <w:rFonts w:eastAsia="仿宋_GB2312"/>
          <w:b/>
          <w:color w:val="auto"/>
          <w:szCs w:val="24"/>
        </w:rPr>
      </w:pPr>
      <w:r>
        <w:rPr>
          <w:rFonts w:eastAsia="仿宋_GB2312"/>
          <w:b/>
          <w:color w:val="auto"/>
          <w:sz w:val="28"/>
          <w:szCs w:val="28"/>
        </w:rPr>
        <w:t>1.5.2</w:t>
      </w:r>
      <w:r>
        <w:rPr>
          <w:rFonts w:eastAsia="仿宋_GB2312"/>
          <w:b/>
          <w:color w:val="auto"/>
          <w:szCs w:val="24"/>
        </w:rPr>
        <w:t>防治目标</w:t>
      </w:r>
    </w:p>
    <w:p>
      <w:pPr>
        <w:spacing w:line="360" w:lineRule="auto"/>
        <w:ind w:firstLine="480" w:firstLineChars="200"/>
        <w:jc w:val="both"/>
        <w:rPr>
          <w:rFonts w:eastAsia="仿宋_GB2312"/>
          <w:color w:val="auto"/>
          <w:szCs w:val="24"/>
        </w:rPr>
      </w:pPr>
      <w:r>
        <w:rPr>
          <w:rFonts w:eastAsia="仿宋_GB2312"/>
          <w:color w:val="auto"/>
          <w:szCs w:val="24"/>
        </w:rPr>
        <w:t>按照《生产建设项目水土保持技术标准》（GB 50433-2018）和《生产建设项目水土流失防治标准》（GB/T 50434-2018）规定，本工程水土流失防治应达到下列基本目标：项目建设范围内的新增水土流失应得到有效控制，原有水土流失得到治理；水土保持设施应安全有效；水土资源、林草植被应得到最大限度的保护与恢复。</w:t>
      </w:r>
    </w:p>
    <w:p>
      <w:pPr>
        <w:spacing w:line="360" w:lineRule="auto"/>
        <w:ind w:firstLine="480" w:firstLineChars="200"/>
        <w:jc w:val="both"/>
        <w:rPr>
          <w:color w:val="auto"/>
        </w:rPr>
      </w:pPr>
      <w:r>
        <w:rPr>
          <w:rFonts w:hint="default" w:ascii="Times New Roman" w:hAnsi="Times New Roman" w:eastAsia="仿宋_GB2312" w:cs="Times New Roman"/>
          <w:color w:val="auto"/>
          <w:kern w:val="10"/>
          <w:sz w:val="24"/>
        </w:rPr>
        <w:t>因项目区土壤侵蚀以轻度水土流失为主，土壤流失控制比应不小于1.0，</w:t>
      </w:r>
      <w:r>
        <w:rPr>
          <w:rFonts w:hint="default" w:ascii="Times New Roman" w:hAnsi="Times New Roman" w:eastAsia="仿宋_GB2312" w:cs="Times New Roman"/>
          <w:color w:val="auto"/>
          <w:kern w:val="10"/>
          <w:sz w:val="24"/>
          <w:lang w:val="en-US" w:eastAsia="zh-CN"/>
        </w:rPr>
        <w:t>抚松县</w:t>
      </w:r>
      <w:r>
        <w:rPr>
          <w:rFonts w:hint="default" w:ascii="Times New Roman" w:hAnsi="Times New Roman" w:eastAsia="仿宋_GB2312" w:cs="Times New Roman"/>
          <w:color w:val="auto"/>
          <w:kern w:val="10"/>
          <w:sz w:val="24"/>
        </w:rPr>
        <w:t>地处半湿润区，水土流失治理度</w:t>
      </w:r>
      <w:r>
        <w:rPr>
          <w:rFonts w:hint="default" w:ascii="Times New Roman" w:hAnsi="Times New Roman" w:eastAsia="仿宋_GB2312" w:cs="Times New Roman"/>
          <w:color w:val="auto"/>
          <w:kern w:val="10"/>
          <w:sz w:val="24"/>
          <w:lang w:val="en-US" w:eastAsia="zh-CN"/>
        </w:rPr>
        <w:t>不做调整；项目区无林草植被，林草植被恢复率、林草覆盖率不计；本项目</w:t>
      </w:r>
      <w:r>
        <w:rPr>
          <w:rFonts w:hint="eastAsia" w:eastAsia="仿宋_GB2312" w:cs="Times New Roman"/>
          <w:color w:val="auto"/>
          <w:kern w:val="10"/>
          <w:sz w:val="24"/>
          <w:lang w:val="en-US" w:eastAsia="zh-CN"/>
        </w:rPr>
        <w:t>占地现状为砂石地面，</w:t>
      </w:r>
      <w:r>
        <w:rPr>
          <w:rFonts w:hint="default" w:ascii="Times New Roman" w:hAnsi="Times New Roman" w:eastAsia="仿宋_GB2312" w:cs="Times New Roman"/>
          <w:color w:val="auto"/>
          <w:kern w:val="10"/>
          <w:sz w:val="24"/>
          <w:lang w:val="en-US" w:eastAsia="zh-CN"/>
        </w:rPr>
        <w:t>无表土，表土保护率不计。</w:t>
      </w:r>
    </w:p>
    <w:p>
      <w:pPr>
        <w:snapToGrid w:val="0"/>
        <w:spacing w:line="360" w:lineRule="auto"/>
        <w:ind w:firstLine="480" w:firstLineChars="200"/>
        <w:rPr>
          <w:rFonts w:eastAsia="仿宋_GB2312"/>
          <w:color w:val="auto"/>
        </w:rPr>
      </w:pPr>
      <w:r>
        <w:rPr>
          <w:rFonts w:eastAsia="仿宋_GB2312"/>
          <w:color w:val="auto"/>
          <w:szCs w:val="24"/>
        </w:rPr>
        <w:t>设计水平年水土流失防治指标为：水土流失治理度达到97%，土壤流失控制比达到1.0，渣土防护率达到9</w:t>
      </w:r>
      <w:r>
        <w:rPr>
          <w:rFonts w:hint="eastAsia" w:eastAsia="仿宋_GB2312"/>
          <w:color w:val="auto"/>
          <w:szCs w:val="24"/>
          <w:lang w:val="en-US" w:eastAsia="zh-CN"/>
        </w:rPr>
        <w:t>7</w:t>
      </w:r>
      <w:r>
        <w:rPr>
          <w:rFonts w:eastAsia="仿宋_GB2312"/>
          <w:color w:val="auto"/>
          <w:szCs w:val="24"/>
        </w:rPr>
        <w:t>%，林草植被恢复率</w:t>
      </w:r>
      <w:r>
        <w:rPr>
          <w:rFonts w:hint="eastAsia" w:eastAsia="仿宋_GB2312"/>
          <w:color w:val="auto"/>
          <w:szCs w:val="24"/>
          <w:lang w:eastAsia="zh-CN"/>
        </w:rPr>
        <w:t>、</w:t>
      </w:r>
      <w:r>
        <w:rPr>
          <w:rFonts w:eastAsia="仿宋_GB2312"/>
          <w:color w:val="auto"/>
          <w:szCs w:val="24"/>
        </w:rPr>
        <w:t>林草覆盖率</w:t>
      </w:r>
      <w:r>
        <w:rPr>
          <w:rFonts w:hint="eastAsia" w:eastAsia="仿宋_GB2312"/>
          <w:color w:val="auto"/>
          <w:szCs w:val="24"/>
          <w:lang w:eastAsia="zh-CN"/>
        </w:rPr>
        <w:t>、</w:t>
      </w:r>
      <w:r>
        <w:rPr>
          <w:rFonts w:hint="eastAsia" w:eastAsia="仿宋_GB2312"/>
          <w:color w:val="auto"/>
          <w:szCs w:val="24"/>
          <w:lang w:val="en-US" w:eastAsia="zh-CN"/>
        </w:rPr>
        <w:t>表土保护率不计</w:t>
      </w:r>
      <w:r>
        <w:rPr>
          <w:rFonts w:eastAsia="仿宋_GB2312"/>
          <w:color w:val="auto"/>
          <w:szCs w:val="24"/>
        </w:rPr>
        <w:t>。</w:t>
      </w:r>
    </w:p>
    <w:p>
      <w:pPr>
        <w:pStyle w:val="5"/>
        <w:spacing w:before="0" w:after="0" w:line="360" w:lineRule="auto"/>
        <w:rPr>
          <w:rFonts w:ascii="Times New Roman" w:hAnsi="Times New Roman" w:eastAsia="仿宋_GB2312"/>
          <w:color w:val="auto"/>
          <w:sz w:val="28"/>
          <w:szCs w:val="28"/>
        </w:rPr>
      </w:pPr>
      <w:bookmarkStart w:id="8" w:name="_Toc27557"/>
      <w:r>
        <w:rPr>
          <w:rFonts w:ascii="Times New Roman" w:hAnsi="Times New Roman" w:eastAsia="仿宋_GB2312"/>
          <w:color w:val="auto"/>
          <w:sz w:val="28"/>
          <w:szCs w:val="28"/>
        </w:rPr>
        <w:t>1.6项目水土保持评价结论</w:t>
      </w:r>
      <w:bookmarkEnd w:id="8"/>
    </w:p>
    <w:p>
      <w:pPr>
        <w:spacing w:line="360" w:lineRule="auto"/>
        <w:jc w:val="both"/>
        <w:rPr>
          <w:rFonts w:eastAsia="仿宋_GB2312"/>
          <w:color w:val="auto"/>
        </w:rPr>
      </w:pPr>
      <w:r>
        <w:rPr>
          <w:rFonts w:eastAsia="仿宋_GB2312"/>
          <w:b/>
          <w:color w:val="auto"/>
          <w:sz w:val="28"/>
          <w:szCs w:val="28"/>
        </w:rPr>
        <w:t>1.6.1</w:t>
      </w:r>
      <w:r>
        <w:rPr>
          <w:rFonts w:eastAsia="仿宋_GB2312"/>
          <w:b/>
          <w:color w:val="auto"/>
          <w:szCs w:val="24"/>
        </w:rPr>
        <w:t>主体工程选址评价</w:t>
      </w:r>
    </w:p>
    <w:p>
      <w:pPr>
        <w:spacing w:line="360" w:lineRule="auto"/>
        <w:ind w:firstLine="480" w:firstLineChars="200"/>
        <w:rPr>
          <w:rFonts w:eastAsia="仿宋_GB2312"/>
          <w:b/>
          <w:color w:val="auto"/>
          <w:szCs w:val="24"/>
        </w:rPr>
      </w:pPr>
      <w:r>
        <w:rPr>
          <w:rFonts w:eastAsia="仿宋_GB2312"/>
          <w:color w:val="auto"/>
          <w:szCs w:val="24"/>
        </w:rPr>
        <w:t>本项目所在行政区域属于</w:t>
      </w:r>
      <w:r>
        <w:rPr>
          <w:rFonts w:hint="eastAsia" w:eastAsia="仿宋_GB2312"/>
          <w:color w:val="auto"/>
          <w:szCs w:val="24"/>
          <w:lang w:eastAsia="zh-CN"/>
        </w:rPr>
        <w:t>长白山国家级水土流失重点预防区</w:t>
      </w:r>
      <w:r>
        <w:rPr>
          <w:rFonts w:eastAsia="仿宋_GB2312"/>
          <w:color w:val="auto"/>
          <w:szCs w:val="24"/>
        </w:rPr>
        <w:t>，通过提高防治</w:t>
      </w:r>
      <w:r>
        <w:rPr>
          <w:rFonts w:hint="eastAsia" w:eastAsia="仿宋_GB2312"/>
          <w:color w:val="auto"/>
          <w:szCs w:val="24"/>
        </w:rPr>
        <w:t>指标</w:t>
      </w:r>
      <w:r>
        <w:rPr>
          <w:rFonts w:eastAsia="仿宋_GB2312"/>
          <w:color w:val="auto"/>
          <w:szCs w:val="24"/>
        </w:rPr>
        <w:t>，严格控制扰动地表和植被损坏范围、减少工程占地、加强工程管理、优化施工工艺，有效控制水土流失。项目区不属于水土流失严重、生态脆弱的地区。主体工程选址不位于全国监测网络中的水土保持监</w:t>
      </w:r>
      <w:r>
        <w:rPr>
          <w:rFonts w:hint="eastAsia" w:eastAsia="仿宋_GB2312"/>
          <w:color w:val="auto"/>
          <w:szCs w:val="24"/>
          <w:lang w:val="en-US" w:eastAsia="zh-CN"/>
        </w:rPr>
        <w:t xml:space="preserve"> </w:t>
      </w:r>
      <w:r>
        <w:rPr>
          <w:rFonts w:eastAsia="仿宋_GB2312"/>
          <w:color w:val="auto"/>
          <w:szCs w:val="24"/>
        </w:rPr>
        <w:t>测站点、重点试验区及国家确定的水土保持长期定位观测站，不位于河流两岸、湖泊和水库周边的植物保护带。本项目未设置取土（石、砂）场。本项目未设置弃土（石、渣、灰、矸石、尾矿）场。基本满足《中华人民共和国水土保持法》、《生产建设项目水土保持技术标准》（GB50433-2018）对主体工程选址水土保持约束性规定的要求，从水土保持角度分析，主体工程选址方案可行。</w:t>
      </w:r>
    </w:p>
    <w:p>
      <w:pPr>
        <w:spacing w:line="360" w:lineRule="auto"/>
        <w:jc w:val="both"/>
        <w:rPr>
          <w:rFonts w:eastAsia="仿宋_GB2312"/>
          <w:color w:val="auto"/>
        </w:rPr>
      </w:pPr>
      <w:r>
        <w:rPr>
          <w:rFonts w:eastAsia="仿宋_GB2312"/>
          <w:b/>
          <w:color w:val="auto"/>
          <w:sz w:val="28"/>
          <w:szCs w:val="28"/>
        </w:rPr>
        <w:t>1.6.2</w:t>
      </w:r>
      <w:r>
        <w:rPr>
          <w:rFonts w:eastAsia="仿宋_GB2312"/>
          <w:b/>
          <w:color w:val="auto"/>
          <w:szCs w:val="24"/>
        </w:rPr>
        <w:t>建设方案与布局评价</w:t>
      </w:r>
    </w:p>
    <w:p>
      <w:pPr>
        <w:autoSpaceDE w:val="0"/>
        <w:autoSpaceDN w:val="0"/>
        <w:spacing w:line="360" w:lineRule="auto"/>
        <w:ind w:firstLine="480" w:firstLineChars="200"/>
        <w:rPr>
          <w:rFonts w:eastAsia="仿宋_GB2312"/>
          <w:color w:val="auto"/>
          <w:szCs w:val="24"/>
        </w:rPr>
      </w:pPr>
      <w:r>
        <w:rPr>
          <w:rFonts w:eastAsia="仿宋_GB2312"/>
          <w:color w:val="auto"/>
          <w:szCs w:val="24"/>
        </w:rPr>
        <w:t>本项目总平面布局合理紧凑，施工生产生活区及临时堆土场布置在工程建设区内，竖向布置采取平坡式布置方式，</w:t>
      </w:r>
      <w:r>
        <w:rPr>
          <w:rFonts w:hint="eastAsia" w:eastAsia="仿宋_GB2312"/>
          <w:color w:val="auto"/>
          <w:szCs w:val="24"/>
          <w:lang w:val="en-US" w:eastAsia="zh-CN"/>
        </w:rPr>
        <w:t>雨水采取散排方式；</w:t>
      </w:r>
      <w:r>
        <w:rPr>
          <w:rFonts w:eastAsia="仿宋_GB2312"/>
          <w:color w:val="auto"/>
          <w:szCs w:val="24"/>
        </w:rPr>
        <w:t>施工道路利用既有</w:t>
      </w:r>
      <w:r>
        <w:rPr>
          <w:rFonts w:hint="eastAsia" w:eastAsia="仿宋_GB2312"/>
          <w:color w:val="auto"/>
          <w:szCs w:val="24"/>
          <w:lang w:val="en-US" w:eastAsia="zh-CN"/>
        </w:rPr>
        <w:t>道路</w:t>
      </w:r>
      <w:r>
        <w:rPr>
          <w:rFonts w:eastAsia="仿宋_GB2312"/>
          <w:color w:val="auto"/>
          <w:szCs w:val="24"/>
        </w:rPr>
        <w:t>，工程建设方案总体布局在充分利用现有条件的前提下，尽量满足工程布局合理、交通运输方便、节约国土资源、减少土石方量的要求</w:t>
      </w:r>
      <w:r>
        <w:rPr>
          <w:rFonts w:eastAsia="仿宋_GB2312"/>
          <w:color w:val="auto"/>
          <w:szCs w:val="22"/>
        </w:rPr>
        <w:t>。</w:t>
      </w:r>
      <w:r>
        <w:rPr>
          <w:rFonts w:eastAsia="仿宋_GB2312"/>
          <w:color w:val="auto"/>
          <w:szCs w:val="24"/>
        </w:rPr>
        <w:t>本项目建设方案符合相关规定的要求，主体工程建设方案可行。</w:t>
      </w:r>
    </w:p>
    <w:p>
      <w:pPr>
        <w:autoSpaceDE w:val="0"/>
        <w:autoSpaceDN w:val="0"/>
        <w:spacing w:line="360" w:lineRule="auto"/>
        <w:ind w:firstLine="480" w:firstLineChars="200"/>
        <w:rPr>
          <w:rFonts w:eastAsia="仿宋_GB2312"/>
          <w:color w:val="auto"/>
          <w:szCs w:val="24"/>
        </w:rPr>
      </w:pPr>
      <w:r>
        <w:rPr>
          <w:rFonts w:eastAsia="仿宋_GB2312"/>
          <w:color w:val="auto"/>
          <w:szCs w:val="24"/>
        </w:rPr>
        <w:t>本项目占地类型为</w:t>
      </w:r>
      <w:r>
        <w:rPr>
          <w:rFonts w:hint="eastAsia" w:ascii="Times New Roman" w:hAnsi="Times New Roman" w:eastAsia="仿宋_GB2312" w:cs="Times New Roman"/>
          <w:color w:val="auto"/>
          <w:sz w:val="24"/>
          <w:highlight w:val="none"/>
          <w:lang w:val="en-US" w:eastAsia="zh-CN"/>
        </w:rPr>
        <w:t>工矿仓储用地</w:t>
      </w:r>
      <w:r>
        <w:rPr>
          <w:rFonts w:eastAsia="仿宋_GB2312"/>
          <w:color w:val="auto"/>
          <w:szCs w:val="24"/>
        </w:rPr>
        <w:t>，不占用耕地、林地等农林用地，对当地土地生产力不造成影响，工程占地符合节约用地和减少扰动的要求。</w:t>
      </w:r>
      <w:r>
        <w:rPr>
          <w:rFonts w:eastAsia="仿宋_GB2312"/>
          <w:color w:val="auto"/>
        </w:rPr>
        <w:t>施工生产生活区位于项目区内</w:t>
      </w:r>
      <w:r>
        <w:rPr>
          <w:rFonts w:hint="eastAsia" w:eastAsia="仿宋_GB2312"/>
          <w:color w:val="auto"/>
          <w:lang w:val="en-US" w:eastAsia="zh-CN"/>
        </w:rPr>
        <w:t>西侧空地</w:t>
      </w:r>
      <w:r>
        <w:rPr>
          <w:rFonts w:eastAsia="仿宋_GB2312"/>
          <w:color w:val="auto"/>
        </w:rPr>
        <w:t>，临时堆放场位于项目区内</w:t>
      </w:r>
      <w:r>
        <w:rPr>
          <w:rFonts w:hint="eastAsia" w:eastAsia="仿宋_GB2312"/>
          <w:color w:val="auto"/>
          <w:lang w:val="en-US" w:eastAsia="zh-CN"/>
        </w:rPr>
        <w:t>空地</w:t>
      </w:r>
      <w:r>
        <w:rPr>
          <w:rFonts w:eastAsia="仿宋_GB2312"/>
          <w:color w:val="auto"/>
        </w:rPr>
        <w:t>，</w:t>
      </w:r>
      <w:r>
        <w:rPr>
          <w:rFonts w:hint="default" w:ascii="Times New Roman" w:hAnsi="Times New Roman" w:eastAsia="仿宋_GB2312" w:cs="Times New Roman"/>
          <w:bCs/>
          <w:color w:val="auto"/>
          <w:highlight w:val="none"/>
          <w:lang w:eastAsia="zh-CN"/>
        </w:rPr>
        <w:t>工</w:t>
      </w:r>
      <w:r>
        <w:rPr>
          <w:rFonts w:hint="eastAsia" w:ascii="Times New Roman" w:hAnsi="Times New Roman" w:eastAsia="仿宋_GB2312" w:cs="Times New Roman"/>
          <w:bCs/>
          <w:color w:val="auto"/>
          <w:highlight w:val="none"/>
          <w:lang w:val="en-US" w:eastAsia="zh-CN"/>
        </w:rPr>
        <w:t>临建设施</w:t>
      </w:r>
      <w:r>
        <w:rPr>
          <w:rFonts w:hint="default" w:ascii="Times New Roman" w:hAnsi="Times New Roman" w:eastAsia="仿宋_GB2312" w:cs="Times New Roman"/>
          <w:bCs/>
          <w:color w:val="auto"/>
          <w:highlight w:val="none"/>
          <w:lang w:eastAsia="zh-CN"/>
        </w:rPr>
        <w:t>均布置在永久占地</w:t>
      </w:r>
      <w:r>
        <w:rPr>
          <w:rFonts w:hint="eastAsia" w:ascii="Times New Roman" w:hAnsi="Times New Roman" w:eastAsia="仿宋_GB2312" w:cs="Times New Roman"/>
          <w:bCs/>
          <w:color w:val="auto"/>
          <w:highlight w:val="none"/>
          <w:lang w:val="en-US" w:eastAsia="zh-CN"/>
        </w:rPr>
        <w:t>红线</w:t>
      </w:r>
      <w:r>
        <w:rPr>
          <w:rFonts w:hint="default" w:ascii="Times New Roman" w:hAnsi="Times New Roman" w:eastAsia="仿宋_GB2312" w:cs="Times New Roman"/>
          <w:bCs/>
          <w:color w:val="auto"/>
          <w:highlight w:val="none"/>
          <w:lang w:eastAsia="zh-CN"/>
        </w:rPr>
        <w:t>范围内</w:t>
      </w:r>
      <w:r>
        <w:rPr>
          <w:rFonts w:hint="eastAsia" w:ascii="Times New Roman" w:hAnsi="Times New Roman" w:eastAsia="仿宋_GB2312" w:cs="Times New Roman"/>
          <w:bCs/>
          <w:color w:val="auto"/>
          <w:highlight w:val="none"/>
          <w:lang w:eastAsia="zh-CN"/>
        </w:rPr>
        <w:t>，</w:t>
      </w:r>
      <w:r>
        <w:rPr>
          <w:rFonts w:hint="eastAsia" w:ascii="Times New Roman" w:hAnsi="Times New Roman" w:eastAsia="仿宋_GB2312" w:cs="Times New Roman"/>
          <w:bCs/>
          <w:color w:val="auto"/>
          <w:highlight w:val="none"/>
          <w:lang w:val="en-US" w:eastAsia="zh-CN"/>
        </w:rPr>
        <w:t>临时占地满足施工要求</w:t>
      </w:r>
      <w:r>
        <w:rPr>
          <w:rFonts w:hint="default" w:ascii="Times New Roman" w:hAnsi="Times New Roman" w:eastAsia="仿宋_GB2312" w:cs="Times New Roman"/>
          <w:bCs/>
          <w:color w:val="auto"/>
          <w:highlight w:val="none"/>
          <w:lang w:eastAsia="zh-CN"/>
        </w:rPr>
        <w:t>，符合节约用地和减少扰动</w:t>
      </w:r>
      <w:r>
        <w:rPr>
          <w:rFonts w:hint="eastAsia" w:ascii="Times New Roman" w:hAnsi="Times New Roman" w:eastAsia="仿宋_GB2312" w:cs="Times New Roman"/>
          <w:bCs/>
          <w:color w:val="auto"/>
          <w:highlight w:val="none"/>
          <w:lang w:val="en-US" w:eastAsia="zh-CN"/>
        </w:rPr>
        <w:t>的</w:t>
      </w:r>
      <w:r>
        <w:rPr>
          <w:rFonts w:hint="default" w:ascii="Times New Roman" w:hAnsi="Times New Roman" w:eastAsia="仿宋_GB2312" w:cs="Times New Roman"/>
          <w:bCs/>
          <w:color w:val="auto"/>
          <w:highlight w:val="none"/>
          <w:lang w:eastAsia="zh-CN"/>
        </w:rPr>
        <w:t>要求</w:t>
      </w:r>
      <w:r>
        <w:rPr>
          <w:rFonts w:hint="eastAsia" w:ascii="Times New Roman" w:hAnsi="Times New Roman" w:eastAsia="仿宋_GB2312" w:cs="Times New Roman"/>
          <w:bCs/>
          <w:color w:val="auto"/>
          <w:highlight w:val="none"/>
          <w:lang w:eastAsia="zh-CN"/>
        </w:rPr>
        <w:t>，</w:t>
      </w:r>
      <w:r>
        <w:rPr>
          <w:rFonts w:hint="eastAsia" w:ascii="Times New Roman" w:hAnsi="Times New Roman" w:eastAsia="仿宋_GB2312" w:cs="Times New Roman"/>
          <w:bCs/>
          <w:color w:val="auto"/>
          <w:highlight w:val="none"/>
          <w:lang w:val="en-US" w:eastAsia="zh-CN"/>
        </w:rPr>
        <w:t>符合水土保持要求</w:t>
      </w:r>
      <w:r>
        <w:rPr>
          <w:rFonts w:eastAsia="仿宋_GB2312"/>
          <w:color w:val="auto"/>
          <w:szCs w:val="24"/>
        </w:rPr>
        <w:t>。</w:t>
      </w:r>
    </w:p>
    <w:p>
      <w:pPr>
        <w:keepNext w:val="0"/>
        <w:keepLines w:val="0"/>
        <w:widowControl/>
        <w:suppressLineNumbers w:val="0"/>
        <w:spacing w:line="360" w:lineRule="auto"/>
        <w:ind w:firstLine="480" w:firstLineChars="200"/>
        <w:jc w:val="left"/>
        <w:rPr>
          <w:rFonts w:eastAsia="仿宋_GB2312"/>
          <w:color w:val="auto"/>
          <w:spacing w:val="5"/>
        </w:rPr>
      </w:pPr>
      <w:r>
        <w:rPr>
          <w:rFonts w:hint="eastAsia" w:ascii="Times New Roman" w:hAnsi="Times New Roman" w:eastAsia="仿宋_GB2312" w:cs="Times New Roman"/>
          <w:bCs/>
          <w:color w:val="auto"/>
          <w:szCs w:val="22"/>
          <w:highlight w:val="none"/>
          <w:lang w:val="en-US" w:eastAsia="zh-CN"/>
        </w:rPr>
        <w:t>本项目</w:t>
      </w:r>
      <w:r>
        <w:rPr>
          <w:rFonts w:eastAsia="仿宋_GB2312"/>
          <w:color w:val="auto"/>
          <w:spacing w:val="5"/>
        </w:rPr>
        <w:t>主体工程土石方调配遵循“移挖作填”的原则，通过内部调运，充分利用土石方。</w:t>
      </w:r>
      <w:r>
        <w:rPr>
          <w:rFonts w:hint="eastAsia" w:eastAsia="仿宋_GB2312"/>
          <w:color w:val="auto"/>
          <w:spacing w:val="5"/>
          <w:lang w:val="en-US" w:eastAsia="zh-CN"/>
        </w:rPr>
        <w:t>主体设计</w:t>
      </w:r>
      <w:r>
        <w:rPr>
          <w:rFonts w:hint="eastAsia" w:ascii="Times New Roman" w:hAnsi="Times New Roman" w:eastAsia="仿宋_GB2312" w:cs="Times New Roman"/>
          <w:bCs/>
          <w:color w:val="auto"/>
          <w:szCs w:val="22"/>
          <w:highlight w:val="none"/>
          <w:lang w:val="en-US" w:eastAsia="zh-CN"/>
        </w:rPr>
        <w:t>考虑了建构物基础、管线工程挖填，场地平整等土方量，土石方统计没有漏项。建筑物基础及管线开挖土方全部用于就地回填，</w:t>
      </w:r>
      <w:r>
        <w:rPr>
          <w:rFonts w:hint="eastAsia" w:ascii="仿宋_GB2312" w:hAnsi="仿宋_GB2312" w:eastAsia="仿宋_GB2312" w:cs="仿宋_GB2312"/>
          <w:color w:val="auto"/>
          <w:kern w:val="0"/>
          <w:sz w:val="24"/>
          <w:szCs w:val="24"/>
          <w:highlight w:val="none"/>
          <w:lang w:val="en-US" w:eastAsia="zh-CN" w:bidi="ar"/>
        </w:rPr>
        <w:t>土方全部综合利用，无弃方；本工程无可剥离的表土。土石方来源合理，水土流失防治责任明确。</w:t>
      </w:r>
      <w:r>
        <w:rPr>
          <w:rFonts w:hint="default" w:ascii="Times New Roman" w:hAnsi="Times New Roman" w:eastAsia="仿宋_GB2312" w:cs="Times New Roman"/>
          <w:bCs/>
          <w:color w:val="auto"/>
          <w:szCs w:val="22"/>
          <w:highlight w:val="none"/>
          <w:lang w:val="en-US" w:eastAsia="zh-CN"/>
        </w:rPr>
        <w:t>本</w:t>
      </w:r>
      <w:r>
        <w:rPr>
          <w:rFonts w:hint="eastAsia" w:ascii="Times New Roman" w:hAnsi="Times New Roman" w:eastAsia="仿宋_GB2312" w:cs="Times New Roman"/>
          <w:bCs/>
          <w:color w:val="auto"/>
          <w:szCs w:val="22"/>
          <w:highlight w:val="none"/>
          <w:lang w:val="en-US" w:eastAsia="zh-CN"/>
        </w:rPr>
        <w:t>工程</w:t>
      </w:r>
      <w:r>
        <w:rPr>
          <w:rFonts w:hint="default" w:ascii="Times New Roman" w:hAnsi="Times New Roman" w:eastAsia="仿宋_GB2312" w:cs="Times New Roman"/>
          <w:bCs/>
          <w:color w:val="auto"/>
          <w:szCs w:val="22"/>
          <w:highlight w:val="none"/>
          <w:lang w:val="en-US" w:eastAsia="zh-CN"/>
        </w:rPr>
        <w:t>土石方量来源及去向明确，土石方挖填数量符合最优化原则，土石方调运符合节点适宜、时序可行、运距合理原则</w:t>
      </w:r>
      <w:r>
        <w:rPr>
          <w:rFonts w:hint="eastAsia" w:ascii="Times New Roman" w:hAnsi="Times New Roman" w:eastAsia="仿宋_GB2312" w:cs="Times New Roman"/>
          <w:bCs/>
          <w:color w:val="auto"/>
          <w:szCs w:val="22"/>
          <w:highlight w:val="none"/>
          <w:lang w:val="en-US" w:eastAsia="zh-CN"/>
        </w:rPr>
        <w:t>，符合水土保持要求</w:t>
      </w:r>
      <w:r>
        <w:rPr>
          <w:rFonts w:eastAsia="仿宋_GB2312"/>
          <w:color w:val="auto"/>
          <w:spacing w:val="5"/>
        </w:rPr>
        <w:t>。</w:t>
      </w:r>
    </w:p>
    <w:p>
      <w:pPr>
        <w:autoSpaceDE w:val="0"/>
        <w:autoSpaceDN w:val="0"/>
        <w:spacing w:line="360" w:lineRule="auto"/>
        <w:ind w:firstLine="480" w:firstLineChars="200"/>
        <w:rPr>
          <w:rFonts w:eastAsia="仿宋_GB2312"/>
          <w:color w:val="auto"/>
          <w:spacing w:val="5"/>
        </w:rPr>
      </w:pPr>
      <w:r>
        <w:rPr>
          <w:rFonts w:hint="default" w:ascii="Times New Roman" w:hAnsi="Times New Roman" w:eastAsia="仿宋_GB2312" w:cs="Times New Roman"/>
          <w:bCs/>
          <w:color w:val="auto"/>
          <w:kern w:val="24"/>
          <w:sz w:val="24"/>
          <w:szCs w:val="22"/>
          <w:highlight w:val="none"/>
          <w:lang w:val="en-US" w:eastAsia="zh-CN" w:bidi="ar-SA"/>
        </w:rPr>
        <w:t>本工程总平面布置以及施工组织设计等较为合理，施工场地布置、工地运输，建筑材料来源、施工用水、用电、通讯条件符合水土保持要求。本工程施工过程中加强施工组织管理，施工时合理安排工序，采用机械和人工配合进行，采用有利于水土保持的施工工艺，并尽量避免暴雨和大风天气施工，符合水土保持要求</w:t>
      </w:r>
      <w:r>
        <w:rPr>
          <w:rFonts w:eastAsia="仿宋_GB2312"/>
          <w:color w:val="auto"/>
          <w:spacing w:val="5"/>
        </w:rPr>
        <w:t>。</w:t>
      </w:r>
    </w:p>
    <w:p>
      <w:pPr>
        <w:spacing w:line="360" w:lineRule="auto"/>
        <w:ind w:firstLine="480" w:firstLineChars="200"/>
        <w:rPr>
          <w:rFonts w:hint="default" w:eastAsia="宋体"/>
          <w:color w:val="auto"/>
          <w:szCs w:val="24"/>
          <w:lang w:val="en-US" w:eastAsia="zh-CN"/>
        </w:rPr>
      </w:pPr>
      <w:r>
        <w:rPr>
          <w:rFonts w:eastAsia="仿宋_GB2312"/>
          <w:color w:val="auto"/>
          <w:szCs w:val="24"/>
        </w:rPr>
        <w:t>主体工程设计的</w:t>
      </w:r>
      <w:r>
        <w:rPr>
          <w:rFonts w:hint="eastAsia" w:eastAsia="仿宋_GB2312"/>
          <w:color w:val="auto"/>
          <w:szCs w:val="24"/>
          <w:lang w:val="en-US" w:eastAsia="zh-CN"/>
        </w:rPr>
        <w:t>临时堆土防护及泥浆池</w:t>
      </w:r>
      <w:r>
        <w:rPr>
          <w:rFonts w:eastAsia="仿宋_GB2312"/>
          <w:color w:val="auto"/>
          <w:szCs w:val="24"/>
        </w:rPr>
        <w:t>具有防治水土流失的功能，本方案将</w:t>
      </w:r>
      <w:r>
        <w:rPr>
          <w:rFonts w:hint="eastAsia" w:eastAsia="仿宋_GB2312"/>
          <w:color w:val="auto"/>
          <w:szCs w:val="24"/>
          <w:lang w:val="en-US" w:eastAsia="zh-CN"/>
        </w:rPr>
        <w:t>上述措施</w:t>
      </w:r>
      <w:r>
        <w:rPr>
          <w:rFonts w:eastAsia="仿宋_GB2312"/>
          <w:color w:val="auto"/>
          <w:szCs w:val="24"/>
        </w:rPr>
        <w:t>界定为水土保持措施并计列投资。</w:t>
      </w:r>
      <w:r>
        <w:rPr>
          <w:rFonts w:hint="eastAsia" w:eastAsia="仿宋_GB2312"/>
          <w:color w:val="auto"/>
          <w:szCs w:val="24"/>
          <w:lang w:val="en-US" w:eastAsia="zh-CN"/>
        </w:rPr>
        <w:t>项目措施体系较为完整，</w:t>
      </w:r>
      <w:r>
        <w:rPr>
          <w:rFonts w:hint="eastAsia" w:ascii="仿宋_GB2312" w:hAnsi="仿宋_GB2312" w:eastAsia="仿宋_GB2312" w:cs="仿宋_GB2312"/>
          <w:color w:val="auto"/>
          <w:lang w:val="en-US" w:eastAsia="zh-CN"/>
        </w:rPr>
        <w:t>方案无需新增水土保持防治措施。</w:t>
      </w:r>
    </w:p>
    <w:p>
      <w:pPr>
        <w:pStyle w:val="5"/>
        <w:spacing w:before="0" w:after="0" w:line="360" w:lineRule="auto"/>
        <w:rPr>
          <w:rFonts w:ascii="Times New Roman" w:hAnsi="Times New Roman" w:eastAsia="仿宋_GB2312"/>
          <w:color w:val="auto"/>
        </w:rPr>
      </w:pPr>
      <w:bookmarkStart w:id="9" w:name="_Toc9964"/>
      <w:r>
        <w:rPr>
          <w:rFonts w:ascii="Times New Roman" w:hAnsi="Times New Roman" w:eastAsia="仿宋_GB2312"/>
          <w:color w:val="auto"/>
          <w:sz w:val="28"/>
          <w:szCs w:val="28"/>
        </w:rPr>
        <w:t>1.7水土流失预测结果</w:t>
      </w:r>
      <w:bookmarkEnd w:id="9"/>
    </w:p>
    <w:p>
      <w:pPr>
        <w:spacing w:line="360" w:lineRule="auto"/>
        <w:ind w:firstLine="480" w:firstLineChars="200"/>
        <w:jc w:val="both"/>
        <w:rPr>
          <w:rFonts w:eastAsia="仿宋_GB2312"/>
          <w:color w:val="auto"/>
        </w:rPr>
      </w:pPr>
      <w:r>
        <w:rPr>
          <w:rFonts w:eastAsia="仿宋_GB2312"/>
          <w:color w:val="auto"/>
          <w:szCs w:val="24"/>
        </w:rPr>
        <w:t>本项目预测施工过程可能产生土壤流失总量</w:t>
      </w:r>
      <w:r>
        <w:rPr>
          <w:rFonts w:hint="eastAsia" w:eastAsia="仿宋_GB2312"/>
          <w:color w:val="auto"/>
          <w:szCs w:val="24"/>
          <w:lang w:val="en-US" w:eastAsia="zh-CN"/>
        </w:rPr>
        <w:t>24.52</w:t>
      </w:r>
      <w:r>
        <w:rPr>
          <w:rFonts w:eastAsia="仿宋_GB2312"/>
          <w:color w:val="auto"/>
          <w:szCs w:val="24"/>
        </w:rPr>
        <w:t>t，新增土壤流失量</w:t>
      </w:r>
      <w:r>
        <w:rPr>
          <w:rFonts w:hint="eastAsia" w:eastAsia="仿宋_GB2312"/>
          <w:color w:val="auto"/>
          <w:szCs w:val="24"/>
          <w:lang w:val="en-US" w:eastAsia="zh-CN"/>
        </w:rPr>
        <w:t>22.08</w:t>
      </w:r>
      <w:r>
        <w:rPr>
          <w:rFonts w:eastAsia="仿宋_GB2312"/>
          <w:color w:val="auto"/>
          <w:szCs w:val="24"/>
        </w:rPr>
        <w:t>t。本项目水土流失重点部位为</w:t>
      </w:r>
      <w:r>
        <w:rPr>
          <w:rFonts w:hint="eastAsia" w:eastAsia="仿宋_GB2312"/>
          <w:color w:val="auto"/>
          <w:szCs w:val="24"/>
          <w:lang w:val="en-US" w:eastAsia="zh-CN"/>
        </w:rPr>
        <w:t>道路及硬化区域</w:t>
      </w:r>
      <w:r>
        <w:rPr>
          <w:rFonts w:eastAsia="仿宋_GB2312"/>
          <w:color w:val="auto"/>
          <w:szCs w:val="24"/>
        </w:rPr>
        <w:t>，重点时段为施工期。本项目建设产生的水土流失主要危害：地表挖损改变地貌，造成地表裸露，施工机械、人员交通碾压，造成水土流失。</w:t>
      </w:r>
    </w:p>
    <w:p>
      <w:pPr>
        <w:pStyle w:val="5"/>
        <w:spacing w:before="0" w:after="0" w:line="360" w:lineRule="auto"/>
        <w:rPr>
          <w:rFonts w:ascii="Times New Roman" w:hAnsi="Times New Roman" w:eastAsia="仿宋_GB2312"/>
          <w:color w:val="auto"/>
          <w:sz w:val="28"/>
          <w:szCs w:val="28"/>
        </w:rPr>
      </w:pPr>
      <w:bookmarkStart w:id="10" w:name="_Toc22947"/>
      <w:r>
        <w:rPr>
          <w:rFonts w:ascii="Times New Roman" w:hAnsi="Times New Roman" w:eastAsia="仿宋_GB2312"/>
          <w:color w:val="auto"/>
          <w:sz w:val="28"/>
          <w:szCs w:val="28"/>
        </w:rPr>
        <w:t>1.8水土保持措施布设成果</w:t>
      </w:r>
      <w:bookmarkEnd w:id="10"/>
    </w:p>
    <w:p>
      <w:pPr>
        <w:spacing w:line="360" w:lineRule="auto"/>
        <w:rPr>
          <w:rFonts w:eastAsia="仿宋_GB2312"/>
          <w:color w:val="auto"/>
        </w:rPr>
      </w:pPr>
      <w:r>
        <w:rPr>
          <w:rFonts w:eastAsia="仿宋_GB2312"/>
          <w:b/>
          <w:color w:val="auto"/>
          <w:sz w:val="28"/>
          <w:szCs w:val="28"/>
        </w:rPr>
        <w:t>1.8.1</w:t>
      </w:r>
      <w:r>
        <w:rPr>
          <w:rFonts w:eastAsia="仿宋_GB2312"/>
          <w:b/>
          <w:color w:val="auto"/>
          <w:szCs w:val="24"/>
        </w:rPr>
        <w:t>防治区措施布设情况</w:t>
      </w:r>
    </w:p>
    <w:p>
      <w:pPr>
        <w:snapToGrid w:val="0"/>
        <w:spacing w:line="360" w:lineRule="auto"/>
        <w:ind w:firstLine="480" w:firstLineChars="200"/>
        <w:rPr>
          <w:rFonts w:eastAsia="仿宋_GB2312"/>
          <w:color w:val="auto"/>
        </w:rPr>
      </w:pPr>
      <w:r>
        <w:rPr>
          <w:rFonts w:eastAsia="仿宋_GB2312"/>
          <w:color w:val="auto"/>
        </w:rPr>
        <w:t>本项目水土流失防治分区分为工程建设区1个防治分区，防治措施布设如下：</w:t>
      </w:r>
    </w:p>
    <w:p>
      <w:pPr>
        <w:snapToGrid w:val="0"/>
        <w:spacing w:line="360" w:lineRule="auto"/>
        <w:ind w:firstLine="480" w:firstLineChars="200"/>
        <w:rPr>
          <w:rFonts w:eastAsia="仿宋_GB2312"/>
          <w:b/>
          <w:color w:val="auto"/>
          <w:szCs w:val="24"/>
        </w:rPr>
      </w:pPr>
      <w:r>
        <w:rPr>
          <w:rFonts w:hint="eastAsia" w:eastAsia="仿宋_GB2312"/>
          <w:color w:val="auto"/>
          <w:szCs w:val="24"/>
          <w:lang w:val="en-US" w:eastAsia="zh-CN"/>
        </w:rPr>
        <w:t>施工期间</w:t>
      </w:r>
      <w:r>
        <w:rPr>
          <w:rFonts w:eastAsia="仿宋_GB2312"/>
          <w:color w:val="auto"/>
          <w:szCs w:val="24"/>
        </w:rPr>
        <w:t>对临时堆土进行临时防护</w:t>
      </w:r>
      <w:r>
        <w:rPr>
          <w:rFonts w:hint="eastAsia" w:eastAsia="仿宋_GB2312"/>
          <w:color w:val="auto"/>
          <w:szCs w:val="24"/>
          <w:lang w:eastAsia="zh-CN"/>
        </w:rPr>
        <w:t>，</w:t>
      </w:r>
      <w:r>
        <w:rPr>
          <w:rFonts w:hint="eastAsia" w:eastAsia="仿宋_GB2312"/>
          <w:color w:val="auto"/>
          <w:szCs w:val="24"/>
          <w:lang w:val="en-US" w:eastAsia="zh-CN"/>
        </w:rPr>
        <w:t>新建水井施工期间采取泥浆池措施</w:t>
      </w:r>
      <w:r>
        <w:rPr>
          <w:rFonts w:eastAsia="仿宋_GB2312"/>
          <w:color w:val="auto"/>
          <w:szCs w:val="24"/>
        </w:rPr>
        <w:t>。</w:t>
      </w:r>
    </w:p>
    <w:p>
      <w:pPr>
        <w:spacing w:line="360" w:lineRule="auto"/>
        <w:jc w:val="both"/>
        <w:rPr>
          <w:rFonts w:hint="eastAsia" w:eastAsia="仿宋_GB2312"/>
          <w:b/>
          <w:color w:val="auto"/>
          <w:szCs w:val="24"/>
          <w:lang w:val="en-US" w:eastAsia="zh-CN"/>
        </w:rPr>
      </w:pPr>
      <w:r>
        <w:rPr>
          <w:rFonts w:eastAsia="仿宋_GB2312"/>
          <w:b/>
          <w:color w:val="auto"/>
          <w:sz w:val="28"/>
          <w:szCs w:val="28"/>
        </w:rPr>
        <w:t>1.8.2</w:t>
      </w:r>
      <w:r>
        <w:rPr>
          <w:rFonts w:eastAsia="仿宋_GB2312"/>
          <w:b/>
          <w:color w:val="auto"/>
          <w:szCs w:val="24"/>
        </w:rPr>
        <w:t>水土保持措施主要工程量</w:t>
      </w:r>
      <w:r>
        <w:rPr>
          <w:rFonts w:hint="eastAsia" w:eastAsia="仿宋_GB2312"/>
          <w:b/>
          <w:color w:val="auto"/>
          <w:szCs w:val="24"/>
          <w:lang w:val="en-US" w:eastAsia="zh-CN"/>
        </w:rPr>
        <w:t xml:space="preserve"> </w:t>
      </w:r>
    </w:p>
    <w:p>
      <w:pPr>
        <w:numPr>
          <w:ilvl w:val="0"/>
          <w:numId w:val="2"/>
        </w:numPr>
        <w:spacing w:line="360" w:lineRule="auto"/>
        <w:ind w:firstLine="480" w:firstLineChars="200"/>
        <w:rPr>
          <w:rFonts w:eastAsia="仿宋_GB2312"/>
          <w:color w:val="auto"/>
          <w:szCs w:val="24"/>
        </w:rPr>
      </w:pPr>
      <w:r>
        <w:rPr>
          <w:rFonts w:eastAsia="仿宋_GB2312"/>
          <w:color w:val="auto"/>
          <w:szCs w:val="24"/>
        </w:rPr>
        <w:t>工程建设区</w:t>
      </w:r>
    </w:p>
    <w:p>
      <w:pPr>
        <w:spacing w:line="360" w:lineRule="auto"/>
        <w:ind w:firstLine="480" w:firstLineChars="200"/>
        <w:rPr>
          <w:rFonts w:eastAsia="仿宋_GB2312"/>
          <w:color w:val="auto"/>
          <w:szCs w:val="24"/>
        </w:rPr>
      </w:pPr>
      <w:r>
        <w:rPr>
          <w:rFonts w:eastAsia="仿宋_GB2312"/>
          <w:color w:val="auto"/>
          <w:szCs w:val="24"/>
        </w:rPr>
        <w:t>临时措施：密目网覆盖</w:t>
      </w:r>
      <w:r>
        <w:rPr>
          <w:rFonts w:hint="eastAsia" w:eastAsia="仿宋_GB2312"/>
          <w:color w:val="auto"/>
          <w:szCs w:val="24"/>
          <w:lang w:val="en-US" w:eastAsia="zh-CN"/>
        </w:rPr>
        <w:t>2</w:t>
      </w:r>
      <w:r>
        <w:rPr>
          <w:rFonts w:hint="eastAsia" w:eastAsia="仿宋_GB2312"/>
          <w:color w:val="auto"/>
          <w:szCs w:val="24"/>
        </w:rPr>
        <w:t>00</w:t>
      </w:r>
      <w:r>
        <w:rPr>
          <w:rFonts w:eastAsia="仿宋_GB2312"/>
          <w:color w:val="auto"/>
          <w:szCs w:val="24"/>
        </w:rPr>
        <w:t>m</w:t>
      </w:r>
      <w:r>
        <w:rPr>
          <w:rFonts w:eastAsia="仿宋_GB2312"/>
          <w:color w:val="auto"/>
          <w:szCs w:val="24"/>
          <w:vertAlign w:val="superscript"/>
        </w:rPr>
        <w:t>2</w:t>
      </w:r>
      <w:r>
        <w:rPr>
          <w:rFonts w:eastAsia="仿宋_GB2312"/>
          <w:color w:val="auto"/>
          <w:szCs w:val="24"/>
        </w:rPr>
        <w:t>（已于20</w:t>
      </w:r>
      <w:r>
        <w:rPr>
          <w:rFonts w:hint="eastAsia" w:eastAsia="仿宋_GB2312"/>
          <w:color w:val="auto"/>
          <w:szCs w:val="24"/>
        </w:rPr>
        <w:t>2</w:t>
      </w:r>
      <w:r>
        <w:rPr>
          <w:rFonts w:hint="eastAsia" w:eastAsia="仿宋_GB2312"/>
          <w:color w:val="auto"/>
          <w:szCs w:val="24"/>
          <w:lang w:val="en-US" w:eastAsia="zh-CN"/>
        </w:rPr>
        <w:t>2</w:t>
      </w:r>
      <w:r>
        <w:rPr>
          <w:rFonts w:eastAsia="仿宋_GB2312"/>
          <w:color w:val="auto"/>
          <w:szCs w:val="24"/>
        </w:rPr>
        <w:t>年</w:t>
      </w:r>
      <w:r>
        <w:rPr>
          <w:rFonts w:hint="eastAsia" w:eastAsia="仿宋_GB2312"/>
          <w:color w:val="auto"/>
          <w:szCs w:val="24"/>
          <w:lang w:val="en-US" w:eastAsia="zh-CN"/>
        </w:rPr>
        <w:t>8-</w:t>
      </w:r>
      <w:r>
        <w:rPr>
          <w:rFonts w:hint="eastAsia" w:eastAsia="仿宋_GB2312"/>
          <w:color w:val="auto"/>
          <w:szCs w:val="24"/>
        </w:rPr>
        <w:t>10</w:t>
      </w:r>
      <w:r>
        <w:rPr>
          <w:rFonts w:eastAsia="仿宋_GB2312"/>
          <w:color w:val="auto"/>
          <w:szCs w:val="24"/>
        </w:rPr>
        <w:t>月施工）</w:t>
      </w:r>
      <w:r>
        <w:rPr>
          <w:rFonts w:hint="eastAsia" w:eastAsia="仿宋_GB2312"/>
          <w:color w:val="auto"/>
          <w:szCs w:val="24"/>
          <w:lang w:eastAsia="zh-CN"/>
        </w:rPr>
        <w:t>，</w:t>
      </w:r>
      <w:r>
        <w:rPr>
          <w:rFonts w:hint="eastAsia" w:eastAsia="仿宋_GB2312"/>
          <w:color w:val="auto"/>
          <w:szCs w:val="24"/>
          <w:lang w:val="en-US" w:eastAsia="zh-CN"/>
        </w:rPr>
        <w:t>泥浆池1座（</w:t>
      </w:r>
      <w:r>
        <w:rPr>
          <w:rFonts w:eastAsia="仿宋_GB2312"/>
          <w:color w:val="auto"/>
          <w:szCs w:val="24"/>
        </w:rPr>
        <w:t>已于20</w:t>
      </w:r>
      <w:r>
        <w:rPr>
          <w:rFonts w:hint="eastAsia" w:eastAsia="仿宋_GB2312"/>
          <w:color w:val="auto"/>
          <w:szCs w:val="24"/>
        </w:rPr>
        <w:t>2</w:t>
      </w:r>
      <w:r>
        <w:rPr>
          <w:rFonts w:hint="eastAsia" w:eastAsia="仿宋_GB2312"/>
          <w:color w:val="auto"/>
          <w:szCs w:val="24"/>
          <w:lang w:val="en-US" w:eastAsia="zh-CN"/>
        </w:rPr>
        <w:t>2</w:t>
      </w:r>
      <w:r>
        <w:rPr>
          <w:rFonts w:eastAsia="仿宋_GB2312"/>
          <w:color w:val="auto"/>
          <w:szCs w:val="24"/>
        </w:rPr>
        <w:t>年</w:t>
      </w:r>
      <w:r>
        <w:rPr>
          <w:rFonts w:hint="eastAsia" w:eastAsia="仿宋_GB2312"/>
          <w:color w:val="auto"/>
          <w:szCs w:val="24"/>
          <w:lang w:val="en-US" w:eastAsia="zh-CN"/>
        </w:rPr>
        <w:t>8-</w:t>
      </w:r>
      <w:r>
        <w:rPr>
          <w:rFonts w:hint="eastAsia" w:eastAsia="仿宋_GB2312"/>
          <w:color w:val="auto"/>
          <w:szCs w:val="24"/>
        </w:rPr>
        <w:t>10</w:t>
      </w:r>
      <w:r>
        <w:rPr>
          <w:rFonts w:eastAsia="仿宋_GB2312"/>
          <w:color w:val="auto"/>
          <w:szCs w:val="24"/>
        </w:rPr>
        <w:t>月施工</w:t>
      </w:r>
      <w:r>
        <w:rPr>
          <w:rFonts w:hint="eastAsia" w:eastAsia="仿宋_GB2312"/>
          <w:color w:val="auto"/>
          <w:szCs w:val="24"/>
          <w:lang w:val="en-US" w:eastAsia="zh-CN"/>
        </w:rPr>
        <w:t>）</w:t>
      </w:r>
      <w:r>
        <w:rPr>
          <w:rFonts w:eastAsia="仿宋_GB2312"/>
          <w:color w:val="auto"/>
          <w:szCs w:val="24"/>
        </w:rPr>
        <w:t>。</w:t>
      </w:r>
    </w:p>
    <w:p>
      <w:pPr>
        <w:pStyle w:val="5"/>
        <w:spacing w:before="0" w:after="0" w:line="360" w:lineRule="auto"/>
        <w:rPr>
          <w:rFonts w:ascii="Times New Roman" w:hAnsi="Times New Roman" w:eastAsia="仿宋_GB2312"/>
          <w:color w:val="auto"/>
          <w:sz w:val="28"/>
          <w:szCs w:val="28"/>
        </w:rPr>
      </w:pPr>
      <w:bookmarkStart w:id="11" w:name="_Toc2637"/>
      <w:r>
        <w:rPr>
          <w:rFonts w:ascii="Times New Roman" w:hAnsi="Times New Roman" w:eastAsia="仿宋_GB2312"/>
          <w:color w:val="auto"/>
          <w:sz w:val="28"/>
          <w:szCs w:val="28"/>
        </w:rPr>
        <w:t>1.9水土保持监测方案</w:t>
      </w:r>
      <w:bookmarkEnd w:id="11"/>
    </w:p>
    <w:p>
      <w:pPr>
        <w:spacing w:line="360" w:lineRule="auto"/>
        <w:ind w:firstLine="480" w:firstLineChars="200"/>
        <w:jc w:val="both"/>
        <w:rPr>
          <w:rFonts w:eastAsia="仿宋_GB2312"/>
          <w:color w:val="auto"/>
          <w:szCs w:val="24"/>
        </w:rPr>
      </w:pPr>
      <w:r>
        <w:rPr>
          <w:rFonts w:eastAsia="仿宋_GB2312"/>
          <w:bCs/>
          <w:color w:val="auto"/>
          <w:szCs w:val="24"/>
        </w:rPr>
        <w:t>本工程监测内容应包括水土流失本底值、水土流失自然影响因素、扰动土地、水土流失状况、水土流失防治成效、水土流失危害等；</w:t>
      </w:r>
      <w:r>
        <w:rPr>
          <w:rFonts w:eastAsia="仿宋_GB2312"/>
          <w:bCs/>
          <w:color w:val="auto"/>
          <w:szCs w:val="24"/>
        </w:rPr>
        <w:t>监测时间段为</w:t>
      </w:r>
      <w:r>
        <w:rPr>
          <w:rFonts w:eastAsia="仿宋_GB2312"/>
          <w:color w:val="auto"/>
        </w:rPr>
        <w:t>202</w:t>
      </w:r>
      <w:r>
        <w:rPr>
          <w:rFonts w:hint="eastAsia" w:eastAsia="仿宋_GB2312"/>
          <w:color w:val="auto"/>
          <w:lang w:val="en-US" w:eastAsia="zh-CN"/>
        </w:rPr>
        <w:t>2</w:t>
      </w:r>
      <w:r>
        <w:rPr>
          <w:rFonts w:eastAsia="仿宋_GB2312"/>
          <w:color w:val="auto"/>
        </w:rPr>
        <w:t>年</w:t>
      </w:r>
      <w:r>
        <w:rPr>
          <w:rFonts w:hint="eastAsia" w:eastAsia="仿宋_GB2312"/>
          <w:color w:val="auto"/>
          <w:lang w:val="en-US" w:eastAsia="zh-CN"/>
        </w:rPr>
        <w:t>8</w:t>
      </w:r>
      <w:r>
        <w:rPr>
          <w:rFonts w:eastAsia="仿宋_GB2312"/>
          <w:color w:val="auto"/>
        </w:rPr>
        <w:t>月</w:t>
      </w:r>
      <w:r>
        <w:rPr>
          <w:rFonts w:eastAsia="仿宋_GB2312"/>
          <w:color w:val="auto"/>
          <w:szCs w:val="24"/>
        </w:rPr>
        <w:t>至202</w:t>
      </w:r>
      <w:r>
        <w:rPr>
          <w:rFonts w:hint="eastAsia" w:eastAsia="仿宋_GB2312"/>
          <w:color w:val="auto"/>
          <w:szCs w:val="24"/>
        </w:rPr>
        <w:t>3</w:t>
      </w:r>
      <w:r>
        <w:rPr>
          <w:rFonts w:eastAsia="仿宋_GB2312"/>
          <w:color w:val="auto"/>
          <w:szCs w:val="24"/>
        </w:rPr>
        <w:t>年12月</w:t>
      </w:r>
      <w:r>
        <w:rPr>
          <w:rFonts w:eastAsia="仿宋_GB2312"/>
          <w:bCs/>
          <w:color w:val="auto"/>
          <w:szCs w:val="24"/>
        </w:rPr>
        <w:t>；</w:t>
      </w:r>
      <w:r>
        <w:rPr>
          <w:rFonts w:hint="eastAsia" w:eastAsia="仿宋_GB2312"/>
          <w:bCs/>
          <w:color w:val="auto"/>
          <w:szCs w:val="24"/>
          <w:lang w:val="en-US" w:eastAsia="zh-CN"/>
        </w:rPr>
        <w:t>补充监测时段为2022年8月至2023年5月，</w:t>
      </w:r>
      <w:r>
        <w:rPr>
          <w:rFonts w:hint="eastAsia" w:ascii="Times New Roman" w:hAnsi="Times New Roman" w:eastAsia="仿宋_GB2312" w:cs="Times New Roman"/>
          <w:bCs/>
          <w:color w:val="auto"/>
          <w:sz w:val="24"/>
          <w:highlight w:val="none"/>
          <w:lang w:val="en-US" w:eastAsia="zh-CN"/>
        </w:rPr>
        <w:t>补充监测方法采用历史遥感影像分析、资料分析相结合的监测方法；现状监测时段为2023年6月至2023年12月，现状监测采用地面观测、实地调查量测和无人机遥感相结合的监测方法</w:t>
      </w:r>
      <w:r>
        <w:rPr>
          <w:rFonts w:eastAsia="仿宋_GB2312"/>
          <w:bCs/>
          <w:color w:val="auto"/>
          <w:szCs w:val="24"/>
        </w:rPr>
        <w:t>。</w:t>
      </w:r>
    </w:p>
    <w:p>
      <w:pPr>
        <w:pStyle w:val="5"/>
        <w:spacing w:before="0" w:after="0" w:line="360" w:lineRule="auto"/>
        <w:rPr>
          <w:rFonts w:ascii="Times New Roman" w:hAnsi="Times New Roman" w:eastAsia="仿宋_GB2312"/>
          <w:b w:val="0"/>
          <w:color w:val="auto"/>
          <w:sz w:val="28"/>
          <w:szCs w:val="28"/>
        </w:rPr>
      </w:pPr>
      <w:bookmarkStart w:id="12" w:name="_Toc31377"/>
      <w:r>
        <w:rPr>
          <w:rFonts w:ascii="Times New Roman" w:hAnsi="Times New Roman" w:eastAsia="仿宋_GB2312"/>
          <w:color w:val="auto"/>
          <w:sz w:val="28"/>
          <w:szCs w:val="28"/>
        </w:rPr>
        <w:t>1.10水土保持投资及效益分析成果</w:t>
      </w:r>
      <w:bookmarkEnd w:id="12"/>
    </w:p>
    <w:p>
      <w:pPr>
        <w:spacing w:line="360" w:lineRule="auto"/>
        <w:ind w:firstLine="480" w:firstLineChars="200"/>
        <w:rPr>
          <w:rFonts w:eastAsia="仿宋_GB2312"/>
          <w:bCs/>
          <w:color w:val="auto"/>
          <w:szCs w:val="24"/>
        </w:rPr>
      </w:pPr>
      <w:r>
        <w:rPr>
          <w:rFonts w:eastAsia="仿宋_GB2312"/>
          <w:color w:val="auto"/>
          <w:szCs w:val="24"/>
          <w:highlight w:val="none"/>
        </w:rPr>
        <w:t>本项目水土保持总投资为</w:t>
      </w:r>
      <w:r>
        <w:rPr>
          <w:rFonts w:hint="eastAsia" w:eastAsia="仿宋_GB2312"/>
          <w:color w:val="auto"/>
          <w:szCs w:val="24"/>
          <w:highlight w:val="none"/>
          <w:lang w:val="en-US" w:eastAsia="zh-CN"/>
        </w:rPr>
        <w:t>14.39</w:t>
      </w:r>
      <w:r>
        <w:rPr>
          <w:rFonts w:eastAsia="仿宋_GB2312"/>
          <w:color w:val="auto"/>
          <w:szCs w:val="24"/>
          <w:highlight w:val="none"/>
        </w:rPr>
        <w:t>万元，</w:t>
      </w:r>
      <w:r>
        <w:rPr>
          <w:rFonts w:eastAsia="仿宋_GB2312"/>
          <w:bCs/>
          <w:color w:val="auto"/>
          <w:szCs w:val="24"/>
          <w:highlight w:val="none"/>
        </w:rPr>
        <w:t>其中工程措施投资</w:t>
      </w:r>
      <w:r>
        <w:rPr>
          <w:rFonts w:hint="eastAsia" w:eastAsia="仿宋_GB2312"/>
          <w:bCs/>
          <w:color w:val="auto"/>
          <w:szCs w:val="24"/>
          <w:highlight w:val="none"/>
          <w:lang w:val="en-US" w:eastAsia="zh-CN"/>
        </w:rPr>
        <w:t>0.00</w:t>
      </w:r>
      <w:r>
        <w:rPr>
          <w:rFonts w:eastAsia="仿宋_GB2312"/>
          <w:bCs/>
          <w:color w:val="auto"/>
          <w:szCs w:val="24"/>
          <w:highlight w:val="none"/>
        </w:rPr>
        <w:t>万元、植物措施投资</w:t>
      </w:r>
      <w:r>
        <w:rPr>
          <w:rFonts w:hint="eastAsia" w:eastAsia="仿宋_GB2312"/>
          <w:bCs/>
          <w:color w:val="auto"/>
          <w:szCs w:val="24"/>
          <w:highlight w:val="none"/>
          <w:lang w:val="en-US" w:eastAsia="zh-CN"/>
        </w:rPr>
        <w:t>0.00</w:t>
      </w:r>
      <w:r>
        <w:rPr>
          <w:rFonts w:eastAsia="仿宋_GB2312"/>
          <w:bCs/>
          <w:color w:val="auto"/>
          <w:szCs w:val="24"/>
          <w:highlight w:val="none"/>
        </w:rPr>
        <w:t>万元、临时措施投资</w:t>
      </w:r>
      <w:r>
        <w:rPr>
          <w:rFonts w:hint="eastAsia" w:eastAsia="仿宋_GB2312"/>
          <w:bCs/>
          <w:color w:val="auto"/>
          <w:szCs w:val="24"/>
          <w:highlight w:val="none"/>
          <w:lang w:val="en-US" w:eastAsia="zh-CN"/>
        </w:rPr>
        <w:t>0.29</w:t>
      </w:r>
      <w:r>
        <w:rPr>
          <w:rFonts w:eastAsia="仿宋_GB2312"/>
          <w:bCs/>
          <w:color w:val="auto"/>
          <w:szCs w:val="24"/>
          <w:highlight w:val="none"/>
        </w:rPr>
        <w:t>万元、独立费用</w:t>
      </w:r>
      <w:r>
        <w:rPr>
          <w:rFonts w:hint="eastAsia" w:eastAsia="仿宋_GB2312"/>
          <w:bCs/>
          <w:color w:val="auto"/>
          <w:szCs w:val="24"/>
          <w:highlight w:val="none"/>
          <w:lang w:val="en-US" w:eastAsia="zh-CN"/>
        </w:rPr>
        <w:t>13.00</w:t>
      </w:r>
      <w:r>
        <w:rPr>
          <w:rFonts w:eastAsia="仿宋_GB2312"/>
          <w:bCs/>
          <w:color w:val="auto"/>
          <w:szCs w:val="24"/>
          <w:highlight w:val="none"/>
        </w:rPr>
        <w:t>万元（其中水土保持监理费</w:t>
      </w:r>
      <w:r>
        <w:rPr>
          <w:rFonts w:hint="eastAsia" w:eastAsia="仿宋_GB2312"/>
          <w:bCs/>
          <w:color w:val="auto"/>
          <w:szCs w:val="24"/>
          <w:highlight w:val="none"/>
          <w:lang w:val="en-US" w:eastAsia="zh-CN"/>
        </w:rPr>
        <w:t>3.00</w:t>
      </w:r>
      <w:r>
        <w:rPr>
          <w:rFonts w:eastAsia="仿宋_GB2312"/>
          <w:bCs/>
          <w:color w:val="auto"/>
          <w:szCs w:val="24"/>
          <w:highlight w:val="none"/>
        </w:rPr>
        <w:t>万元、水土保持监测费</w:t>
      </w:r>
      <w:r>
        <w:rPr>
          <w:rFonts w:hint="eastAsia" w:eastAsia="仿宋_GB2312"/>
          <w:bCs/>
          <w:color w:val="auto"/>
          <w:szCs w:val="24"/>
          <w:highlight w:val="none"/>
          <w:lang w:val="en-US" w:eastAsia="zh-CN"/>
        </w:rPr>
        <w:t>5.00</w:t>
      </w:r>
      <w:r>
        <w:rPr>
          <w:rFonts w:eastAsia="仿宋_GB2312"/>
          <w:bCs/>
          <w:color w:val="auto"/>
          <w:szCs w:val="24"/>
          <w:highlight w:val="none"/>
        </w:rPr>
        <w:t>万元）、基本预备费</w:t>
      </w:r>
      <w:r>
        <w:rPr>
          <w:rFonts w:hint="eastAsia" w:eastAsia="仿宋_GB2312"/>
          <w:bCs/>
          <w:color w:val="auto"/>
          <w:szCs w:val="24"/>
          <w:highlight w:val="none"/>
          <w:lang w:val="en-US" w:eastAsia="zh-CN"/>
        </w:rPr>
        <w:t>0.80</w:t>
      </w:r>
      <w:r>
        <w:rPr>
          <w:rFonts w:eastAsia="仿宋_GB2312"/>
          <w:bCs/>
          <w:color w:val="auto"/>
          <w:szCs w:val="24"/>
          <w:highlight w:val="none"/>
        </w:rPr>
        <w:t>万元、水土保持补偿费</w:t>
      </w:r>
      <w:r>
        <w:rPr>
          <w:rFonts w:hint="eastAsia" w:eastAsia="仿宋_GB2312"/>
          <w:bCs/>
          <w:color w:val="auto"/>
          <w:szCs w:val="24"/>
          <w:highlight w:val="none"/>
          <w:lang w:val="en-US" w:eastAsia="zh-CN"/>
        </w:rPr>
        <w:t>0.30</w:t>
      </w:r>
      <w:r>
        <w:rPr>
          <w:rFonts w:eastAsia="仿宋_GB2312"/>
          <w:bCs/>
          <w:color w:val="auto"/>
          <w:szCs w:val="24"/>
          <w:highlight w:val="none"/>
        </w:rPr>
        <w:t>万元</w:t>
      </w:r>
      <w:r>
        <w:rPr>
          <w:rFonts w:eastAsia="仿宋_GB2312"/>
          <w:bCs/>
          <w:color w:val="auto"/>
          <w:szCs w:val="24"/>
          <w:highlight w:val="none"/>
        </w:rPr>
        <w:t>。</w:t>
      </w:r>
    </w:p>
    <w:p>
      <w:pPr>
        <w:spacing w:line="360" w:lineRule="auto"/>
        <w:ind w:firstLine="480" w:firstLineChars="200"/>
        <w:jc w:val="both"/>
        <w:rPr>
          <w:rFonts w:hint="eastAsia" w:ascii="仿宋_GB2312" w:hAnsi="仿宋_GB2312" w:eastAsia="仿宋_GB2312" w:cs="仿宋_GB2312"/>
          <w:color w:val="auto"/>
          <w:highlight w:val="yellow"/>
          <w:lang w:val="en-US" w:eastAsia="zh-CN"/>
        </w:rPr>
      </w:pPr>
      <w:r>
        <w:rPr>
          <w:rFonts w:eastAsia="仿宋_GB2312"/>
          <w:color w:val="auto"/>
        </w:rPr>
        <w:t>该项工程建设占地面积</w:t>
      </w:r>
      <w:r>
        <w:rPr>
          <w:rFonts w:hint="eastAsia" w:eastAsia="仿宋_GB2312"/>
          <w:color w:val="auto"/>
          <w:lang w:val="en-US" w:eastAsia="zh-CN"/>
        </w:rPr>
        <w:t>0.67</w:t>
      </w:r>
      <w:r>
        <w:rPr>
          <w:rFonts w:eastAsia="仿宋_GB2312"/>
          <w:color w:val="auto"/>
        </w:rPr>
        <w:t>h</w:t>
      </w:r>
      <w:r>
        <w:rPr>
          <w:rFonts w:eastAsia="仿宋_GB2312"/>
          <w:color w:val="auto"/>
          <w:szCs w:val="24"/>
        </w:rPr>
        <w:t>m</w:t>
      </w:r>
      <w:r>
        <w:rPr>
          <w:rFonts w:eastAsia="仿宋_GB2312"/>
          <w:color w:val="auto"/>
          <w:szCs w:val="24"/>
          <w:vertAlign w:val="superscript"/>
        </w:rPr>
        <w:t>2</w:t>
      </w:r>
      <w:r>
        <w:rPr>
          <w:rFonts w:eastAsia="仿宋_GB2312"/>
          <w:color w:val="auto"/>
          <w:szCs w:val="24"/>
        </w:rPr>
        <w:t>，水土流失治理达标面积</w:t>
      </w:r>
      <w:r>
        <w:rPr>
          <w:rFonts w:hint="eastAsia" w:eastAsia="仿宋_GB2312"/>
          <w:color w:val="auto"/>
          <w:szCs w:val="24"/>
          <w:lang w:val="en-US" w:eastAsia="zh-CN"/>
        </w:rPr>
        <w:t>0.66</w:t>
      </w:r>
      <w:r>
        <w:rPr>
          <w:rFonts w:eastAsia="仿宋_GB2312"/>
          <w:color w:val="auto"/>
          <w:szCs w:val="24"/>
        </w:rPr>
        <w:t>hm</w:t>
      </w:r>
      <w:r>
        <w:rPr>
          <w:rFonts w:eastAsia="仿宋_GB2312"/>
          <w:color w:val="auto"/>
          <w:szCs w:val="24"/>
          <w:vertAlign w:val="superscript"/>
        </w:rPr>
        <w:t>2</w:t>
      </w:r>
      <w:r>
        <w:rPr>
          <w:rFonts w:eastAsia="仿宋_GB2312"/>
          <w:color w:val="auto"/>
        </w:rPr>
        <w:t>，可减少水土流失量</w:t>
      </w:r>
      <w:r>
        <w:rPr>
          <w:rFonts w:hint="eastAsia" w:eastAsia="仿宋_GB2312"/>
          <w:color w:val="auto"/>
          <w:lang w:val="en-US" w:eastAsia="zh-CN"/>
        </w:rPr>
        <w:t>23.18</w:t>
      </w:r>
      <w:r>
        <w:rPr>
          <w:rFonts w:eastAsia="仿宋_GB2312"/>
          <w:color w:val="auto"/>
        </w:rPr>
        <w:t>t。</w:t>
      </w:r>
      <w:r>
        <w:rPr>
          <w:rFonts w:eastAsia="仿宋_GB2312"/>
          <w:color w:val="auto"/>
          <w:szCs w:val="24"/>
        </w:rPr>
        <w:t>设计水平</w:t>
      </w:r>
      <w:r>
        <w:rPr>
          <w:rFonts w:eastAsia="仿宋_GB2312"/>
          <w:color w:val="auto"/>
          <w:szCs w:val="24"/>
          <w:highlight w:val="none"/>
        </w:rPr>
        <w:t>年的防治指标可能实现情况为：水土流失治理度达到99％；土壤流失控制比达到1.0；渣土防护率达到9</w:t>
      </w:r>
      <w:r>
        <w:rPr>
          <w:rFonts w:hint="eastAsia" w:eastAsia="仿宋_GB2312"/>
          <w:color w:val="auto"/>
          <w:szCs w:val="24"/>
          <w:highlight w:val="none"/>
          <w:lang w:val="en-US" w:eastAsia="zh-CN"/>
        </w:rPr>
        <w:t>8</w:t>
      </w:r>
      <w:r>
        <w:rPr>
          <w:rFonts w:eastAsia="仿宋_GB2312"/>
          <w:color w:val="auto"/>
          <w:szCs w:val="24"/>
          <w:highlight w:val="none"/>
        </w:rPr>
        <w:t>％</w:t>
      </w:r>
      <w:r>
        <w:rPr>
          <w:rFonts w:hint="eastAsia" w:ascii="仿宋_GB2312" w:hAnsi="仿宋_GB2312" w:eastAsia="仿宋_GB2312" w:cs="仿宋_GB2312"/>
          <w:color w:val="auto"/>
          <w:szCs w:val="24"/>
          <w:highlight w:val="none"/>
          <w:lang w:eastAsia="zh-CN"/>
        </w:rPr>
        <w:t>，</w:t>
      </w:r>
      <w:r>
        <w:rPr>
          <w:rFonts w:hint="eastAsia" w:ascii="仿宋_GB2312" w:hAnsi="仿宋_GB2312" w:eastAsia="仿宋_GB2312" w:cs="仿宋_GB2312"/>
          <w:color w:val="auto"/>
          <w:lang w:val="en-US" w:eastAsia="zh-CN"/>
        </w:rPr>
        <w:t>达到了方案确定的防治目标值。</w:t>
      </w:r>
    </w:p>
    <w:p>
      <w:pPr>
        <w:pStyle w:val="5"/>
        <w:spacing w:before="0" w:after="0" w:line="360" w:lineRule="auto"/>
        <w:rPr>
          <w:rFonts w:ascii="Times New Roman" w:hAnsi="Times New Roman" w:eastAsia="仿宋_GB2312"/>
          <w:color w:val="auto"/>
          <w:sz w:val="28"/>
          <w:szCs w:val="28"/>
          <w:highlight w:val="none"/>
        </w:rPr>
      </w:pPr>
      <w:bookmarkStart w:id="13" w:name="_Toc19695"/>
      <w:r>
        <w:rPr>
          <w:rFonts w:ascii="Times New Roman" w:hAnsi="Times New Roman" w:eastAsia="仿宋_GB2312"/>
          <w:color w:val="auto"/>
          <w:sz w:val="28"/>
          <w:szCs w:val="28"/>
          <w:highlight w:val="none"/>
        </w:rPr>
        <w:t>1.11结论</w:t>
      </w:r>
      <w:bookmarkEnd w:id="13"/>
    </w:p>
    <w:p>
      <w:pPr>
        <w:spacing w:line="360" w:lineRule="auto"/>
        <w:ind w:firstLine="480" w:firstLineChars="200"/>
        <w:jc w:val="both"/>
        <w:rPr>
          <w:rFonts w:eastAsia="仿宋_GB2312"/>
          <w:color w:val="auto"/>
          <w:highlight w:val="none"/>
        </w:rPr>
      </w:pPr>
      <w:r>
        <w:rPr>
          <w:rFonts w:eastAsia="仿宋_GB2312"/>
          <w:color w:val="auto"/>
          <w:highlight w:val="none"/>
        </w:rPr>
        <w:t>本工程选址、建设方案、工程占地、土石方平衡、施工方法与工艺、具有水土保持功能工程等方面基本符合水土保持法律法规及技术标准的规定，方案实施后可达到控制水土流失、保护生态环境的目的。</w:t>
      </w:r>
    </w:p>
    <w:p>
      <w:pPr>
        <w:spacing w:line="360" w:lineRule="auto"/>
        <w:ind w:firstLine="480" w:firstLineChars="200"/>
        <w:jc w:val="both"/>
        <w:rPr>
          <w:rFonts w:eastAsia="仿宋_GB2312"/>
          <w:color w:val="auto"/>
          <w:highlight w:val="none"/>
        </w:rPr>
        <w:sectPr>
          <w:headerReference r:id="rId9" w:type="default"/>
          <w:footerReference r:id="rId10" w:type="default"/>
          <w:type w:val="continuous"/>
          <w:pgSz w:w="11906" w:h="16838"/>
          <w:pgMar w:top="1440" w:right="1797" w:bottom="1440" w:left="1797" w:header="851" w:footer="992" w:gutter="0"/>
          <w:pgNumType w:fmt="decimal" w:start="1"/>
          <w:cols w:space="720" w:num="1"/>
          <w:docGrid w:linePitch="312" w:charSpace="0"/>
        </w:sectPr>
      </w:pPr>
      <w:r>
        <w:rPr>
          <w:rFonts w:eastAsia="仿宋_GB2312"/>
          <w:color w:val="auto"/>
          <w:highlight w:val="none"/>
        </w:rPr>
        <w:t>建设单位应根据本项目水土保持方案报告表及其行政许可的要求，及时缴纳水土保持补偿费，严格要求水土保持施工单位落实水土保持工程，加强施工管理，按本方案要求实施水土保持工程，保证水土保持工程的数量和质量；加强水土流失监测，在项目主体完工后、正式投入使用前及时组织水土保持设施验收工作，将验收成果向社会公开，并向水土保持方案审批机关报备。</w:t>
      </w:r>
    </w:p>
    <w:p>
      <w:pPr>
        <w:pStyle w:val="4"/>
        <w:spacing w:before="0" w:after="0" w:line="360" w:lineRule="auto"/>
        <w:rPr>
          <w:rFonts w:eastAsia="仿宋_GB2312"/>
          <w:b w:val="0"/>
          <w:color w:val="auto"/>
          <w:sz w:val="28"/>
          <w:szCs w:val="28"/>
        </w:rPr>
      </w:pPr>
      <w:bookmarkStart w:id="14" w:name="_Toc11909"/>
      <w:r>
        <w:rPr>
          <w:rFonts w:eastAsia="仿宋_GB2312"/>
          <w:color w:val="auto"/>
          <w:sz w:val="28"/>
          <w:szCs w:val="28"/>
        </w:rPr>
        <w:t>2.项目概况</w:t>
      </w:r>
      <w:bookmarkEnd w:id="14"/>
      <w:r>
        <w:rPr>
          <w:rFonts w:eastAsia="仿宋_GB2312"/>
          <w:color w:val="auto"/>
          <w:sz w:val="28"/>
          <w:szCs w:val="28"/>
        </w:rPr>
        <w:t xml:space="preserve">  </w:t>
      </w:r>
      <w:r>
        <w:rPr>
          <w:rFonts w:eastAsia="仿宋_GB2312"/>
          <w:b w:val="0"/>
          <w:color w:val="auto"/>
          <w:sz w:val="28"/>
          <w:szCs w:val="28"/>
        </w:rPr>
        <w:t xml:space="preserve">  </w:t>
      </w:r>
    </w:p>
    <w:p>
      <w:pPr>
        <w:pStyle w:val="5"/>
        <w:spacing w:before="0" w:after="0" w:line="360" w:lineRule="auto"/>
        <w:rPr>
          <w:rFonts w:ascii="Times New Roman" w:hAnsi="Times New Roman" w:eastAsia="仿宋_GB2312"/>
          <w:color w:val="auto"/>
          <w:sz w:val="28"/>
          <w:szCs w:val="28"/>
        </w:rPr>
      </w:pPr>
      <w:bookmarkStart w:id="15" w:name="_Toc31012"/>
      <w:r>
        <w:rPr>
          <w:rFonts w:ascii="Times New Roman" w:hAnsi="Times New Roman" w:eastAsia="仿宋_GB2312"/>
          <w:color w:val="auto"/>
          <w:sz w:val="28"/>
          <w:szCs w:val="28"/>
        </w:rPr>
        <w:t>2.1项目组成及工程布置</w:t>
      </w:r>
      <w:bookmarkEnd w:id="15"/>
    </w:p>
    <w:p>
      <w:pPr>
        <w:spacing w:line="360" w:lineRule="auto"/>
        <w:jc w:val="both"/>
        <w:rPr>
          <w:rFonts w:eastAsia="仿宋_GB2312"/>
          <w:b/>
          <w:color w:val="auto"/>
          <w:szCs w:val="24"/>
        </w:rPr>
      </w:pPr>
      <w:r>
        <w:rPr>
          <w:rFonts w:eastAsia="仿宋_GB2312"/>
          <w:b/>
          <w:color w:val="auto"/>
          <w:szCs w:val="24"/>
        </w:rPr>
        <w:t>2.1.1项目基本情况</w:t>
      </w:r>
    </w:p>
    <w:p>
      <w:pPr>
        <w:spacing w:line="360" w:lineRule="auto"/>
        <w:ind w:firstLine="480" w:firstLineChars="200"/>
        <w:rPr>
          <w:rFonts w:hint="eastAsia" w:eastAsia="仿宋_GB2312"/>
          <w:color w:val="auto"/>
          <w:lang w:eastAsia="zh-CN"/>
        </w:rPr>
      </w:pPr>
      <w:r>
        <w:rPr>
          <w:rFonts w:eastAsia="仿宋_GB2312"/>
          <w:color w:val="auto"/>
        </w:rPr>
        <w:t>项目名称：</w:t>
      </w:r>
      <w:r>
        <w:rPr>
          <w:rFonts w:hint="eastAsia" w:eastAsia="仿宋_GB2312"/>
          <w:color w:val="auto"/>
          <w:szCs w:val="24"/>
          <w:lang w:eastAsia="zh-CN"/>
        </w:rPr>
        <w:t>吉林省鼎生工程有限公司水泥碎石制品建设项目</w:t>
      </w:r>
    </w:p>
    <w:p>
      <w:pPr>
        <w:spacing w:line="360" w:lineRule="auto"/>
        <w:ind w:firstLine="480" w:firstLineChars="200"/>
        <w:rPr>
          <w:rFonts w:hint="eastAsia" w:eastAsia="仿宋_GB2312"/>
          <w:color w:val="auto"/>
          <w:szCs w:val="24"/>
          <w:lang w:eastAsia="zh-CN"/>
        </w:rPr>
      </w:pPr>
      <w:r>
        <w:rPr>
          <w:rFonts w:eastAsia="仿宋_GB2312"/>
          <w:color w:val="auto"/>
        </w:rPr>
        <w:t>项目建设单位：</w:t>
      </w:r>
      <w:r>
        <w:rPr>
          <w:rFonts w:hint="eastAsia" w:eastAsia="仿宋_GB2312"/>
          <w:color w:val="auto"/>
          <w:szCs w:val="24"/>
          <w:lang w:eastAsia="zh-CN"/>
        </w:rPr>
        <w:t>吉林省鼎生工程有限公司</w:t>
      </w:r>
    </w:p>
    <w:p>
      <w:pPr>
        <w:spacing w:line="360" w:lineRule="auto"/>
        <w:ind w:firstLine="480" w:firstLineChars="200"/>
        <w:rPr>
          <w:rFonts w:eastAsia="仿宋_GB2312"/>
          <w:color w:val="auto"/>
          <w:szCs w:val="24"/>
        </w:rPr>
      </w:pPr>
      <w:r>
        <w:rPr>
          <w:rFonts w:eastAsia="仿宋_GB2312"/>
          <w:color w:val="auto"/>
        </w:rPr>
        <w:t>项目建设性质：新建建设类项目</w:t>
      </w:r>
    </w:p>
    <w:p>
      <w:pPr>
        <w:spacing w:line="360" w:lineRule="auto"/>
        <w:ind w:firstLine="480" w:firstLineChars="200"/>
        <w:jc w:val="both"/>
        <w:rPr>
          <w:rFonts w:hint="eastAsia" w:eastAsia="仿宋_GB2312"/>
          <w:color w:val="auto"/>
          <w:lang w:eastAsia="zh-CN"/>
        </w:rPr>
      </w:pPr>
      <w:r>
        <w:rPr>
          <w:rFonts w:eastAsia="仿宋_GB2312"/>
          <w:color w:val="auto"/>
        </w:rPr>
        <w:t>项目地理位置：本项目位于</w:t>
      </w:r>
      <w:r>
        <w:rPr>
          <w:rFonts w:hint="default" w:eastAsia="仿宋_GB2312"/>
          <w:color w:val="auto"/>
          <w:szCs w:val="24"/>
          <w:highlight w:val="none"/>
          <w:lang w:eastAsia="zh-CN"/>
        </w:rPr>
        <w:t>白山市抚松县德胜村道口504国道东侧，租赁原民富砖瓦陶瓷厂空地</w:t>
      </w:r>
      <w:r>
        <w:rPr>
          <w:rFonts w:hint="eastAsia" w:eastAsia="仿宋_GB2312"/>
          <w:color w:val="auto"/>
          <w:szCs w:val="24"/>
          <w:highlight w:val="none"/>
          <w:lang w:eastAsia="zh-CN"/>
        </w:rPr>
        <w:t>。</w:t>
      </w:r>
      <w:r>
        <w:rPr>
          <w:rFonts w:hint="eastAsia" w:eastAsia="仿宋_GB2312"/>
          <w:color w:val="auto"/>
          <w:szCs w:val="24"/>
          <w:highlight w:val="none"/>
          <w:lang w:val="en-US" w:eastAsia="zh-CN"/>
        </w:rPr>
        <w:t>厂址东至荒地，南至荒地，西至荒地，北至荒地，</w:t>
      </w:r>
      <w:r>
        <w:rPr>
          <w:rFonts w:hint="default" w:eastAsia="仿宋_GB2312"/>
          <w:color w:val="auto"/>
          <w:szCs w:val="24"/>
          <w:highlight w:val="none"/>
          <w:lang w:eastAsia="zh-CN"/>
        </w:rPr>
        <w:t>项目区</w:t>
      </w:r>
      <w:r>
        <w:rPr>
          <w:rFonts w:hint="eastAsia" w:eastAsia="仿宋_GB2312"/>
          <w:color w:val="auto"/>
          <w:szCs w:val="24"/>
          <w:highlight w:val="none"/>
          <w:lang w:val="en-US" w:eastAsia="zh-CN"/>
        </w:rPr>
        <w:t>中心</w:t>
      </w:r>
      <w:r>
        <w:rPr>
          <w:rFonts w:hint="default" w:eastAsia="仿宋_GB2312"/>
          <w:color w:val="auto"/>
          <w:szCs w:val="24"/>
          <w:highlight w:val="none"/>
          <w:lang w:eastAsia="zh-CN"/>
        </w:rPr>
        <w:t>地理坐标：东经127°23'24.46"，北纬42°14'11.35"</w:t>
      </w:r>
      <w:r>
        <w:rPr>
          <w:rFonts w:hint="eastAsia" w:eastAsia="仿宋_GB2312"/>
          <w:color w:val="auto"/>
          <w:szCs w:val="24"/>
          <w:highlight w:val="none"/>
          <w:lang w:eastAsia="zh-CN"/>
        </w:rPr>
        <w:t>，</w:t>
      </w:r>
      <w:r>
        <w:rPr>
          <w:rFonts w:hint="eastAsia" w:eastAsia="仿宋_GB2312"/>
          <w:color w:val="auto"/>
          <w:szCs w:val="24"/>
          <w:highlight w:val="none"/>
          <w:lang w:val="en-US" w:eastAsia="zh-CN"/>
        </w:rPr>
        <w:t>项目区附近有504国道，交通便利，</w:t>
      </w:r>
      <w:r>
        <w:rPr>
          <w:rFonts w:eastAsia="仿宋_GB2312"/>
          <w:color w:val="auto"/>
        </w:rPr>
        <w:t>本项目地理位置详见附图1</w:t>
      </w:r>
      <w:r>
        <w:rPr>
          <w:rFonts w:hint="eastAsia" w:eastAsia="仿宋_GB2312"/>
          <w:color w:val="auto"/>
          <w:lang w:eastAsia="zh-CN"/>
        </w:rPr>
        <w:t>。</w:t>
      </w:r>
    </w:p>
    <w:p>
      <w:pPr>
        <w:spacing w:line="360" w:lineRule="auto"/>
        <w:ind w:firstLine="480" w:firstLineChars="200"/>
        <w:rPr>
          <w:rFonts w:eastAsia="仿宋_GB2312"/>
          <w:color w:val="auto"/>
        </w:rPr>
      </w:pPr>
      <w:r>
        <w:rPr>
          <w:rFonts w:eastAsia="仿宋_GB2312"/>
          <w:color w:val="auto"/>
        </w:rPr>
        <w:t>项目投资：本项目总投资为</w:t>
      </w:r>
      <w:r>
        <w:rPr>
          <w:rFonts w:hint="eastAsia" w:eastAsia="仿宋_GB2312"/>
          <w:color w:val="auto"/>
          <w:highlight w:val="none"/>
          <w:lang w:val="en-US" w:eastAsia="zh-CN"/>
        </w:rPr>
        <w:t>1000.00</w:t>
      </w:r>
      <w:r>
        <w:rPr>
          <w:rFonts w:eastAsia="仿宋_GB2312"/>
          <w:color w:val="auto"/>
          <w:highlight w:val="none"/>
        </w:rPr>
        <w:t>万元，其中土建投资</w:t>
      </w:r>
      <w:r>
        <w:rPr>
          <w:rFonts w:hint="eastAsia" w:eastAsia="仿宋_GB2312"/>
          <w:color w:val="auto"/>
          <w:highlight w:val="none"/>
          <w:lang w:val="en-US" w:eastAsia="zh-CN"/>
        </w:rPr>
        <w:t>184.00</w:t>
      </w:r>
      <w:r>
        <w:rPr>
          <w:rFonts w:eastAsia="仿宋_GB2312"/>
          <w:color w:val="auto"/>
          <w:highlight w:val="none"/>
        </w:rPr>
        <w:t>万元，资</w:t>
      </w:r>
      <w:r>
        <w:rPr>
          <w:rFonts w:eastAsia="仿宋_GB2312"/>
          <w:color w:val="auto"/>
        </w:rPr>
        <w:t>金</w:t>
      </w:r>
      <w:r>
        <w:rPr>
          <w:rFonts w:hint="eastAsia" w:eastAsia="仿宋_GB2312"/>
          <w:color w:val="auto"/>
          <w:lang w:val="en-US" w:eastAsia="zh-CN"/>
        </w:rPr>
        <w:t>全部由企业自筹解决</w:t>
      </w:r>
      <w:r>
        <w:rPr>
          <w:rFonts w:eastAsia="仿宋_GB2312"/>
          <w:color w:val="auto"/>
        </w:rPr>
        <w:t>。</w:t>
      </w:r>
    </w:p>
    <w:p>
      <w:pPr>
        <w:spacing w:line="360" w:lineRule="auto"/>
        <w:ind w:firstLine="480" w:firstLineChars="200"/>
        <w:jc w:val="both"/>
        <w:rPr>
          <w:rFonts w:eastAsia="仿宋_GB2312"/>
          <w:b/>
          <w:bCs/>
          <w:color w:val="auto"/>
        </w:rPr>
      </w:pPr>
      <w:r>
        <w:rPr>
          <w:rFonts w:eastAsia="仿宋_GB2312"/>
          <w:color w:val="auto"/>
        </w:rPr>
        <w:t>项目工期：</w:t>
      </w:r>
      <w:r>
        <w:rPr>
          <w:rFonts w:eastAsia="仿宋_GB2312"/>
          <w:color w:val="auto"/>
          <w:highlight w:val="none"/>
        </w:rPr>
        <w:t>本项目</w:t>
      </w:r>
      <w:r>
        <w:rPr>
          <w:rFonts w:hint="eastAsia" w:eastAsia="仿宋_GB2312"/>
          <w:color w:val="auto"/>
          <w:highlight w:val="none"/>
        </w:rPr>
        <w:t>已于</w:t>
      </w:r>
      <w:r>
        <w:rPr>
          <w:rFonts w:eastAsia="仿宋_GB2312"/>
          <w:color w:val="auto"/>
          <w:highlight w:val="none"/>
        </w:rPr>
        <w:t>202</w:t>
      </w:r>
      <w:r>
        <w:rPr>
          <w:rFonts w:hint="eastAsia" w:eastAsia="仿宋_GB2312"/>
          <w:color w:val="auto"/>
          <w:highlight w:val="none"/>
          <w:lang w:val="en-US" w:eastAsia="zh-CN"/>
        </w:rPr>
        <w:t>2</w:t>
      </w:r>
      <w:r>
        <w:rPr>
          <w:rFonts w:eastAsia="仿宋_GB2312"/>
          <w:color w:val="auto"/>
          <w:highlight w:val="none"/>
        </w:rPr>
        <w:t>年</w:t>
      </w:r>
      <w:r>
        <w:rPr>
          <w:rFonts w:hint="eastAsia" w:eastAsia="仿宋_GB2312"/>
          <w:color w:val="auto"/>
          <w:highlight w:val="none"/>
          <w:lang w:val="en-US" w:eastAsia="zh-CN"/>
        </w:rPr>
        <w:t>8</w:t>
      </w:r>
      <w:r>
        <w:rPr>
          <w:rFonts w:eastAsia="仿宋_GB2312"/>
          <w:color w:val="auto"/>
          <w:highlight w:val="none"/>
        </w:rPr>
        <w:t>月开工，202</w:t>
      </w:r>
      <w:r>
        <w:rPr>
          <w:rFonts w:hint="eastAsia" w:eastAsia="仿宋_GB2312"/>
          <w:color w:val="auto"/>
          <w:highlight w:val="none"/>
          <w:lang w:val="en-US" w:eastAsia="zh-CN"/>
        </w:rPr>
        <w:t>3</w:t>
      </w:r>
      <w:r>
        <w:rPr>
          <w:rFonts w:eastAsia="仿宋_GB2312"/>
          <w:color w:val="auto"/>
          <w:highlight w:val="none"/>
        </w:rPr>
        <w:t>年</w:t>
      </w:r>
      <w:r>
        <w:rPr>
          <w:rFonts w:hint="eastAsia" w:eastAsia="仿宋_GB2312"/>
          <w:color w:val="auto"/>
          <w:highlight w:val="none"/>
          <w:lang w:val="en-US" w:eastAsia="zh-CN"/>
        </w:rPr>
        <w:t>4</w:t>
      </w:r>
      <w:r>
        <w:rPr>
          <w:rFonts w:eastAsia="仿宋_GB2312"/>
          <w:color w:val="auto"/>
          <w:highlight w:val="none"/>
        </w:rPr>
        <w:t>月完工，总</w:t>
      </w:r>
      <w:r>
        <w:rPr>
          <w:rFonts w:eastAsia="仿宋_GB2312"/>
          <w:color w:val="auto"/>
        </w:rPr>
        <w:t>工期</w:t>
      </w:r>
      <w:r>
        <w:rPr>
          <w:rFonts w:hint="eastAsia" w:eastAsia="仿宋_GB2312"/>
          <w:color w:val="auto"/>
          <w:lang w:val="en-US" w:eastAsia="zh-CN"/>
        </w:rPr>
        <w:t>9</w:t>
      </w:r>
      <w:r>
        <w:rPr>
          <w:rFonts w:eastAsia="仿宋_GB2312"/>
          <w:color w:val="auto"/>
        </w:rPr>
        <w:t>个月。</w:t>
      </w:r>
    </w:p>
    <w:p>
      <w:pPr>
        <w:spacing w:line="360" w:lineRule="auto"/>
        <w:jc w:val="both"/>
        <w:rPr>
          <w:rFonts w:eastAsia="仿宋_GB2312"/>
          <w:color w:val="auto"/>
          <w:szCs w:val="24"/>
        </w:rPr>
      </w:pPr>
      <w:r>
        <w:rPr>
          <w:rFonts w:eastAsia="仿宋_GB2312"/>
          <w:b/>
          <w:color w:val="auto"/>
          <w:szCs w:val="24"/>
        </w:rPr>
        <w:t>2.1.</w:t>
      </w:r>
      <w:r>
        <w:rPr>
          <w:rFonts w:hint="eastAsia" w:eastAsia="仿宋_GB2312"/>
          <w:b/>
          <w:color w:val="auto"/>
          <w:szCs w:val="24"/>
          <w:lang w:val="en-US" w:eastAsia="zh-CN"/>
        </w:rPr>
        <w:t>2</w:t>
      </w:r>
      <w:r>
        <w:rPr>
          <w:rFonts w:eastAsia="仿宋_GB2312"/>
          <w:b/>
          <w:color w:val="auto"/>
          <w:szCs w:val="24"/>
        </w:rPr>
        <w:t>项目建设</w:t>
      </w:r>
      <w:r>
        <w:rPr>
          <w:rFonts w:hint="eastAsia" w:eastAsia="仿宋_GB2312"/>
          <w:b/>
          <w:color w:val="auto"/>
          <w:szCs w:val="24"/>
          <w:lang w:val="en-US" w:eastAsia="zh-CN"/>
        </w:rPr>
        <w:t>规模与内容</w:t>
      </w:r>
    </w:p>
    <w:p>
      <w:pPr>
        <w:spacing w:line="360" w:lineRule="auto"/>
        <w:ind w:firstLine="480" w:firstLineChars="200"/>
        <w:jc w:val="both"/>
        <w:rPr>
          <w:rFonts w:hint="default" w:eastAsia="仿宋_GB2312"/>
          <w:color w:val="auto"/>
          <w:szCs w:val="24"/>
          <w:lang w:val="en-US" w:eastAsia="zh-CN"/>
        </w:rPr>
      </w:pPr>
      <w:r>
        <w:rPr>
          <w:rFonts w:hint="eastAsia" w:eastAsia="仿宋_GB2312"/>
          <w:color w:val="auto"/>
          <w:szCs w:val="24"/>
          <w:lang w:val="en-US" w:eastAsia="zh-CN"/>
        </w:rPr>
        <w:t>1、建设规模与内容</w:t>
      </w:r>
    </w:p>
    <w:p>
      <w:pPr>
        <w:spacing w:line="360" w:lineRule="auto"/>
        <w:ind w:firstLine="480" w:firstLineChars="200"/>
        <w:jc w:val="both"/>
        <w:rPr>
          <w:rFonts w:hint="eastAsia" w:eastAsia="仿宋_GB2312"/>
          <w:color w:val="auto"/>
          <w:szCs w:val="24"/>
          <w:highlight w:val="none"/>
          <w:lang w:eastAsia="zh-CN"/>
        </w:rPr>
      </w:pPr>
      <w:r>
        <w:rPr>
          <w:rFonts w:hint="eastAsia" w:eastAsia="仿宋_GB2312"/>
          <w:color w:val="auto"/>
          <w:szCs w:val="24"/>
          <w:lang w:val="en-US" w:eastAsia="zh-CN"/>
        </w:rPr>
        <w:t>本项目</w:t>
      </w:r>
      <w:r>
        <w:rPr>
          <w:rFonts w:hint="eastAsia" w:eastAsia="仿宋_GB2312"/>
          <w:color w:val="auto"/>
          <w:szCs w:val="24"/>
          <w:highlight w:val="none"/>
          <w:lang w:val="en-US" w:eastAsia="zh-CN"/>
        </w:rPr>
        <w:t>总用</w:t>
      </w:r>
      <w:r>
        <w:rPr>
          <w:rFonts w:hint="eastAsia" w:eastAsia="仿宋_GB2312"/>
          <w:color w:val="auto"/>
          <w:szCs w:val="24"/>
          <w:highlight w:val="none"/>
          <w:lang w:eastAsia="zh-CN"/>
        </w:rPr>
        <w:t>地面积6664m</w:t>
      </w:r>
      <w:r>
        <w:rPr>
          <w:rFonts w:hint="eastAsia" w:eastAsia="仿宋_GB2312"/>
          <w:color w:val="auto"/>
          <w:szCs w:val="24"/>
          <w:highlight w:val="none"/>
          <w:vertAlign w:val="superscript"/>
          <w:lang w:eastAsia="zh-CN"/>
        </w:rPr>
        <w:t>2</w:t>
      </w:r>
      <w:r>
        <w:rPr>
          <w:rFonts w:hint="eastAsia" w:eastAsia="仿宋_GB2312"/>
          <w:color w:val="auto"/>
          <w:szCs w:val="24"/>
          <w:highlight w:val="none"/>
          <w:lang w:eastAsia="zh-CN"/>
        </w:rPr>
        <w:t>，</w:t>
      </w:r>
      <w:r>
        <w:rPr>
          <w:rFonts w:hint="eastAsia" w:eastAsia="仿宋_GB2312"/>
          <w:color w:val="auto"/>
          <w:szCs w:val="24"/>
          <w:highlight w:val="none"/>
          <w:lang w:val="en-US" w:eastAsia="zh-CN"/>
        </w:rPr>
        <w:t>总</w:t>
      </w:r>
      <w:r>
        <w:rPr>
          <w:rFonts w:hint="eastAsia" w:eastAsia="仿宋_GB2312"/>
          <w:color w:val="auto"/>
          <w:szCs w:val="24"/>
          <w:highlight w:val="none"/>
          <w:lang w:eastAsia="zh-CN"/>
        </w:rPr>
        <w:t>建筑面积1100m</w:t>
      </w:r>
      <w:r>
        <w:rPr>
          <w:rFonts w:hint="eastAsia" w:eastAsia="仿宋_GB2312"/>
          <w:color w:val="auto"/>
          <w:szCs w:val="24"/>
          <w:highlight w:val="none"/>
          <w:vertAlign w:val="superscript"/>
          <w:lang w:eastAsia="zh-CN"/>
        </w:rPr>
        <w:t>2</w:t>
      </w:r>
      <w:r>
        <w:rPr>
          <w:rFonts w:hint="eastAsia" w:eastAsia="仿宋_GB2312"/>
          <w:color w:val="auto"/>
          <w:szCs w:val="24"/>
          <w:highlight w:val="none"/>
          <w:lang w:eastAsia="zh-CN"/>
        </w:rPr>
        <w:t>，</w:t>
      </w:r>
      <w:r>
        <w:rPr>
          <w:rFonts w:hint="eastAsia" w:eastAsia="仿宋_GB2312"/>
          <w:color w:val="auto"/>
          <w:szCs w:val="24"/>
          <w:highlight w:val="none"/>
          <w:lang w:val="en-US" w:eastAsia="zh-CN"/>
        </w:rPr>
        <w:t>建（构）筑物基底面积1219</w:t>
      </w:r>
      <w:r>
        <w:rPr>
          <w:rFonts w:hint="eastAsia" w:eastAsia="仿宋_GB2312"/>
          <w:color w:val="auto"/>
          <w:szCs w:val="24"/>
          <w:highlight w:val="none"/>
          <w:lang w:eastAsia="zh-CN"/>
        </w:rPr>
        <w:t>m</w:t>
      </w:r>
      <w:r>
        <w:rPr>
          <w:rFonts w:hint="eastAsia" w:eastAsia="仿宋_GB2312"/>
          <w:color w:val="auto"/>
          <w:szCs w:val="24"/>
          <w:highlight w:val="none"/>
          <w:vertAlign w:val="superscript"/>
          <w:lang w:eastAsia="zh-CN"/>
        </w:rPr>
        <w:t>2</w:t>
      </w:r>
      <w:r>
        <w:rPr>
          <w:rFonts w:hint="eastAsia" w:eastAsia="仿宋_GB2312"/>
          <w:color w:val="auto"/>
          <w:szCs w:val="24"/>
          <w:highlight w:val="none"/>
          <w:lang w:eastAsia="zh-CN"/>
        </w:rPr>
        <w:t>，</w:t>
      </w:r>
      <w:r>
        <w:rPr>
          <w:rFonts w:hint="eastAsia" w:eastAsia="仿宋_GB2312"/>
          <w:color w:val="auto"/>
          <w:szCs w:val="24"/>
          <w:highlight w:val="none"/>
          <w:lang w:val="en-US" w:eastAsia="zh-CN"/>
        </w:rPr>
        <w:t>道路及硬化区域面积5445m</w:t>
      </w:r>
      <w:r>
        <w:rPr>
          <w:rFonts w:hint="eastAsia" w:eastAsia="仿宋_GB2312"/>
          <w:color w:val="auto"/>
          <w:szCs w:val="24"/>
          <w:highlight w:val="none"/>
          <w:vertAlign w:val="superscript"/>
          <w:lang w:val="en-US" w:eastAsia="zh-CN"/>
        </w:rPr>
        <w:t>2</w:t>
      </w:r>
      <w:r>
        <w:rPr>
          <w:rFonts w:hint="eastAsia" w:eastAsia="仿宋_GB2312"/>
          <w:color w:val="auto"/>
          <w:szCs w:val="24"/>
          <w:highlight w:val="none"/>
          <w:lang w:val="en-US" w:eastAsia="zh-CN"/>
        </w:rPr>
        <w:t>。</w:t>
      </w:r>
      <w:r>
        <w:rPr>
          <w:rFonts w:hint="eastAsia" w:eastAsia="仿宋_GB2312"/>
          <w:color w:val="auto"/>
          <w:szCs w:val="24"/>
          <w:highlight w:val="none"/>
          <w:lang w:val="en-US" w:eastAsia="zh-CN"/>
        </w:rPr>
        <w:t>本项目</w:t>
      </w:r>
      <w:r>
        <w:rPr>
          <w:rFonts w:hint="default" w:eastAsia="仿宋_GB2312"/>
          <w:color w:val="auto"/>
          <w:szCs w:val="24"/>
          <w:highlight w:val="none"/>
          <w:lang w:val="en-US" w:eastAsia="zh-CN"/>
        </w:rPr>
        <w:t>主要建设</w:t>
      </w:r>
      <w:r>
        <w:rPr>
          <w:rFonts w:hint="eastAsia" w:eastAsia="仿宋_GB2312"/>
          <w:color w:val="auto"/>
          <w:szCs w:val="24"/>
          <w:highlight w:val="none"/>
          <w:lang w:val="en-US" w:eastAsia="zh-CN"/>
        </w:rPr>
        <w:t>内容包括：</w:t>
      </w:r>
      <w:r>
        <w:rPr>
          <w:rFonts w:hint="default" w:eastAsia="仿宋_GB2312"/>
          <w:color w:val="auto"/>
          <w:szCs w:val="24"/>
          <w:highlight w:val="none"/>
          <w:lang w:val="en-US" w:eastAsia="zh-CN"/>
        </w:rPr>
        <w:t>混凝土搅拌站生产线</w:t>
      </w:r>
      <w:r>
        <w:rPr>
          <w:rFonts w:hint="eastAsia" w:eastAsia="仿宋_GB2312"/>
          <w:color w:val="auto"/>
          <w:szCs w:val="24"/>
          <w:highlight w:val="none"/>
          <w:lang w:val="en-US" w:eastAsia="zh-CN"/>
        </w:rPr>
        <w:t>1条</w:t>
      </w:r>
      <w:r>
        <w:rPr>
          <w:rFonts w:hint="default" w:eastAsia="仿宋_GB2312"/>
          <w:color w:val="auto"/>
          <w:szCs w:val="24"/>
          <w:highlight w:val="none"/>
          <w:lang w:val="en-US" w:eastAsia="zh-CN"/>
        </w:rPr>
        <w:t>、稳定土搅拌站生产线</w:t>
      </w:r>
      <w:r>
        <w:rPr>
          <w:rFonts w:hint="eastAsia" w:eastAsia="仿宋_GB2312"/>
          <w:color w:val="auto"/>
          <w:szCs w:val="24"/>
          <w:highlight w:val="none"/>
          <w:lang w:val="en-US" w:eastAsia="zh-CN"/>
        </w:rPr>
        <w:t>1条</w:t>
      </w:r>
      <w:r>
        <w:rPr>
          <w:rFonts w:hint="default" w:eastAsia="仿宋_GB2312"/>
          <w:color w:val="auto"/>
          <w:szCs w:val="24"/>
          <w:highlight w:val="none"/>
          <w:lang w:val="en-US" w:eastAsia="zh-CN"/>
        </w:rPr>
        <w:t>、碎石生产线</w:t>
      </w:r>
      <w:r>
        <w:rPr>
          <w:rFonts w:hint="eastAsia" w:eastAsia="仿宋_GB2312"/>
          <w:color w:val="auto"/>
          <w:szCs w:val="24"/>
          <w:highlight w:val="none"/>
          <w:lang w:val="en-US" w:eastAsia="zh-CN"/>
        </w:rPr>
        <w:t>1条</w:t>
      </w:r>
      <w:r>
        <w:rPr>
          <w:rFonts w:hint="default" w:eastAsia="仿宋_GB2312"/>
          <w:color w:val="auto"/>
          <w:szCs w:val="24"/>
          <w:highlight w:val="none"/>
          <w:lang w:val="en-US" w:eastAsia="zh-CN"/>
        </w:rPr>
        <w:t>，办公室</w:t>
      </w:r>
      <w:r>
        <w:rPr>
          <w:rFonts w:hint="eastAsia" w:eastAsia="仿宋_GB2312"/>
          <w:color w:val="auto"/>
          <w:szCs w:val="24"/>
          <w:highlight w:val="none"/>
          <w:lang w:val="en-US" w:eastAsia="zh-CN"/>
        </w:rPr>
        <w:t>1座</w:t>
      </w:r>
      <w:r>
        <w:rPr>
          <w:rFonts w:hint="default" w:eastAsia="仿宋_GB2312"/>
          <w:color w:val="auto"/>
          <w:szCs w:val="24"/>
          <w:highlight w:val="none"/>
          <w:lang w:val="en-US" w:eastAsia="zh-CN"/>
        </w:rPr>
        <w:t>、试验室</w:t>
      </w:r>
      <w:r>
        <w:rPr>
          <w:rFonts w:hint="eastAsia" w:eastAsia="仿宋_GB2312"/>
          <w:color w:val="auto"/>
          <w:szCs w:val="24"/>
          <w:highlight w:val="none"/>
          <w:lang w:val="en-US" w:eastAsia="zh-CN"/>
        </w:rPr>
        <w:t>1座</w:t>
      </w:r>
      <w:r>
        <w:rPr>
          <w:rFonts w:hint="default" w:eastAsia="仿宋_GB2312"/>
          <w:color w:val="auto"/>
          <w:szCs w:val="24"/>
          <w:highlight w:val="none"/>
          <w:lang w:val="en-US" w:eastAsia="zh-CN"/>
        </w:rPr>
        <w:t>以及贮料场</w:t>
      </w:r>
      <w:r>
        <w:rPr>
          <w:rFonts w:hint="eastAsia" w:eastAsia="仿宋_GB2312"/>
          <w:color w:val="auto"/>
          <w:szCs w:val="24"/>
          <w:highlight w:val="none"/>
          <w:lang w:val="en-US" w:eastAsia="zh-CN"/>
        </w:rPr>
        <w:t>1处。</w:t>
      </w:r>
      <w:r>
        <w:rPr>
          <w:rFonts w:hint="eastAsia" w:eastAsia="仿宋_GB2312"/>
          <w:color w:val="auto"/>
          <w:szCs w:val="24"/>
          <w:highlight w:val="none"/>
          <w:lang w:eastAsia="zh-CN"/>
        </w:rPr>
        <w:t>项目建成后产品规模为年产商品混凝土10万m</w:t>
      </w:r>
      <w:r>
        <w:rPr>
          <w:rFonts w:hint="eastAsia" w:eastAsia="仿宋_GB2312"/>
          <w:color w:val="auto"/>
          <w:szCs w:val="24"/>
          <w:highlight w:val="none"/>
          <w:vertAlign w:val="superscript"/>
          <w:lang w:eastAsia="zh-CN"/>
        </w:rPr>
        <w:t>3</w:t>
      </w:r>
      <w:r>
        <w:rPr>
          <w:rFonts w:hint="eastAsia" w:eastAsia="仿宋_GB2312"/>
          <w:color w:val="auto"/>
          <w:szCs w:val="24"/>
          <w:highlight w:val="none"/>
          <w:lang w:eastAsia="zh-CN"/>
        </w:rPr>
        <w:t>/a、稳定土8万m</w:t>
      </w:r>
      <w:r>
        <w:rPr>
          <w:rFonts w:hint="eastAsia" w:eastAsia="仿宋_GB2312"/>
          <w:color w:val="auto"/>
          <w:szCs w:val="24"/>
          <w:highlight w:val="none"/>
          <w:vertAlign w:val="superscript"/>
          <w:lang w:eastAsia="zh-CN"/>
        </w:rPr>
        <w:t>3</w:t>
      </w:r>
      <w:r>
        <w:rPr>
          <w:rFonts w:hint="eastAsia" w:eastAsia="仿宋_GB2312"/>
          <w:color w:val="auto"/>
          <w:szCs w:val="24"/>
          <w:highlight w:val="none"/>
          <w:lang w:eastAsia="zh-CN"/>
        </w:rPr>
        <w:t>/a，碎石13万m</w:t>
      </w:r>
      <w:r>
        <w:rPr>
          <w:rFonts w:hint="eastAsia" w:eastAsia="仿宋_GB2312"/>
          <w:color w:val="auto"/>
          <w:szCs w:val="24"/>
          <w:highlight w:val="none"/>
          <w:vertAlign w:val="superscript"/>
          <w:lang w:eastAsia="zh-CN"/>
        </w:rPr>
        <w:t>3</w:t>
      </w:r>
      <w:r>
        <w:rPr>
          <w:rFonts w:hint="eastAsia" w:eastAsia="仿宋_GB2312"/>
          <w:color w:val="auto"/>
          <w:szCs w:val="24"/>
          <w:highlight w:val="none"/>
          <w:lang w:eastAsia="zh-CN"/>
        </w:rPr>
        <w:t>/a（其中8万m</w:t>
      </w:r>
      <w:r>
        <w:rPr>
          <w:rFonts w:hint="eastAsia" w:eastAsia="仿宋_GB2312"/>
          <w:color w:val="auto"/>
          <w:szCs w:val="24"/>
          <w:highlight w:val="none"/>
          <w:vertAlign w:val="superscript"/>
          <w:lang w:eastAsia="zh-CN"/>
        </w:rPr>
        <w:t>3</w:t>
      </w:r>
      <w:r>
        <w:rPr>
          <w:rFonts w:hint="eastAsia" w:eastAsia="仿宋_GB2312"/>
          <w:color w:val="auto"/>
          <w:szCs w:val="24"/>
          <w:highlight w:val="none"/>
          <w:lang w:eastAsia="zh-CN"/>
        </w:rPr>
        <w:t>/a自用，5万m</w:t>
      </w:r>
      <w:r>
        <w:rPr>
          <w:rFonts w:hint="eastAsia" w:eastAsia="仿宋_GB2312"/>
          <w:color w:val="auto"/>
          <w:szCs w:val="24"/>
          <w:highlight w:val="none"/>
          <w:vertAlign w:val="superscript"/>
          <w:lang w:eastAsia="zh-CN"/>
        </w:rPr>
        <w:t>3</w:t>
      </w:r>
      <w:r>
        <w:rPr>
          <w:rFonts w:hint="eastAsia" w:eastAsia="仿宋_GB2312"/>
          <w:color w:val="auto"/>
          <w:szCs w:val="24"/>
          <w:highlight w:val="none"/>
          <w:lang w:eastAsia="zh-CN"/>
        </w:rPr>
        <w:t>/a外售）。</w:t>
      </w:r>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本项目工程特性表 2-1。</w:t>
      </w:r>
    </w:p>
    <w:p>
      <w:pPr>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表</w:t>
      </w:r>
      <w:r>
        <w:rPr>
          <w:rFonts w:hint="default" w:ascii="Times New Roman" w:hAnsi="Times New Roman" w:eastAsia="仿宋_GB2312" w:cs="Times New Roman"/>
          <w:b/>
          <w:color w:val="auto"/>
          <w:spacing w:val="-10"/>
        </w:rPr>
        <w:t xml:space="preserve"> </w:t>
      </w:r>
      <w:r>
        <w:rPr>
          <w:rFonts w:hint="default" w:ascii="Times New Roman" w:hAnsi="Times New Roman" w:eastAsia="仿宋_GB2312" w:cs="Times New Roman"/>
          <w:b/>
          <w:color w:val="auto"/>
        </w:rPr>
        <w:t>2-1    项目工程特性表</w:t>
      </w:r>
    </w:p>
    <w:tbl>
      <w:tblPr>
        <w:tblStyle w:val="25"/>
        <w:tblW w:w="862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039"/>
        <w:gridCol w:w="1071"/>
        <w:gridCol w:w="975"/>
        <w:gridCol w:w="1083"/>
        <w:gridCol w:w="985"/>
        <w:gridCol w:w="1061"/>
        <w:gridCol w:w="10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35"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一、项目的基本情况</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所在流域</w:t>
            </w:r>
          </w:p>
        </w:tc>
        <w:tc>
          <w:tcPr>
            <w:tcW w:w="310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松辽流域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项目名称</w:t>
            </w:r>
          </w:p>
        </w:tc>
        <w:tc>
          <w:tcPr>
            <w:tcW w:w="308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_GB2312" w:cs="Times New Roman"/>
                <w:color w:val="auto"/>
                <w:sz w:val="21"/>
                <w:szCs w:val="21"/>
                <w:vertAlign w:val="baseline"/>
                <w:lang w:eastAsia="zh-CN"/>
              </w:rPr>
            </w:pPr>
            <w:r>
              <w:rPr>
                <w:rFonts w:hint="eastAsia" w:eastAsia="仿宋_GB2312"/>
                <w:color w:val="auto"/>
                <w:sz w:val="21"/>
                <w:szCs w:val="21"/>
                <w:lang w:eastAsia="zh-CN"/>
              </w:rPr>
              <w:t>吉林省鼎生工程有限公司水泥碎石制品建设项目</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建设地点</w:t>
            </w:r>
          </w:p>
        </w:tc>
        <w:tc>
          <w:tcPr>
            <w:tcW w:w="310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eastAsia" w:eastAsia="仿宋_GB2312"/>
                <w:color w:val="auto"/>
                <w:sz w:val="21"/>
                <w:szCs w:val="21"/>
                <w:lang w:val="en-US" w:eastAsia="zh-CN"/>
              </w:rPr>
              <w:t xml:space="preserve">白山市抚松县德胜村道口 </w:t>
            </w:r>
            <w:r>
              <w:rPr>
                <w:rFonts w:hint="default" w:eastAsia="仿宋_GB2312"/>
                <w:color w:val="auto"/>
                <w:sz w:val="21"/>
                <w:szCs w:val="21"/>
                <w:lang w:val="en-US" w:eastAsia="zh-CN"/>
              </w:rPr>
              <w:t xml:space="preserve">504 </w:t>
            </w:r>
            <w:r>
              <w:rPr>
                <w:rFonts w:hint="eastAsia" w:eastAsia="仿宋_GB2312"/>
                <w:color w:val="auto"/>
                <w:sz w:val="21"/>
                <w:szCs w:val="21"/>
                <w:lang w:val="en-US" w:eastAsia="zh-CN"/>
              </w:rPr>
              <w:t>国道东侧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建设单位</w:t>
            </w:r>
          </w:p>
        </w:tc>
        <w:tc>
          <w:tcPr>
            <w:tcW w:w="308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_GB2312" w:cs="Times New Roman"/>
                <w:color w:val="auto"/>
                <w:sz w:val="21"/>
                <w:szCs w:val="21"/>
                <w:vertAlign w:val="baseline"/>
                <w:lang w:eastAsia="zh-CN"/>
              </w:rPr>
            </w:pPr>
            <w:r>
              <w:rPr>
                <w:rFonts w:hint="eastAsia" w:eastAsia="仿宋_GB2312"/>
                <w:color w:val="auto"/>
                <w:sz w:val="21"/>
                <w:szCs w:val="21"/>
                <w:lang w:eastAsia="zh-CN"/>
              </w:rPr>
              <w:t>吉林省鼎生工程有限公司</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建设性质</w:t>
            </w:r>
          </w:p>
        </w:tc>
        <w:tc>
          <w:tcPr>
            <w:tcW w:w="310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新建建设类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总投资</w:t>
            </w:r>
          </w:p>
        </w:tc>
        <w:tc>
          <w:tcPr>
            <w:tcW w:w="308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highlight w:val="none"/>
                <w:vertAlign w:val="baseline"/>
              </w:rPr>
            </w:pPr>
            <w:r>
              <w:rPr>
                <w:rFonts w:hint="eastAsia" w:eastAsia="仿宋_GB2312"/>
                <w:color w:val="auto"/>
                <w:sz w:val="21"/>
                <w:szCs w:val="21"/>
                <w:highlight w:val="none"/>
                <w:lang w:val="en-US" w:eastAsia="zh-CN"/>
              </w:rPr>
              <w:t>1000.00</w:t>
            </w:r>
            <w:r>
              <w:rPr>
                <w:rFonts w:eastAsia="仿宋_GB2312"/>
                <w:color w:val="auto"/>
                <w:sz w:val="21"/>
                <w:szCs w:val="21"/>
                <w:highlight w:val="none"/>
              </w:rPr>
              <w:t>万元</w:t>
            </w:r>
          </w:p>
        </w:tc>
        <w:tc>
          <w:tcPr>
            <w:tcW w:w="10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highlight w:val="none"/>
                <w:vertAlign w:val="baseline"/>
              </w:rPr>
            </w:pPr>
            <w:r>
              <w:rPr>
                <w:rFonts w:hint="default" w:ascii="Times New Roman" w:hAnsi="Times New Roman" w:eastAsia="仿宋_GB2312" w:cs="Times New Roman"/>
                <w:color w:val="auto"/>
                <w:sz w:val="21"/>
                <w:szCs w:val="21"/>
                <w:highlight w:val="none"/>
              </w:rPr>
              <w:t>土建投资</w:t>
            </w:r>
          </w:p>
        </w:tc>
        <w:tc>
          <w:tcPr>
            <w:tcW w:w="310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highlight w:val="none"/>
                <w:vertAlign w:val="baseline"/>
              </w:rPr>
            </w:pPr>
            <w:r>
              <w:rPr>
                <w:rFonts w:hint="eastAsia" w:eastAsia="仿宋_GB2312"/>
                <w:color w:val="auto"/>
                <w:sz w:val="21"/>
                <w:szCs w:val="21"/>
                <w:highlight w:val="none"/>
                <w:lang w:val="en-US" w:eastAsia="zh-CN"/>
              </w:rPr>
              <w:t>184.00</w:t>
            </w:r>
            <w:r>
              <w:rPr>
                <w:rFonts w:eastAsia="仿宋_GB2312"/>
                <w:color w:val="auto"/>
                <w:sz w:val="21"/>
                <w:szCs w:val="21"/>
                <w:highlight w:val="none"/>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建设期</w:t>
            </w:r>
          </w:p>
        </w:tc>
        <w:tc>
          <w:tcPr>
            <w:tcW w:w="7274"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highlight w:val="none"/>
                <w:vertAlign w:val="baseline"/>
                <w:lang w:eastAsia="zh-CN"/>
              </w:rPr>
            </w:pPr>
            <w:r>
              <w:rPr>
                <w:rFonts w:hint="default" w:ascii="Times New Roman" w:hAnsi="Times New Roman" w:eastAsia="仿宋_GB2312" w:cs="Times New Roman"/>
                <w:color w:val="auto"/>
                <w:sz w:val="21"/>
                <w:szCs w:val="21"/>
                <w:highlight w:val="none"/>
              </w:rPr>
              <w:t>本项目</w:t>
            </w:r>
            <w:r>
              <w:rPr>
                <w:rFonts w:hint="eastAsia" w:eastAsia="仿宋_GB2312"/>
                <w:color w:val="auto"/>
                <w:sz w:val="21"/>
                <w:szCs w:val="21"/>
                <w:highlight w:val="none"/>
              </w:rPr>
              <w:t>已于</w:t>
            </w:r>
            <w:r>
              <w:rPr>
                <w:rFonts w:eastAsia="仿宋_GB2312"/>
                <w:color w:val="auto"/>
                <w:sz w:val="21"/>
                <w:szCs w:val="21"/>
                <w:highlight w:val="none"/>
              </w:rPr>
              <w:t>202</w:t>
            </w:r>
            <w:r>
              <w:rPr>
                <w:rFonts w:hint="eastAsia" w:eastAsia="仿宋_GB2312"/>
                <w:color w:val="auto"/>
                <w:sz w:val="21"/>
                <w:szCs w:val="21"/>
                <w:highlight w:val="none"/>
                <w:lang w:val="en-US" w:eastAsia="zh-CN"/>
              </w:rPr>
              <w:t>2</w:t>
            </w:r>
            <w:r>
              <w:rPr>
                <w:rFonts w:eastAsia="仿宋_GB2312"/>
                <w:color w:val="auto"/>
                <w:sz w:val="21"/>
                <w:szCs w:val="21"/>
                <w:highlight w:val="none"/>
              </w:rPr>
              <w:t>年</w:t>
            </w:r>
            <w:r>
              <w:rPr>
                <w:rFonts w:hint="eastAsia" w:eastAsia="仿宋_GB2312"/>
                <w:color w:val="auto"/>
                <w:sz w:val="21"/>
                <w:szCs w:val="21"/>
                <w:highlight w:val="none"/>
                <w:lang w:val="en-US" w:eastAsia="zh-CN"/>
              </w:rPr>
              <w:t>8</w:t>
            </w:r>
            <w:r>
              <w:rPr>
                <w:rFonts w:eastAsia="仿宋_GB2312"/>
                <w:color w:val="auto"/>
                <w:sz w:val="21"/>
                <w:szCs w:val="21"/>
                <w:highlight w:val="none"/>
              </w:rPr>
              <w:t>月开工，202</w:t>
            </w:r>
            <w:r>
              <w:rPr>
                <w:rFonts w:hint="eastAsia" w:eastAsia="仿宋_GB2312"/>
                <w:color w:val="auto"/>
                <w:sz w:val="21"/>
                <w:szCs w:val="21"/>
                <w:highlight w:val="none"/>
                <w:lang w:val="en-US" w:eastAsia="zh-CN"/>
              </w:rPr>
              <w:t>3</w:t>
            </w:r>
            <w:r>
              <w:rPr>
                <w:rFonts w:eastAsia="仿宋_GB2312"/>
                <w:color w:val="auto"/>
                <w:sz w:val="21"/>
                <w:szCs w:val="21"/>
                <w:highlight w:val="none"/>
              </w:rPr>
              <w:t>年</w:t>
            </w:r>
            <w:r>
              <w:rPr>
                <w:rFonts w:hint="eastAsia" w:eastAsia="仿宋_GB2312"/>
                <w:color w:val="auto"/>
                <w:sz w:val="21"/>
                <w:szCs w:val="21"/>
                <w:highlight w:val="none"/>
                <w:lang w:val="en-US" w:eastAsia="zh-CN"/>
              </w:rPr>
              <w:t>4</w:t>
            </w:r>
            <w:r>
              <w:rPr>
                <w:rFonts w:eastAsia="仿宋_GB2312"/>
                <w:color w:val="auto"/>
                <w:sz w:val="21"/>
                <w:szCs w:val="21"/>
                <w:highlight w:val="none"/>
              </w:rPr>
              <w:t>月完工</w:t>
            </w:r>
            <w:r>
              <w:rPr>
                <w:rFonts w:hint="default" w:ascii="Times New Roman" w:hAnsi="Times New Roman" w:eastAsia="仿宋_GB2312" w:cs="Times New Roman"/>
                <w:color w:val="auto"/>
                <w:sz w:val="21"/>
                <w:szCs w:val="21"/>
                <w:highlight w:val="none"/>
              </w:rPr>
              <w:t>，总工期为</w:t>
            </w:r>
            <w:r>
              <w:rPr>
                <w:rFonts w:hint="eastAsia" w:eastAsia="仿宋_GB2312" w:cs="Times New Roman"/>
                <w:color w:val="auto"/>
                <w:sz w:val="21"/>
                <w:szCs w:val="21"/>
                <w:highlight w:val="none"/>
                <w:lang w:val="en-US" w:eastAsia="zh-CN"/>
              </w:rPr>
              <w:t>9</w:t>
            </w:r>
            <w:r>
              <w:rPr>
                <w:rFonts w:hint="default" w:ascii="Times New Roman" w:hAnsi="Times New Roman" w:eastAsia="仿宋_GB2312" w:cs="Times New Roman"/>
                <w:color w:val="auto"/>
                <w:sz w:val="21"/>
                <w:szCs w:val="21"/>
                <w:highlight w:val="none"/>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建设规模</w:t>
            </w:r>
          </w:p>
        </w:tc>
        <w:tc>
          <w:tcPr>
            <w:tcW w:w="7274"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highlight w:val="none"/>
              </w:rPr>
            </w:pPr>
            <w:r>
              <w:rPr>
                <w:rFonts w:hint="eastAsia" w:eastAsia="仿宋_GB2312"/>
                <w:color w:val="auto"/>
                <w:sz w:val="21"/>
                <w:szCs w:val="21"/>
                <w:highlight w:val="none"/>
                <w:lang w:val="en-US" w:eastAsia="zh-CN"/>
              </w:rPr>
              <w:t>本项目</w:t>
            </w:r>
            <w:r>
              <w:rPr>
                <w:rFonts w:hint="eastAsia" w:eastAsia="仿宋_GB2312"/>
                <w:color w:val="auto"/>
                <w:sz w:val="21"/>
                <w:szCs w:val="21"/>
                <w:highlight w:val="none"/>
                <w:lang w:eastAsia="zh-CN"/>
              </w:rPr>
              <w:t>年产商品混凝土10万m</w:t>
            </w:r>
            <w:r>
              <w:rPr>
                <w:rFonts w:hint="eastAsia" w:eastAsia="仿宋_GB2312"/>
                <w:color w:val="auto"/>
                <w:sz w:val="21"/>
                <w:szCs w:val="21"/>
                <w:highlight w:val="none"/>
                <w:vertAlign w:val="superscript"/>
                <w:lang w:eastAsia="zh-CN"/>
              </w:rPr>
              <w:t>3</w:t>
            </w:r>
            <w:r>
              <w:rPr>
                <w:rFonts w:hint="eastAsia" w:eastAsia="仿宋_GB2312"/>
                <w:color w:val="auto"/>
                <w:sz w:val="21"/>
                <w:szCs w:val="21"/>
                <w:highlight w:val="none"/>
                <w:lang w:eastAsia="zh-CN"/>
              </w:rPr>
              <w:t>/a、稳定土8万m</w:t>
            </w:r>
            <w:r>
              <w:rPr>
                <w:rFonts w:hint="eastAsia" w:eastAsia="仿宋_GB2312"/>
                <w:color w:val="auto"/>
                <w:sz w:val="21"/>
                <w:szCs w:val="21"/>
                <w:highlight w:val="none"/>
                <w:vertAlign w:val="superscript"/>
                <w:lang w:eastAsia="zh-CN"/>
              </w:rPr>
              <w:t>3</w:t>
            </w:r>
            <w:r>
              <w:rPr>
                <w:rFonts w:hint="eastAsia" w:eastAsia="仿宋_GB2312"/>
                <w:color w:val="auto"/>
                <w:sz w:val="21"/>
                <w:szCs w:val="21"/>
                <w:highlight w:val="none"/>
                <w:lang w:eastAsia="zh-CN"/>
              </w:rPr>
              <w:t>/a，碎石13万m</w:t>
            </w:r>
            <w:r>
              <w:rPr>
                <w:rFonts w:hint="eastAsia" w:eastAsia="仿宋_GB2312"/>
                <w:color w:val="auto"/>
                <w:sz w:val="21"/>
                <w:szCs w:val="21"/>
                <w:highlight w:val="none"/>
                <w:vertAlign w:val="superscript"/>
                <w:lang w:eastAsia="zh-CN"/>
              </w:rPr>
              <w:t>3</w:t>
            </w:r>
            <w:r>
              <w:rPr>
                <w:rFonts w:hint="eastAsia" w:eastAsia="仿宋_GB2312"/>
                <w:color w:val="auto"/>
                <w:sz w:val="21"/>
                <w:szCs w:val="21"/>
                <w:highlight w:val="none"/>
                <w:lang w:eastAsia="zh-CN"/>
              </w:rPr>
              <w:t>/a（其中8万m</w:t>
            </w:r>
            <w:r>
              <w:rPr>
                <w:rFonts w:hint="eastAsia" w:eastAsia="仿宋_GB2312"/>
                <w:color w:val="auto"/>
                <w:sz w:val="21"/>
                <w:szCs w:val="21"/>
                <w:highlight w:val="none"/>
                <w:vertAlign w:val="superscript"/>
                <w:lang w:eastAsia="zh-CN"/>
              </w:rPr>
              <w:t>3</w:t>
            </w:r>
            <w:r>
              <w:rPr>
                <w:rFonts w:hint="eastAsia" w:eastAsia="仿宋_GB2312"/>
                <w:color w:val="auto"/>
                <w:sz w:val="21"/>
                <w:szCs w:val="21"/>
                <w:highlight w:val="none"/>
                <w:lang w:eastAsia="zh-CN"/>
              </w:rPr>
              <w:t>/a自用，5万m</w:t>
            </w:r>
            <w:r>
              <w:rPr>
                <w:rFonts w:hint="eastAsia" w:eastAsia="仿宋_GB2312"/>
                <w:color w:val="auto"/>
                <w:sz w:val="21"/>
                <w:szCs w:val="21"/>
                <w:highlight w:val="none"/>
                <w:vertAlign w:val="superscript"/>
                <w:lang w:eastAsia="zh-CN"/>
              </w:rPr>
              <w:t>3</w:t>
            </w:r>
            <w:r>
              <w:rPr>
                <w:rFonts w:hint="eastAsia" w:eastAsia="仿宋_GB2312"/>
                <w:color w:val="auto"/>
                <w:sz w:val="21"/>
                <w:szCs w:val="21"/>
                <w:highlight w:val="none"/>
                <w:lang w:eastAsia="zh-CN"/>
              </w:rPr>
              <w:t>/a外售）</w:t>
            </w:r>
            <w:r>
              <w:rPr>
                <w:rFonts w:hint="default" w:ascii="Times New Roman" w:hAnsi="Times New Roman" w:eastAsia="仿宋_GB2312"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工程用水</w:t>
            </w:r>
          </w:p>
        </w:tc>
        <w:tc>
          <w:tcPr>
            <w:tcW w:w="7274"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本项目</w:t>
            </w:r>
            <w:r>
              <w:rPr>
                <w:rFonts w:hint="default" w:ascii="Times New Roman" w:hAnsi="Times New Roman" w:eastAsia="仿宋_GB2312" w:cs="Times New Roman"/>
                <w:color w:val="auto"/>
                <w:sz w:val="21"/>
                <w:szCs w:val="21"/>
                <w:lang w:val="en-US"/>
              </w:rPr>
              <w:t>用水由厂区深水井提供</w:t>
            </w:r>
            <w:r>
              <w:rPr>
                <w:rFonts w:hint="default" w:ascii="Times New Roman" w:hAnsi="Times New Roman" w:eastAsia="仿宋_GB2312" w:cs="Times New Roman"/>
                <w:color w:val="auto"/>
                <w:sz w:val="21"/>
                <w:szCs w:val="21"/>
              </w:rPr>
              <w:t>，可满足建设用水需求。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工程用电</w:t>
            </w:r>
          </w:p>
        </w:tc>
        <w:tc>
          <w:tcPr>
            <w:tcW w:w="7274"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lang w:eastAsia="zh-CN"/>
              </w:rPr>
            </w:pPr>
            <w:r>
              <w:rPr>
                <w:rFonts w:hint="default" w:ascii="Times New Roman" w:hAnsi="Times New Roman" w:eastAsia="仿宋_GB2312" w:cs="Times New Roman"/>
                <w:color w:val="auto"/>
                <w:sz w:val="21"/>
                <w:szCs w:val="21"/>
              </w:rPr>
              <w:t>本项目</w:t>
            </w:r>
            <w:r>
              <w:rPr>
                <w:rFonts w:hint="default" w:ascii="Times New Roman" w:hAnsi="Times New Roman" w:eastAsia="仿宋_GB2312" w:cs="Times New Roman"/>
                <w:color w:val="auto"/>
                <w:sz w:val="21"/>
                <w:szCs w:val="21"/>
                <w:lang w:val="en-US"/>
              </w:rPr>
              <w:t>用电由城镇供电网提供</w:t>
            </w:r>
            <w:r>
              <w:rPr>
                <w:rFonts w:hint="default" w:ascii="Times New Roman" w:hAnsi="Times New Roman" w:eastAsia="仿宋_GB2312" w:cs="Times New Roman"/>
                <w:color w:val="auto"/>
                <w:sz w:val="21"/>
                <w:szCs w:val="21"/>
              </w:rPr>
              <w:t>，可满足本项目建设需求</w:t>
            </w:r>
            <w:r>
              <w:rPr>
                <w:rFonts w:hint="default" w:ascii="Times New Roman" w:hAnsi="Times New Roman" w:eastAsia="仿宋_GB2312"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工程通讯</w:t>
            </w:r>
          </w:p>
        </w:tc>
        <w:tc>
          <w:tcPr>
            <w:tcW w:w="7274"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eastAsia="仿宋_GB2312"/>
                <w:color w:val="auto"/>
                <w:sz w:val="21"/>
                <w:szCs w:val="21"/>
              </w:rPr>
              <w:t>本项目用</w:t>
            </w:r>
            <w:r>
              <w:rPr>
                <w:rFonts w:hint="eastAsia" w:eastAsia="仿宋_GB2312"/>
                <w:color w:val="auto"/>
                <w:sz w:val="21"/>
                <w:szCs w:val="21"/>
              </w:rPr>
              <w:t>移动通信</w:t>
            </w:r>
            <w:r>
              <w:rPr>
                <w:rFonts w:eastAsia="仿宋_GB2312"/>
                <w:color w:val="auto"/>
                <w:sz w:val="21"/>
                <w:szCs w:val="21"/>
              </w:rPr>
              <w:t>进行施工通讯。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移民拆迁</w:t>
            </w:r>
          </w:p>
        </w:tc>
        <w:tc>
          <w:tcPr>
            <w:tcW w:w="7274"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不涉及拆迁（移民）及安置、专项设施改（迁建）问题。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24"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二、项目组成及主要技术指标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highlight w:val="none"/>
                <w:vertAlign w:val="baseline"/>
              </w:rPr>
            </w:pPr>
            <w:r>
              <w:rPr>
                <w:rFonts w:hint="default" w:ascii="Times New Roman" w:hAnsi="Times New Roman" w:eastAsia="仿宋_GB2312" w:cs="Times New Roman"/>
                <w:color w:val="auto"/>
                <w:sz w:val="21"/>
                <w:szCs w:val="21"/>
                <w:highlight w:val="none"/>
              </w:rPr>
              <w:t>工程建设区</w:t>
            </w:r>
          </w:p>
        </w:tc>
        <w:tc>
          <w:tcPr>
            <w:tcW w:w="7274"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color w:val="auto"/>
                <w:sz w:val="21"/>
                <w:szCs w:val="21"/>
                <w:highlight w:val="none"/>
                <w:vertAlign w:val="baseline"/>
              </w:rPr>
            </w:pPr>
            <w:r>
              <w:rPr>
                <w:rFonts w:hint="eastAsia" w:eastAsia="仿宋_GB2312"/>
                <w:color w:val="auto"/>
                <w:sz w:val="21"/>
                <w:szCs w:val="21"/>
                <w:lang w:val="en-US" w:eastAsia="zh-CN"/>
              </w:rPr>
              <w:t>本项目总占地面积6664m</w:t>
            </w:r>
            <w:r>
              <w:rPr>
                <w:rFonts w:hint="eastAsia" w:eastAsia="仿宋_GB2312"/>
                <w:color w:val="auto"/>
                <w:sz w:val="21"/>
                <w:szCs w:val="21"/>
                <w:vertAlign w:val="superscript"/>
                <w:lang w:val="en-US" w:eastAsia="zh-CN"/>
              </w:rPr>
              <w:t>2</w:t>
            </w:r>
            <w:r>
              <w:rPr>
                <w:rFonts w:hint="eastAsia" w:eastAsia="仿宋_GB2312"/>
                <w:color w:val="auto"/>
                <w:sz w:val="21"/>
                <w:szCs w:val="21"/>
                <w:lang w:val="en-US" w:eastAsia="zh-CN"/>
              </w:rPr>
              <w:t>，</w:t>
            </w:r>
            <w:r>
              <w:rPr>
                <w:rFonts w:hint="eastAsia" w:eastAsia="仿宋_GB2312"/>
                <w:color w:val="auto"/>
                <w:sz w:val="21"/>
                <w:szCs w:val="21"/>
                <w:highlight w:val="none"/>
                <w:lang w:val="en-US" w:eastAsia="zh-CN"/>
              </w:rPr>
              <w:t>总</w:t>
            </w:r>
            <w:r>
              <w:rPr>
                <w:rFonts w:hint="eastAsia" w:eastAsia="仿宋_GB2312"/>
                <w:color w:val="auto"/>
                <w:sz w:val="21"/>
                <w:szCs w:val="21"/>
                <w:highlight w:val="none"/>
                <w:lang w:eastAsia="zh-CN"/>
              </w:rPr>
              <w:t>建筑面积1100m</w:t>
            </w:r>
            <w:r>
              <w:rPr>
                <w:rFonts w:hint="eastAsia" w:eastAsia="仿宋_GB2312"/>
                <w:color w:val="auto"/>
                <w:sz w:val="21"/>
                <w:szCs w:val="21"/>
                <w:highlight w:val="none"/>
                <w:vertAlign w:val="superscript"/>
                <w:lang w:eastAsia="zh-CN"/>
              </w:rPr>
              <w:t>2</w:t>
            </w:r>
            <w:r>
              <w:rPr>
                <w:rFonts w:hint="eastAsia" w:eastAsia="仿宋_GB2312"/>
                <w:color w:val="auto"/>
                <w:sz w:val="21"/>
                <w:szCs w:val="21"/>
                <w:highlight w:val="none"/>
                <w:lang w:eastAsia="zh-CN"/>
              </w:rPr>
              <w:t>，</w:t>
            </w:r>
            <w:r>
              <w:rPr>
                <w:rFonts w:hint="eastAsia" w:eastAsia="仿宋_GB2312"/>
                <w:color w:val="auto"/>
                <w:sz w:val="21"/>
                <w:szCs w:val="21"/>
                <w:highlight w:val="none"/>
                <w:lang w:val="en-US" w:eastAsia="zh-CN"/>
              </w:rPr>
              <w:t>建筑物基底面积1219</w:t>
            </w:r>
            <w:r>
              <w:rPr>
                <w:rFonts w:hint="eastAsia" w:eastAsia="仿宋_GB2312"/>
                <w:color w:val="auto"/>
                <w:sz w:val="21"/>
                <w:szCs w:val="21"/>
                <w:highlight w:val="none"/>
                <w:lang w:eastAsia="zh-CN"/>
              </w:rPr>
              <w:t>m</w:t>
            </w:r>
            <w:r>
              <w:rPr>
                <w:rFonts w:hint="eastAsia" w:eastAsia="仿宋_GB2312"/>
                <w:color w:val="auto"/>
                <w:sz w:val="21"/>
                <w:szCs w:val="21"/>
                <w:highlight w:val="none"/>
                <w:vertAlign w:val="superscript"/>
                <w:lang w:eastAsia="zh-CN"/>
              </w:rPr>
              <w:t>2</w:t>
            </w:r>
            <w:r>
              <w:rPr>
                <w:rFonts w:hint="eastAsia" w:eastAsia="仿宋_GB2312"/>
                <w:color w:val="auto"/>
                <w:sz w:val="21"/>
                <w:szCs w:val="21"/>
                <w:highlight w:val="none"/>
                <w:lang w:eastAsia="zh-CN"/>
              </w:rPr>
              <w:t>，</w:t>
            </w:r>
            <w:r>
              <w:rPr>
                <w:rFonts w:hint="eastAsia" w:eastAsia="仿宋_GB2312"/>
                <w:color w:val="auto"/>
                <w:sz w:val="21"/>
                <w:szCs w:val="21"/>
                <w:highlight w:val="none"/>
                <w:lang w:val="en-US" w:eastAsia="zh-CN"/>
              </w:rPr>
              <w:t>道路及硬化区域面积5445m</w:t>
            </w:r>
            <w:r>
              <w:rPr>
                <w:rFonts w:hint="eastAsia" w:eastAsia="仿宋_GB2312"/>
                <w:color w:val="auto"/>
                <w:sz w:val="21"/>
                <w:szCs w:val="21"/>
                <w:highlight w:val="none"/>
                <w:vertAlign w:val="superscript"/>
                <w:lang w:val="en-US" w:eastAsia="zh-CN"/>
              </w:rPr>
              <w:t>2</w:t>
            </w:r>
            <w:r>
              <w:rPr>
                <w:rFonts w:hint="eastAsia" w:eastAsia="仿宋_GB2312"/>
                <w:color w:val="auto"/>
                <w:sz w:val="21"/>
                <w:szCs w:val="21"/>
                <w:highlight w:val="none"/>
                <w:lang w:val="en-US" w:eastAsia="zh-CN"/>
              </w:rPr>
              <w:t>。</w:t>
            </w:r>
            <w:r>
              <w:rPr>
                <w:rFonts w:hint="eastAsia" w:eastAsia="仿宋_GB2312"/>
                <w:color w:val="auto"/>
                <w:sz w:val="21"/>
                <w:szCs w:val="21"/>
                <w:highlight w:val="none"/>
                <w:lang w:val="en-US" w:eastAsia="zh-CN"/>
              </w:rPr>
              <w:t>本项目主要建设内容包括：</w:t>
            </w:r>
            <w:r>
              <w:rPr>
                <w:rFonts w:hint="default" w:eastAsia="仿宋_GB2312"/>
                <w:color w:val="auto"/>
                <w:sz w:val="21"/>
                <w:szCs w:val="21"/>
                <w:highlight w:val="none"/>
                <w:lang w:val="en-US" w:eastAsia="zh-CN"/>
              </w:rPr>
              <w:t>混凝土搅拌站生产线</w:t>
            </w:r>
            <w:r>
              <w:rPr>
                <w:rFonts w:hint="eastAsia" w:eastAsia="仿宋_GB2312"/>
                <w:color w:val="auto"/>
                <w:sz w:val="21"/>
                <w:szCs w:val="21"/>
                <w:highlight w:val="none"/>
                <w:lang w:val="en-US" w:eastAsia="zh-CN"/>
              </w:rPr>
              <w:t>1条</w:t>
            </w:r>
            <w:r>
              <w:rPr>
                <w:rFonts w:hint="default" w:eastAsia="仿宋_GB2312"/>
                <w:color w:val="auto"/>
                <w:sz w:val="21"/>
                <w:szCs w:val="21"/>
                <w:highlight w:val="none"/>
                <w:lang w:val="en-US" w:eastAsia="zh-CN"/>
              </w:rPr>
              <w:t>、稳定土搅拌站生产线</w:t>
            </w:r>
            <w:r>
              <w:rPr>
                <w:rFonts w:hint="eastAsia" w:eastAsia="仿宋_GB2312"/>
                <w:color w:val="auto"/>
                <w:sz w:val="21"/>
                <w:szCs w:val="21"/>
                <w:highlight w:val="none"/>
                <w:lang w:val="en-US" w:eastAsia="zh-CN"/>
              </w:rPr>
              <w:t>1条</w:t>
            </w:r>
            <w:r>
              <w:rPr>
                <w:rFonts w:hint="default" w:eastAsia="仿宋_GB2312"/>
                <w:color w:val="auto"/>
                <w:sz w:val="21"/>
                <w:szCs w:val="21"/>
                <w:highlight w:val="none"/>
                <w:lang w:val="en-US" w:eastAsia="zh-CN"/>
              </w:rPr>
              <w:t>、碎石生产线</w:t>
            </w:r>
            <w:r>
              <w:rPr>
                <w:rFonts w:hint="eastAsia" w:eastAsia="仿宋_GB2312"/>
                <w:color w:val="auto"/>
                <w:sz w:val="21"/>
                <w:szCs w:val="21"/>
                <w:highlight w:val="none"/>
                <w:lang w:val="en-US" w:eastAsia="zh-CN"/>
              </w:rPr>
              <w:t>1条</w:t>
            </w:r>
            <w:r>
              <w:rPr>
                <w:rFonts w:hint="default" w:eastAsia="仿宋_GB2312"/>
                <w:color w:val="auto"/>
                <w:sz w:val="21"/>
                <w:szCs w:val="21"/>
                <w:highlight w:val="none"/>
                <w:lang w:val="en-US" w:eastAsia="zh-CN"/>
              </w:rPr>
              <w:t>，办公室</w:t>
            </w:r>
            <w:r>
              <w:rPr>
                <w:rFonts w:hint="eastAsia" w:eastAsia="仿宋_GB2312"/>
                <w:color w:val="auto"/>
                <w:sz w:val="21"/>
                <w:szCs w:val="21"/>
                <w:highlight w:val="none"/>
                <w:lang w:val="en-US" w:eastAsia="zh-CN"/>
              </w:rPr>
              <w:t>1座</w:t>
            </w:r>
            <w:r>
              <w:rPr>
                <w:rFonts w:hint="default" w:eastAsia="仿宋_GB2312"/>
                <w:color w:val="auto"/>
                <w:sz w:val="21"/>
                <w:szCs w:val="21"/>
                <w:highlight w:val="none"/>
                <w:lang w:val="en-US" w:eastAsia="zh-CN"/>
              </w:rPr>
              <w:t>、试验室</w:t>
            </w:r>
            <w:r>
              <w:rPr>
                <w:rFonts w:hint="eastAsia" w:eastAsia="仿宋_GB2312"/>
                <w:color w:val="auto"/>
                <w:sz w:val="21"/>
                <w:szCs w:val="21"/>
                <w:highlight w:val="none"/>
                <w:lang w:val="en-US" w:eastAsia="zh-CN"/>
              </w:rPr>
              <w:t>1座</w:t>
            </w:r>
            <w:r>
              <w:rPr>
                <w:rFonts w:hint="default" w:eastAsia="仿宋_GB2312"/>
                <w:color w:val="auto"/>
                <w:sz w:val="21"/>
                <w:szCs w:val="21"/>
                <w:highlight w:val="none"/>
                <w:lang w:val="en-US" w:eastAsia="zh-CN"/>
              </w:rPr>
              <w:t>以及贮料场</w:t>
            </w:r>
            <w:r>
              <w:rPr>
                <w:rFonts w:hint="eastAsia" w:eastAsia="仿宋_GB2312"/>
                <w:color w:val="auto"/>
                <w:sz w:val="21"/>
                <w:szCs w:val="21"/>
                <w:highlight w:val="none"/>
                <w:lang w:val="en-US" w:eastAsia="zh-CN"/>
              </w:rPr>
              <w:t>1处。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施工生产生活区</w:t>
            </w:r>
          </w:p>
        </w:tc>
        <w:tc>
          <w:tcPr>
            <w:tcW w:w="7274"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pacing w:val="-4"/>
                <w:sz w:val="21"/>
                <w:szCs w:val="21"/>
              </w:rPr>
              <w:t>施工生产生活区布设在工程建设区占地红线范围内</w:t>
            </w:r>
            <w:r>
              <w:rPr>
                <w:rFonts w:hint="eastAsia" w:ascii="Times New Roman" w:hAnsi="Times New Roman" w:eastAsia="仿宋_GB2312" w:cs="Times New Roman"/>
                <w:color w:val="auto"/>
                <w:spacing w:val="-4"/>
                <w:sz w:val="21"/>
                <w:szCs w:val="21"/>
                <w:lang w:val="en-US" w:eastAsia="zh-CN"/>
              </w:rPr>
              <w:t>空地</w:t>
            </w:r>
            <w:r>
              <w:rPr>
                <w:rFonts w:hint="eastAsia" w:eastAsia="仿宋_GB2312" w:cs="Times New Roman"/>
                <w:color w:val="auto"/>
                <w:spacing w:val="-4"/>
                <w:sz w:val="21"/>
                <w:szCs w:val="21"/>
                <w:lang w:val="en-US" w:eastAsia="zh-CN"/>
              </w:rPr>
              <w:t>，</w:t>
            </w:r>
            <w:r>
              <w:rPr>
                <w:rFonts w:hint="eastAsia" w:eastAsia="仿宋_GB2312" w:cs="Times New Roman"/>
                <w:color w:val="auto"/>
                <w:spacing w:val="-4"/>
                <w:sz w:val="21"/>
                <w:szCs w:val="21"/>
                <w:lang w:val="en-US" w:eastAsia="zh-CN"/>
              </w:rPr>
              <w:t>施工期间地表为砂石地面，</w:t>
            </w:r>
            <w:r>
              <w:rPr>
                <w:rFonts w:hint="eastAsia" w:ascii="Times New Roman" w:hAnsi="Times New Roman" w:eastAsia="仿宋_GB2312" w:cs="Times New Roman"/>
                <w:color w:val="auto"/>
                <w:sz w:val="21"/>
                <w:szCs w:val="21"/>
                <w:highlight w:val="none"/>
                <w:lang w:val="en-US" w:eastAsia="zh-CN"/>
              </w:rPr>
              <w:t>施工结束后对彩钢建筑进行拆除，地面保留</w:t>
            </w:r>
            <w:r>
              <w:rPr>
                <w:rFonts w:hint="default" w:ascii="Times New Roman" w:hAnsi="Times New Roman" w:eastAsia="仿宋_GB2312" w:cs="Times New Roman"/>
                <w:color w:val="auto"/>
                <w:spacing w:val="-3"/>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施工便道</w:t>
            </w:r>
          </w:p>
        </w:tc>
        <w:tc>
          <w:tcPr>
            <w:tcW w:w="7274" w:type="dxa"/>
            <w:gridSpan w:val="7"/>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left"/>
              <w:textAlignment w:val="auto"/>
              <w:rPr>
                <w:rFonts w:hint="default" w:ascii="Times New Roman" w:hAnsi="Times New Roman" w:eastAsia="仿宋_GB2312" w:cs="Times New Roman"/>
                <w:color w:val="auto"/>
                <w:sz w:val="21"/>
                <w:szCs w:val="21"/>
                <w:vertAlign w:val="baseline"/>
              </w:rPr>
            </w:pPr>
            <w:r>
              <w:rPr>
                <w:rFonts w:hint="eastAsia" w:eastAsia="仿宋_GB2312" w:cs="Times New Roman"/>
                <w:color w:val="auto"/>
                <w:spacing w:val="-4"/>
                <w:sz w:val="21"/>
                <w:szCs w:val="21"/>
                <w:lang w:val="en-US" w:eastAsia="zh-CN"/>
              </w:rPr>
              <w:t>施工期间地表为砂石路面，</w:t>
            </w:r>
            <w:r>
              <w:rPr>
                <w:rFonts w:hint="default" w:ascii="Times New Roman" w:hAnsi="Times New Roman" w:eastAsia="仿宋_GB2312" w:cs="Times New Roman"/>
                <w:color w:val="auto"/>
                <w:spacing w:val="-4"/>
                <w:sz w:val="21"/>
                <w:szCs w:val="21"/>
              </w:rPr>
              <w:t>能够满足本项目施工期间各种材</w:t>
            </w:r>
            <w:r>
              <w:rPr>
                <w:rFonts w:hint="default" w:ascii="Times New Roman" w:hAnsi="Times New Roman" w:eastAsia="仿宋_GB2312" w:cs="Times New Roman"/>
                <w:color w:val="auto"/>
                <w:sz w:val="21"/>
                <w:szCs w:val="21"/>
              </w:rPr>
              <w:t>料的运输</w:t>
            </w:r>
            <w:r>
              <w:rPr>
                <w:rFonts w:hint="eastAsia" w:ascii="Times New Roman" w:hAnsi="Times New Roman" w:eastAsia="仿宋_GB2312" w:cs="Times New Roman"/>
                <w:color w:val="auto"/>
                <w:sz w:val="21"/>
                <w:szCs w:val="21"/>
                <w:lang w:eastAsia="zh-CN"/>
              </w:rPr>
              <w:t>，</w:t>
            </w:r>
            <w:r>
              <w:rPr>
                <w:rFonts w:hint="eastAsia" w:eastAsia="仿宋_GB2312" w:cs="Times New Roman"/>
                <w:color w:val="auto"/>
                <w:spacing w:val="-4"/>
                <w:sz w:val="21"/>
                <w:szCs w:val="21"/>
                <w:lang w:val="en-US" w:eastAsia="zh-CN"/>
              </w:rPr>
              <w:t>施工结束砂石路面作为垫层，铺设混凝土路面</w:t>
            </w:r>
            <w:r>
              <w:rPr>
                <w:rFonts w:hint="default" w:ascii="Times New Roman" w:hAnsi="Times New Roman" w:eastAsia="仿宋_GB2312"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24"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三、项目组成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项目占地及土石方</w:t>
            </w:r>
          </w:p>
        </w:tc>
        <w:tc>
          <w:tcPr>
            <w:tcW w:w="308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占地面积（hm</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w:t>
            </w:r>
          </w:p>
        </w:tc>
        <w:tc>
          <w:tcPr>
            <w:tcW w:w="4189"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土石方量（</w:t>
            </w:r>
            <w:r>
              <w:rPr>
                <w:rFonts w:hint="eastAsia" w:eastAsia="仿宋_GB2312" w:cs="Times New Roman"/>
                <w:color w:val="auto"/>
                <w:sz w:val="21"/>
                <w:szCs w:val="21"/>
                <w:lang w:val="en-US" w:eastAsia="zh-CN"/>
              </w:rPr>
              <w:t>万</w:t>
            </w:r>
            <w:r>
              <w:rPr>
                <w:rFonts w:hint="default" w:ascii="Times New Roman" w:hAnsi="Times New Roman" w:eastAsia="仿宋_GB2312" w:cs="Times New Roman"/>
                <w:color w:val="auto"/>
                <w:sz w:val="21"/>
                <w:szCs w:val="21"/>
              </w:rPr>
              <w:t>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p>
        </w:tc>
        <w:tc>
          <w:tcPr>
            <w:tcW w:w="1039"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lang w:val="zh-CN" w:eastAsia="zh-CN" w:bidi="zh-CN"/>
              </w:rPr>
            </w:pPr>
            <w:r>
              <w:rPr>
                <w:rFonts w:hint="default" w:ascii="Times New Roman" w:hAnsi="Times New Roman" w:eastAsia="仿宋_GB2312" w:cs="Times New Roman"/>
                <w:color w:val="auto"/>
                <w:sz w:val="21"/>
                <w:szCs w:val="21"/>
              </w:rPr>
              <w:t>永久占地</w:t>
            </w:r>
          </w:p>
        </w:tc>
        <w:tc>
          <w:tcPr>
            <w:tcW w:w="1071"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lang w:val="zh-CN" w:eastAsia="zh-CN" w:bidi="zh-CN"/>
              </w:rPr>
            </w:pPr>
            <w:r>
              <w:rPr>
                <w:rFonts w:hint="default" w:ascii="Times New Roman" w:hAnsi="Times New Roman" w:eastAsia="仿宋_GB2312" w:cs="Times New Roman"/>
                <w:color w:val="auto"/>
                <w:spacing w:val="-1"/>
                <w:sz w:val="21"/>
                <w:szCs w:val="21"/>
              </w:rPr>
              <w:t>临时占地</w:t>
            </w:r>
          </w:p>
        </w:tc>
        <w:tc>
          <w:tcPr>
            <w:tcW w:w="975"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lang w:val="zh-CN" w:eastAsia="zh-CN" w:bidi="zh-CN"/>
              </w:rPr>
            </w:pPr>
            <w:r>
              <w:rPr>
                <w:rFonts w:hint="default" w:ascii="Times New Roman" w:hAnsi="Times New Roman" w:eastAsia="仿宋_GB2312" w:cs="Times New Roman"/>
                <w:color w:val="auto"/>
                <w:sz w:val="21"/>
                <w:szCs w:val="21"/>
              </w:rPr>
              <w:t>合计</w:t>
            </w:r>
          </w:p>
        </w:tc>
        <w:tc>
          <w:tcPr>
            <w:tcW w:w="1083"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挖方</w:t>
            </w:r>
          </w:p>
        </w:tc>
        <w:tc>
          <w:tcPr>
            <w:tcW w:w="985"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填方</w:t>
            </w:r>
          </w:p>
        </w:tc>
        <w:tc>
          <w:tcPr>
            <w:tcW w:w="1061"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借方</w:t>
            </w:r>
          </w:p>
        </w:tc>
        <w:tc>
          <w:tcPr>
            <w:tcW w:w="1060"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余方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color w:val="auto"/>
                <w:sz w:val="21"/>
                <w:szCs w:val="21"/>
              </w:rPr>
              <w:t>工程建设区</w:t>
            </w:r>
          </w:p>
        </w:tc>
        <w:tc>
          <w:tcPr>
            <w:tcW w:w="1039"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lang w:val="en-US" w:eastAsia="zh-CN" w:bidi="zh-CN"/>
              </w:rPr>
            </w:pPr>
            <w:r>
              <w:rPr>
                <w:rFonts w:hint="eastAsia" w:ascii="Times New Roman" w:hAnsi="Times New Roman" w:eastAsia="仿宋_GB2312" w:cs="Times New Roman"/>
                <w:color w:val="auto"/>
                <w:sz w:val="21"/>
                <w:szCs w:val="21"/>
                <w:lang w:val="en-US" w:eastAsia="zh-CN"/>
              </w:rPr>
              <w:t>0.67</w:t>
            </w:r>
          </w:p>
        </w:tc>
        <w:tc>
          <w:tcPr>
            <w:tcW w:w="1071"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lang w:val="zh-CN" w:eastAsia="zh-CN" w:bidi="zh-CN"/>
              </w:rPr>
            </w:pPr>
          </w:p>
        </w:tc>
        <w:tc>
          <w:tcPr>
            <w:tcW w:w="975"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lang w:val="en-US" w:eastAsia="zh-CN" w:bidi="zh-CN"/>
              </w:rPr>
            </w:pPr>
            <w:r>
              <w:rPr>
                <w:rFonts w:hint="eastAsia" w:ascii="Times New Roman" w:hAnsi="Times New Roman" w:eastAsia="仿宋_GB2312" w:cs="Times New Roman"/>
                <w:color w:val="auto"/>
                <w:sz w:val="21"/>
                <w:szCs w:val="21"/>
                <w:lang w:val="en-US" w:eastAsia="zh-CN"/>
              </w:rPr>
              <w:t>0.67</w:t>
            </w:r>
          </w:p>
        </w:tc>
        <w:tc>
          <w:tcPr>
            <w:tcW w:w="1083"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highlight w:val="none"/>
                <w:lang w:val="en-US" w:eastAsia="zh-CN" w:bidi="zh-CN"/>
              </w:rPr>
            </w:pPr>
            <w:r>
              <w:rPr>
                <w:rFonts w:hint="eastAsia" w:ascii="Times New Roman" w:hAnsi="Times New Roman" w:eastAsia="仿宋_GB2312" w:cs="Times New Roman"/>
                <w:color w:val="auto"/>
                <w:sz w:val="21"/>
                <w:szCs w:val="21"/>
                <w:highlight w:val="none"/>
                <w:lang w:val="en-US" w:eastAsia="zh-CN"/>
              </w:rPr>
              <w:t>0.10</w:t>
            </w:r>
          </w:p>
        </w:tc>
        <w:tc>
          <w:tcPr>
            <w:tcW w:w="985" w:type="dxa"/>
            <w:tcBorders>
              <w:tl2br w:val="nil"/>
              <w:tr2bl w:val="nil"/>
            </w:tcBorders>
            <w:noWrap w:val="0"/>
            <w:vAlign w:val="center"/>
          </w:tcPr>
          <w:p>
            <w:pPr>
              <w:pStyle w:val="92"/>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仿宋_GB2312" w:cs="Times New Roman"/>
                <w:color w:val="auto"/>
                <w:sz w:val="21"/>
                <w:szCs w:val="21"/>
                <w:highlight w:val="none"/>
                <w:lang w:val="en-US" w:eastAsia="zh-CN" w:bidi="zh-CN"/>
              </w:rPr>
            </w:pPr>
            <w:r>
              <w:rPr>
                <w:rFonts w:hint="eastAsia" w:ascii="Times New Roman" w:hAnsi="Times New Roman" w:eastAsia="仿宋_GB2312" w:cs="Times New Roman"/>
                <w:color w:val="auto"/>
                <w:sz w:val="21"/>
                <w:szCs w:val="21"/>
                <w:highlight w:val="none"/>
                <w:lang w:val="en-US" w:eastAsia="zh-CN"/>
              </w:rPr>
              <w:t>0.10</w:t>
            </w:r>
          </w:p>
        </w:tc>
        <w:tc>
          <w:tcPr>
            <w:tcW w:w="10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p>
        </w:tc>
        <w:tc>
          <w:tcPr>
            <w:tcW w:w="10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21"/>
                <w:szCs w:val="21"/>
                <w:vertAlign w:val="baseline"/>
              </w:rPr>
            </w:pPr>
          </w:p>
        </w:tc>
      </w:tr>
    </w:tbl>
    <w:p>
      <w:pPr>
        <w:spacing w:line="360" w:lineRule="auto"/>
        <w:ind w:firstLine="480" w:firstLineChars="200"/>
        <w:jc w:val="both"/>
        <w:rPr>
          <w:rFonts w:hint="eastAsia" w:ascii="Times New Roman" w:hAnsi="Times New Roman" w:eastAsia="仿宋_GB2312" w:cs="Times New Roman"/>
          <w:color w:val="auto"/>
          <w:szCs w:val="24"/>
          <w:highlight w:val="none"/>
          <w:lang w:val="en-US" w:eastAsia="zh-CN"/>
        </w:rPr>
      </w:pPr>
    </w:p>
    <w:p>
      <w:pPr>
        <w:spacing w:line="360" w:lineRule="auto"/>
        <w:ind w:firstLine="480" w:firstLineChars="200"/>
        <w:jc w:val="both"/>
        <w:rPr>
          <w:rFonts w:hint="default" w:ascii="Times New Roman" w:hAnsi="Times New Roman" w:eastAsia="仿宋_GB2312" w:cs="Times New Roman"/>
          <w:color w:val="auto"/>
          <w:szCs w:val="24"/>
          <w:highlight w:val="none"/>
          <w:lang w:val="en-US" w:eastAsia="zh-CN"/>
        </w:rPr>
      </w:pPr>
      <w:r>
        <w:rPr>
          <w:rFonts w:hint="eastAsia" w:ascii="Times New Roman" w:hAnsi="Times New Roman" w:eastAsia="仿宋_GB2312" w:cs="Times New Roman"/>
          <w:color w:val="auto"/>
          <w:szCs w:val="24"/>
          <w:highlight w:val="none"/>
          <w:lang w:val="en-US" w:eastAsia="zh-CN"/>
        </w:rPr>
        <w:t>2、原辅材料</w:t>
      </w:r>
    </w:p>
    <w:p>
      <w:pPr>
        <w:spacing w:line="360" w:lineRule="auto"/>
        <w:ind w:firstLine="480" w:firstLineChars="200"/>
        <w:jc w:val="both"/>
        <w:rPr>
          <w:rFonts w:hint="eastAsia" w:ascii="Times New Roman" w:hAnsi="Times New Roman" w:eastAsia="仿宋_GB2312" w:cs="Times New Roman"/>
          <w:color w:val="auto"/>
          <w:szCs w:val="24"/>
          <w:highlight w:val="none"/>
          <w:lang w:eastAsia="zh-CN"/>
        </w:rPr>
      </w:pPr>
      <w:r>
        <w:rPr>
          <w:rFonts w:hint="eastAsia" w:ascii="Times New Roman" w:hAnsi="Times New Roman" w:eastAsia="仿宋_GB2312" w:cs="Times New Roman"/>
          <w:color w:val="auto"/>
          <w:szCs w:val="24"/>
          <w:highlight w:val="none"/>
          <w:lang w:eastAsia="zh-CN"/>
        </w:rPr>
        <w:t>根据建设单位提供的资料，本项目主要消耗的原辅材料清单详见表2-</w:t>
      </w:r>
      <w:r>
        <w:rPr>
          <w:rFonts w:hint="eastAsia" w:ascii="Times New Roman" w:hAnsi="Times New Roman" w:eastAsia="仿宋_GB2312" w:cs="Times New Roman"/>
          <w:color w:val="auto"/>
          <w:szCs w:val="24"/>
          <w:highlight w:val="none"/>
          <w:lang w:val="en-US" w:eastAsia="zh-CN"/>
        </w:rPr>
        <w:t>2</w:t>
      </w:r>
      <w:r>
        <w:rPr>
          <w:rFonts w:hint="eastAsia" w:ascii="Times New Roman" w:hAnsi="Times New Roman" w:eastAsia="仿宋_GB2312" w:cs="Times New Roman"/>
          <w:color w:val="auto"/>
          <w:szCs w:val="24"/>
          <w:highlight w:val="none"/>
          <w:lang w:eastAsia="zh-CN"/>
        </w:rPr>
        <w:t>。</w:t>
      </w:r>
    </w:p>
    <w:p>
      <w:pPr>
        <w:spacing w:line="360" w:lineRule="auto"/>
        <w:ind w:firstLine="482" w:firstLineChars="200"/>
        <w:jc w:val="center"/>
        <w:rPr>
          <w:rFonts w:hint="eastAsia" w:ascii="Times New Roman" w:hAnsi="Times New Roman" w:eastAsia="仿宋_GB2312" w:cs="Times New Roman"/>
          <w:b/>
          <w:bCs/>
          <w:color w:val="auto"/>
          <w:szCs w:val="24"/>
          <w:highlight w:val="none"/>
          <w:lang w:eastAsia="zh-CN"/>
        </w:rPr>
      </w:pPr>
      <w:r>
        <w:rPr>
          <w:rFonts w:hint="eastAsia" w:ascii="Times New Roman" w:hAnsi="Times New Roman" w:eastAsia="仿宋_GB2312" w:cs="Times New Roman"/>
          <w:b/>
          <w:bCs/>
          <w:color w:val="auto"/>
          <w:szCs w:val="24"/>
          <w:highlight w:val="none"/>
          <w:lang w:eastAsia="zh-CN"/>
        </w:rPr>
        <w:t>表2-</w:t>
      </w:r>
      <w:r>
        <w:rPr>
          <w:rFonts w:hint="eastAsia" w:ascii="Times New Roman" w:hAnsi="Times New Roman" w:eastAsia="仿宋_GB2312" w:cs="Times New Roman"/>
          <w:b/>
          <w:bCs/>
          <w:color w:val="auto"/>
          <w:szCs w:val="24"/>
          <w:highlight w:val="none"/>
          <w:lang w:val="en-US" w:eastAsia="zh-CN"/>
        </w:rPr>
        <w:t>2</w:t>
      </w:r>
      <w:r>
        <w:rPr>
          <w:rFonts w:hint="eastAsia" w:ascii="Times New Roman" w:hAnsi="Times New Roman" w:eastAsia="仿宋_GB2312" w:cs="Times New Roman"/>
          <w:b/>
          <w:bCs/>
          <w:color w:val="auto"/>
          <w:szCs w:val="24"/>
          <w:highlight w:val="none"/>
          <w:lang w:eastAsia="zh-CN"/>
        </w:rPr>
        <w:t xml:space="preserve">   项目原辅材料一览表</w:t>
      </w:r>
    </w:p>
    <w:tbl>
      <w:tblPr>
        <w:tblStyle w:val="24"/>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892"/>
        <w:gridCol w:w="1264"/>
        <w:gridCol w:w="950"/>
        <w:gridCol w:w="1264"/>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序号</w:t>
            </w:r>
          </w:p>
        </w:tc>
        <w:tc>
          <w:tcPr>
            <w:tcW w:w="189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产品</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项目</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单位</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数量</w:t>
            </w:r>
          </w:p>
        </w:tc>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1</w:t>
            </w:r>
          </w:p>
        </w:tc>
        <w:tc>
          <w:tcPr>
            <w:tcW w:w="189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商品混凝土</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水泥</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t/a</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45000</w:t>
            </w:r>
          </w:p>
        </w:tc>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2</w:t>
            </w:r>
          </w:p>
        </w:tc>
        <w:tc>
          <w:tcPr>
            <w:tcW w:w="189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沙子</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t/a</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55000</w:t>
            </w:r>
          </w:p>
        </w:tc>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3</w:t>
            </w:r>
          </w:p>
        </w:tc>
        <w:tc>
          <w:tcPr>
            <w:tcW w:w="189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石子</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t/a</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125000</w:t>
            </w:r>
          </w:p>
        </w:tc>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来自碎石工序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4</w:t>
            </w:r>
          </w:p>
        </w:tc>
        <w:tc>
          <w:tcPr>
            <w:tcW w:w="189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外加剂</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t/a</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135</w:t>
            </w:r>
          </w:p>
        </w:tc>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5</w:t>
            </w:r>
          </w:p>
        </w:tc>
        <w:tc>
          <w:tcPr>
            <w:tcW w:w="189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粉煤灰</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t/a</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1800</w:t>
            </w:r>
          </w:p>
        </w:tc>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6</w:t>
            </w:r>
          </w:p>
        </w:tc>
        <w:tc>
          <w:tcPr>
            <w:tcW w:w="189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稳定土</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石子</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t/a</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59000</w:t>
            </w:r>
          </w:p>
        </w:tc>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来自碎石工序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7</w:t>
            </w:r>
          </w:p>
        </w:tc>
        <w:tc>
          <w:tcPr>
            <w:tcW w:w="189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石粉</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t/a</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21000</w:t>
            </w:r>
          </w:p>
        </w:tc>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8</w:t>
            </w:r>
          </w:p>
        </w:tc>
        <w:tc>
          <w:tcPr>
            <w:tcW w:w="189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水泥</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t/a</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72000</w:t>
            </w:r>
          </w:p>
        </w:tc>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9</w:t>
            </w:r>
          </w:p>
        </w:tc>
        <w:tc>
          <w:tcPr>
            <w:tcW w:w="189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碎石</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原石</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t/a</w:t>
            </w:r>
          </w:p>
        </w:tc>
        <w:tc>
          <w:tcPr>
            <w:tcW w:w="126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299000</w:t>
            </w:r>
          </w:p>
        </w:tc>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eastAsia="zh-CN"/>
              </w:rPr>
              <w:t>外购</w:t>
            </w:r>
            <w:r>
              <w:rPr>
                <w:rFonts w:hint="eastAsia" w:eastAsia="仿宋_GB2312" w:cs="Times New Roman"/>
                <w:color w:val="auto"/>
                <w:sz w:val="21"/>
                <w:szCs w:val="21"/>
                <w:highlight w:val="none"/>
                <w:lang w:val="en-US" w:eastAsia="zh-CN"/>
              </w:rPr>
              <w:t>采石场</w:t>
            </w:r>
          </w:p>
        </w:tc>
      </w:tr>
    </w:tbl>
    <w:p>
      <w:pPr>
        <w:spacing w:line="360" w:lineRule="auto"/>
        <w:ind w:firstLine="480" w:firstLineChars="200"/>
        <w:jc w:val="both"/>
        <w:rPr>
          <w:rFonts w:hint="default" w:ascii="Times New Roman" w:hAnsi="Times New Roman" w:eastAsia="仿宋_GB2312" w:cs="Times New Roman"/>
          <w:color w:val="auto"/>
          <w:szCs w:val="24"/>
          <w:highlight w:val="none"/>
          <w:lang w:val="en-US" w:eastAsia="zh-CN"/>
        </w:rPr>
      </w:pPr>
    </w:p>
    <w:p>
      <w:pPr>
        <w:spacing w:line="360" w:lineRule="auto"/>
        <w:jc w:val="both"/>
        <w:rPr>
          <w:rFonts w:hint="default" w:eastAsia="仿宋_GB2312"/>
          <w:color w:val="auto"/>
          <w:szCs w:val="24"/>
          <w:lang w:val="en-US" w:eastAsia="zh-CN"/>
        </w:rPr>
      </w:pPr>
      <w:r>
        <w:rPr>
          <w:rFonts w:eastAsia="仿宋_GB2312"/>
          <w:b/>
          <w:color w:val="auto"/>
          <w:szCs w:val="24"/>
        </w:rPr>
        <w:t>2.1.</w:t>
      </w:r>
      <w:r>
        <w:rPr>
          <w:rFonts w:hint="eastAsia" w:eastAsia="仿宋_GB2312"/>
          <w:b/>
          <w:color w:val="auto"/>
          <w:szCs w:val="24"/>
          <w:lang w:val="en-US" w:eastAsia="zh-CN"/>
        </w:rPr>
        <w:t>3</w:t>
      </w:r>
      <w:r>
        <w:rPr>
          <w:rFonts w:eastAsia="仿宋_GB2312"/>
          <w:b/>
          <w:color w:val="auto"/>
          <w:szCs w:val="24"/>
        </w:rPr>
        <w:t>项目</w:t>
      </w:r>
      <w:r>
        <w:rPr>
          <w:rFonts w:hint="eastAsia" w:eastAsia="仿宋_GB2312"/>
          <w:b/>
          <w:color w:val="auto"/>
          <w:szCs w:val="24"/>
          <w:lang w:val="en-US" w:eastAsia="zh-CN"/>
        </w:rPr>
        <w:t>区现状</w:t>
      </w:r>
    </w:p>
    <w:p>
      <w:pPr>
        <w:spacing w:line="360" w:lineRule="auto"/>
        <w:ind w:firstLine="480" w:firstLineChars="200"/>
        <w:rPr>
          <w:rFonts w:hint="default" w:eastAsia="仿宋_GB2312"/>
          <w:color w:val="auto"/>
          <w:lang w:val="en-US" w:eastAsia="zh-CN"/>
        </w:rPr>
      </w:pPr>
      <w:r>
        <w:rPr>
          <w:rFonts w:hint="eastAsia" w:eastAsia="仿宋_GB2312"/>
          <w:color w:val="auto"/>
          <w:szCs w:val="24"/>
          <w:highlight w:val="none"/>
          <w:lang w:val="en-US" w:eastAsia="zh-CN"/>
        </w:rPr>
        <w:t>本项目</w:t>
      </w:r>
      <w:r>
        <w:rPr>
          <w:rFonts w:hint="default" w:eastAsia="仿宋_GB2312"/>
          <w:color w:val="auto"/>
          <w:szCs w:val="24"/>
          <w:highlight w:val="none"/>
          <w:lang w:eastAsia="zh-CN"/>
        </w:rPr>
        <w:t>租赁原民富砖瓦陶瓷厂空地</w:t>
      </w:r>
      <w:r>
        <w:rPr>
          <w:rFonts w:hint="eastAsia" w:eastAsia="仿宋_GB2312"/>
          <w:color w:val="auto"/>
          <w:szCs w:val="24"/>
          <w:highlight w:val="none"/>
          <w:lang w:eastAsia="zh-CN"/>
        </w:rPr>
        <w:t>，</w:t>
      </w:r>
      <w:r>
        <w:rPr>
          <w:rFonts w:eastAsia="仿宋_GB2312"/>
          <w:color w:val="auto"/>
          <w:szCs w:val="24"/>
        </w:rPr>
        <w:t>占地类型为</w:t>
      </w:r>
      <w:r>
        <w:rPr>
          <w:rFonts w:hint="eastAsia" w:ascii="Times New Roman" w:hAnsi="Times New Roman" w:eastAsia="仿宋_GB2312" w:cs="Times New Roman"/>
          <w:color w:val="auto"/>
          <w:sz w:val="24"/>
          <w:highlight w:val="none"/>
          <w:lang w:val="en-US" w:eastAsia="zh-CN"/>
        </w:rPr>
        <w:t>工矿仓储用地</w:t>
      </w:r>
      <w:r>
        <w:rPr>
          <w:rFonts w:eastAsia="仿宋_GB2312"/>
          <w:bCs/>
          <w:color w:val="auto"/>
          <w:szCs w:val="24"/>
        </w:rPr>
        <w:t>。</w:t>
      </w:r>
      <w:r>
        <w:rPr>
          <w:rFonts w:hint="eastAsia" w:eastAsia="仿宋_GB2312"/>
          <w:color w:val="auto"/>
          <w:szCs w:val="24"/>
          <w:highlight w:val="none"/>
          <w:lang w:val="en-US" w:eastAsia="zh-CN"/>
        </w:rPr>
        <w:t>根据调查，本项目施工前占地范围内为砂石地面，无植被覆盖。</w:t>
      </w:r>
      <w:r>
        <w:rPr>
          <w:rFonts w:hint="default" w:ascii="Times New Roman" w:hAnsi="Times New Roman" w:eastAsia="仿宋_GB2312" w:cs="Times New Roman"/>
          <w:color w:val="auto"/>
        </w:rPr>
        <w:t>项目建设时将施工生产生活区布置在项目区内，在开工前对项目区实际占地范围使用彩钢板进行了围挡。</w:t>
      </w:r>
    </w:p>
    <w:p>
      <w:pPr>
        <w:spacing w:line="360" w:lineRule="auto"/>
        <w:ind w:firstLine="480" w:firstLineChars="200"/>
        <w:rPr>
          <w:rFonts w:hint="eastAsia" w:eastAsia="仿宋_GB2312"/>
          <w:bCs/>
          <w:color w:val="auto"/>
          <w:sz w:val="24"/>
          <w:szCs w:val="24"/>
          <w:lang w:val="en-US" w:eastAsia="zh-CN"/>
        </w:rPr>
      </w:pPr>
      <w:r>
        <w:rPr>
          <w:rFonts w:eastAsia="仿宋_GB2312"/>
          <w:color w:val="auto"/>
        </w:rPr>
        <w:t>工程建设情况：</w:t>
      </w:r>
      <w:r>
        <w:rPr>
          <w:rFonts w:eastAsia="仿宋_GB2312"/>
          <w:bCs/>
          <w:color w:val="auto"/>
          <w:sz w:val="24"/>
          <w:szCs w:val="24"/>
        </w:rPr>
        <w:t>本项目</w:t>
      </w:r>
      <w:r>
        <w:rPr>
          <w:rFonts w:hint="default" w:eastAsia="仿宋_GB2312"/>
          <w:color w:val="auto"/>
          <w:sz w:val="24"/>
          <w:szCs w:val="24"/>
          <w:highlight w:val="none"/>
          <w:lang w:val="en-US" w:eastAsia="zh-CN"/>
        </w:rPr>
        <w:t>混凝土搅拌站生产线、稳定土搅拌站生产线、碎石生产线，办公室、试验室</w:t>
      </w:r>
      <w:r>
        <w:rPr>
          <w:rFonts w:hint="eastAsia" w:eastAsia="仿宋_GB2312"/>
          <w:color w:val="auto"/>
          <w:sz w:val="24"/>
          <w:szCs w:val="24"/>
          <w:highlight w:val="none"/>
          <w:lang w:val="en-US" w:eastAsia="zh-CN"/>
        </w:rPr>
        <w:t>均已建成</w:t>
      </w:r>
      <w:r>
        <w:rPr>
          <w:rFonts w:hint="eastAsia" w:eastAsia="仿宋_GB2312"/>
          <w:bCs/>
          <w:color w:val="auto"/>
          <w:sz w:val="24"/>
          <w:szCs w:val="24"/>
          <w:lang w:val="en-US" w:eastAsia="zh-CN"/>
        </w:rPr>
        <w:t>。</w:t>
      </w:r>
    </w:p>
    <w:p>
      <w:pPr>
        <w:spacing w:line="360" w:lineRule="auto"/>
        <w:ind w:firstLine="480" w:firstLineChars="200"/>
        <w:rPr>
          <w:rFonts w:hint="eastAsia" w:eastAsia="仿宋_GB2312"/>
          <w:color w:val="auto"/>
          <w:lang w:val="en-US" w:eastAsia="zh-CN"/>
        </w:rPr>
      </w:pPr>
      <w:r>
        <w:rPr>
          <w:rFonts w:eastAsia="仿宋_GB2312"/>
          <w:color w:val="auto"/>
        </w:rPr>
        <w:t>水土保持措施实施情况：</w:t>
      </w:r>
      <w:r>
        <w:rPr>
          <w:rFonts w:hint="eastAsia" w:eastAsia="仿宋_GB2312"/>
          <w:color w:val="auto"/>
          <w:lang w:val="en-US" w:eastAsia="zh-CN"/>
        </w:rPr>
        <w:t>已实施临时堆土密目网苫盖及泥浆池措施。</w:t>
      </w:r>
    </w:p>
    <w:p>
      <w:pPr>
        <w:spacing w:line="360" w:lineRule="auto"/>
        <w:jc w:val="center"/>
        <w:rPr>
          <w:rFonts w:hint="eastAsia" w:eastAsia="仿宋_GB2312"/>
          <w:color w:val="auto"/>
          <w:lang w:val="en-US" w:eastAsia="zh-CN"/>
        </w:rPr>
      </w:pPr>
      <w:r>
        <w:rPr>
          <w:rFonts w:hint="eastAsia" w:eastAsia="仿宋_GB2312"/>
          <w:color w:val="auto"/>
          <w:lang w:val="en-US" w:eastAsia="zh-CN"/>
        </w:rPr>
        <w:drawing>
          <wp:inline distT="0" distB="0" distL="114300" distR="114300">
            <wp:extent cx="2445385" cy="1834515"/>
            <wp:effectExtent l="0" t="0" r="12065" b="13335"/>
            <wp:docPr id="1" name="图片 1" descr="27e0d86ca454283596733b85e83c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7e0d86ca454283596733b85e83c61b"/>
                    <pic:cNvPicPr>
                      <a:picLocks noChangeAspect="1"/>
                    </pic:cNvPicPr>
                  </pic:nvPicPr>
                  <pic:blipFill>
                    <a:blip r:embed="rId30"/>
                    <a:stretch>
                      <a:fillRect/>
                    </a:stretch>
                  </pic:blipFill>
                  <pic:spPr>
                    <a:xfrm>
                      <a:off x="0" y="0"/>
                      <a:ext cx="2445385" cy="1834515"/>
                    </a:xfrm>
                    <a:prstGeom prst="rect">
                      <a:avLst/>
                    </a:prstGeom>
                  </pic:spPr>
                </pic:pic>
              </a:graphicData>
            </a:graphic>
          </wp:inline>
        </w:drawing>
      </w:r>
      <w:r>
        <w:rPr>
          <w:rFonts w:hint="eastAsia" w:eastAsia="仿宋_GB2312"/>
          <w:color w:val="auto"/>
          <w:lang w:val="en-US" w:eastAsia="zh-CN"/>
        </w:rPr>
        <w:t xml:space="preserve"> </w:t>
      </w:r>
      <w:r>
        <w:rPr>
          <w:rFonts w:hint="eastAsia" w:eastAsia="仿宋_GB2312"/>
          <w:color w:val="auto"/>
          <w:lang w:val="en-US" w:eastAsia="zh-CN"/>
        </w:rPr>
        <w:drawing>
          <wp:inline distT="0" distB="0" distL="114300" distR="114300">
            <wp:extent cx="2453005" cy="1840865"/>
            <wp:effectExtent l="0" t="0" r="4445" b="6985"/>
            <wp:docPr id="2" name="图片 2" descr="a28938deb87e6eb9706b13703274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28938deb87e6eb9706b13703274d33"/>
                    <pic:cNvPicPr>
                      <a:picLocks noChangeAspect="1"/>
                    </pic:cNvPicPr>
                  </pic:nvPicPr>
                  <pic:blipFill>
                    <a:blip r:embed="rId31"/>
                    <a:stretch>
                      <a:fillRect/>
                    </a:stretch>
                  </pic:blipFill>
                  <pic:spPr>
                    <a:xfrm>
                      <a:off x="0" y="0"/>
                      <a:ext cx="2453005" cy="1840865"/>
                    </a:xfrm>
                    <a:prstGeom prst="rect">
                      <a:avLst/>
                    </a:prstGeom>
                  </pic:spPr>
                </pic:pic>
              </a:graphicData>
            </a:graphic>
          </wp:inline>
        </w:drawing>
      </w:r>
    </w:p>
    <w:p>
      <w:pPr>
        <w:spacing w:line="360" w:lineRule="auto"/>
        <w:ind w:firstLine="482" w:firstLineChars="200"/>
        <w:jc w:val="center"/>
        <w:rPr>
          <w:rFonts w:hint="default" w:eastAsia="仿宋_GB2312"/>
          <w:b/>
          <w:bCs/>
          <w:color w:val="auto"/>
          <w:lang w:val="en-US" w:eastAsia="zh-CN"/>
        </w:rPr>
      </w:pPr>
      <w:r>
        <w:rPr>
          <w:rFonts w:hint="eastAsia" w:eastAsia="仿宋_GB2312"/>
          <w:b/>
          <w:bCs/>
          <w:color w:val="auto"/>
          <w:lang w:val="en-US" w:eastAsia="zh-CN"/>
        </w:rPr>
        <w:t>项目区现状</w:t>
      </w:r>
    </w:p>
    <w:p>
      <w:pPr>
        <w:spacing w:line="360" w:lineRule="auto"/>
        <w:jc w:val="both"/>
        <w:rPr>
          <w:rFonts w:hint="default" w:eastAsia="仿宋_GB2312"/>
          <w:b/>
          <w:color w:val="auto"/>
          <w:szCs w:val="24"/>
          <w:highlight w:val="none"/>
          <w:lang w:val="en-US" w:eastAsia="zh-CN"/>
        </w:rPr>
      </w:pPr>
      <w:r>
        <w:rPr>
          <w:rFonts w:eastAsia="仿宋_GB2312"/>
          <w:b/>
          <w:color w:val="auto"/>
          <w:szCs w:val="24"/>
          <w:highlight w:val="none"/>
        </w:rPr>
        <w:t>2.1.</w:t>
      </w:r>
      <w:r>
        <w:rPr>
          <w:rFonts w:hint="eastAsia" w:eastAsia="仿宋_GB2312"/>
          <w:b/>
          <w:color w:val="auto"/>
          <w:szCs w:val="24"/>
          <w:highlight w:val="none"/>
          <w:lang w:val="en-US" w:eastAsia="zh-CN"/>
        </w:rPr>
        <w:t>4项目组成</w:t>
      </w:r>
    </w:p>
    <w:p>
      <w:pPr>
        <w:spacing w:line="360" w:lineRule="auto"/>
        <w:ind w:firstLine="482" w:firstLineChars="200"/>
        <w:jc w:val="both"/>
        <w:rPr>
          <w:rFonts w:hint="default" w:eastAsia="仿宋_GB2312"/>
          <w:b/>
          <w:color w:val="auto"/>
          <w:szCs w:val="24"/>
          <w:highlight w:val="none"/>
          <w:lang w:val="en-US" w:eastAsia="zh-CN"/>
        </w:rPr>
      </w:pPr>
      <w:r>
        <w:rPr>
          <w:rFonts w:hint="eastAsia" w:eastAsia="仿宋_GB2312"/>
          <w:b/>
          <w:color w:val="auto"/>
          <w:szCs w:val="24"/>
          <w:highlight w:val="none"/>
          <w:lang w:val="en-US" w:eastAsia="zh-CN"/>
        </w:rPr>
        <w:t>1、平面布置</w:t>
      </w:r>
    </w:p>
    <w:p>
      <w:pPr>
        <w:spacing w:line="360" w:lineRule="auto"/>
        <w:ind w:firstLine="480" w:firstLineChars="200"/>
        <w:rPr>
          <w:rFonts w:hint="default" w:eastAsia="仿宋_GB2312"/>
          <w:color w:val="auto"/>
          <w:highlight w:val="none"/>
          <w:lang w:val="en-US" w:eastAsia="zh-CN"/>
        </w:rPr>
      </w:pPr>
      <w:r>
        <w:rPr>
          <w:rFonts w:eastAsia="仿宋_GB2312"/>
          <w:color w:val="auto"/>
          <w:szCs w:val="24"/>
          <w:highlight w:val="none"/>
        </w:rPr>
        <w:t>本项目总占地面积</w:t>
      </w:r>
      <w:r>
        <w:rPr>
          <w:rFonts w:hint="eastAsia" w:eastAsia="仿宋_GB2312"/>
          <w:color w:val="auto"/>
          <w:szCs w:val="24"/>
          <w:highlight w:val="none"/>
          <w:lang w:val="en-US" w:eastAsia="zh-CN"/>
        </w:rPr>
        <w:t>6664.00</w:t>
      </w:r>
      <w:r>
        <w:rPr>
          <w:rFonts w:eastAsia="仿宋_GB2312"/>
          <w:color w:val="auto"/>
          <w:szCs w:val="24"/>
          <w:highlight w:val="none"/>
        </w:rPr>
        <w:t>m²</w:t>
      </w:r>
      <w:r>
        <w:rPr>
          <w:rFonts w:eastAsia="仿宋_GB2312"/>
          <w:color w:val="auto"/>
          <w:highlight w:val="none"/>
        </w:rPr>
        <w:t>，</w:t>
      </w:r>
      <w:r>
        <w:rPr>
          <w:rFonts w:hint="eastAsia" w:eastAsia="仿宋_GB2312"/>
          <w:color w:val="auto"/>
          <w:highlight w:val="none"/>
          <w:lang w:val="en-US" w:eastAsia="zh-CN"/>
        </w:rPr>
        <w:t>总建筑面积1100m</w:t>
      </w:r>
      <w:r>
        <w:rPr>
          <w:rFonts w:hint="eastAsia" w:eastAsia="仿宋_GB2312"/>
          <w:color w:val="auto"/>
          <w:highlight w:val="none"/>
          <w:vertAlign w:val="superscript"/>
          <w:lang w:val="en-US" w:eastAsia="zh-CN"/>
        </w:rPr>
        <w:t>2</w:t>
      </w:r>
      <w:r>
        <w:rPr>
          <w:rFonts w:hint="eastAsia" w:eastAsia="仿宋_GB2312"/>
          <w:color w:val="auto"/>
          <w:highlight w:val="none"/>
          <w:lang w:val="en-US" w:eastAsia="zh-CN"/>
        </w:rPr>
        <w:t>，</w:t>
      </w:r>
      <w:r>
        <w:rPr>
          <w:rFonts w:hint="eastAsia" w:eastAsia="仿宋_GB2312"/>
          <w:color w:val="auto"/>
          <w:highlight w:val="none"/>
          <w:lang w:val="en-US" w:eastAsia="zh-CN"/>
        </w:rPr>
        <w:t>其中</w:t>
      </w:r>
      <w:r>
        <w:rPr>
          <w:rFonts w:hint="eastAsia" w:eastAsia="仿宋_GB2312"/>
          <w:color w:val="auto"/>
          <w:szCs w:val="24"/>
          <w:highlight w:val="none"/>
          <w:lang w:val="en-US" w:eastAsia="zh-CN"/>
        </w:rPr>
        <w:t>建（构）筑物基底面积1219</w:t>
      </w:r>
      <w:r>
        <w:rPr>
          <w:rFonts w:hint="eastAsia" w:eastAsia="仿宋_GB2312"/>
          <w:color w:val="auto"/>
          <w:szCs w:val="24"/>
          <w:highlight w:val="none"/>
          <w:lang w:eastAsia="zh-CN"/>
        </w:rPr>
        <w:t>m</w:t>
      </w:r>
      <w:r>
        <w:rPr>
          <w:rFonts w:hint="eastAsia" w:eastAsia="仿宋_GB2312"/>
          <w:color w:val="auto"/>
          <w:szCs w:val="24"/>
          <w:highlight w:val="none"/>
          <w:vertAlign w:val="superscript"/>
          <w:lang w:eastAsia="zh-CN"/>
        </w:rPr>
        <w:t>2</w:t>
      </w:r>
      <w:r>
        <w:rPr>
          <w:rFonts w:hint="eastAsia" w:eastAsia="仿宋_GB2312"/>
          <w:color w:val="auto"/>
          <w:szCs w:val="24"/>
          <w:highlight w:val="none"/>
          <w:lang w:eastAsia="zh-CN"/>
        </w:rPr>
        <w:t>，</w:t>
      </w:r>
      <w:r>
        <w:rPr>
          <w:rFonts w:hint="eastAsia" w:eastAsia="仿宋_GB2312"/>
          <w:color w:val="auto"/>
          <w:szCs w:val="24"/>
          <w:highlight w:val="none"/>
          <w:lang w:val="en-US" w:eastAsia="zh-CN"/>
        </w:rPr>
        <w:t>道路及硬化区域面积5445m</w:t>
      </w:r>
      <w:r>
        <w:rPr>
          <w:rFonts w:hint="eastAsia" w:eastAsia="仿宋_GB2312"/>
          <w:color w:val="auto"/>
          <w:szCs w:val="24"/>
          <w:highlight w:val="none"/>
          <w:vertAlign w:val="superscript"/>
          <w:lang w:val="en-US" w:eastAsia="zh-CN"/>
        </w:rPr>
        <w:t>2</w:t>
      </w:r>
      <w:r>
        <w:rPr>
          <w:rFonts w:hint="eastAsia" w:eastAsia="仿宋_GB2312"/>
          <w:color w:val="auto"/>
          <w:szCs w:val="24"/>
          <w:highlight w:val="none"/>
          <w:lang w:val="en-US" w:eastAsia="zh-CN"/>
        </w:rPr>
        <w:t>，无裸露地表。</w:t>
      </w:r>
      <w:r>
        <w:rPr>
          <w:rFonts w:eastAsia="仿宋_GB2312"/>
          <w:color w:val="auto"/>
          <w:highlight w:val="none"/>
        </w:rPr>
        <w:t>总体呈不规则多边形布置，</w:t>
      </w:r>
      <w:r>
        <w:rPr>
          <w:rFonts w:hint="eastAsia" w:eastAsia="仿宋_GB2312"/>
          <w:color w:val="auto"/>
          <w:highlight w:val="none"/>
          <w:lang w:val="en-US" w:eastAsia="zh-CN"/>
        </w:rPr>
        <w:t>办公室、试验室位于厂区东侧，混凝土搅拌站生产线位于厂区北侧，</w:t>
      </w:r>
      <w:r>
        <w:rPr>
          <w:rFonts w:hint="eastAsia" w:eastAsia="仿宋_GB2312"/>
          <w:color w:val="auto"/>
          <w:szCs w:val="24"/>
          <w:highlight w:val="none"/>
          <w:lang w:val="en-US" w:eastAsia="zh-CN"/>
        </w:rPr>
        <w:t>稳定土搅拌站生产线、碎石生产线位于厂区南侧，贮料场位于厂区中间。项目区内道路采用水泥混凝土硬化地面，其他硬化区域采取碎石铺设。</w:t>
      </w:r>
    </w:p>
    <w:p>
      <w:pPr>
        <w:spacing w:line="240" w:lineRule="auto"/>
        <w:jc w:val="center"/>
        <w:rPr>
          <w:rFonts w:eastAsia="仿宋_GB2312"/>
          <w:b/>
          <w:color w:val="auto"/>
          <w:szCs w:val="24"/>
          <w:vertAlign w:val="superscript"/>
        </w:rPr>
      </w:pPr>
      <w:r>
        <w:rPr>
          <w:rFonts w:eastAsia="仿宋_GB2312"/>
          <w:b/>
          <w:bCs/>
          <w:color w:val="auto"/>
          <w:szCs w:val="24"/>
        </w:rPr>
        <w:t xml:space="preserve">表2-3     主要建构筑物一览表     </w:t>
      </w:r>
      <w:r>
        <w:rPr>
          <w:rFonts w:eastAsia="仿宋_GB2312"/>
          <w:b/>
          <w:color w:val="auto"/>
          <w:szCs w:val="24"/>
        </w:rPr>
        <w:t>单位：m</w:t>
      </w:r>
      <w:r>
        <w:rPr>
          <w:rFonts w:eastAsia="仿宋_GB2312"/>
          <w:b/>
          <w:color w:val="auto"/>
          <w:szCs w:val="24"/>
          <w:vertAlign w:val="superscript"/>
        </w:rPr>
        <w:t>2</w:t>
      </w:r>
    </w:p>
    <w:tbl>
      <w:tblPr>
        <w:tblStyle w:val="24"/>
        <w:tblW w:w="8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163"/>
        <w:gridCol w:w="1464"/>
        <w:gridCol w:w="1310"/>
        <w:gridCol w:w="750"/>
        <w:gridCol w:w="1254"/>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noWrap/>
            <w:vAlign w:val="center"/>
          </w:tcPr>
          <w:p>
            <w:pPr>
              <w:spacing w:line="240" w:lineRule="exact"/>
              <w:jc w:val="center"/>
              <w:rPr>
                <w:rFonts w:hint="default" w:ascii="Times New Roman" w:hAnsi="Times New Roman" w:eastAsia="仿宋_GB2312" w:cs="Times New Roman"/>
                <w:b w:val="0"/>
                <w:bCs/>
                <w:color w:val="auto"/>
                <w:sz w:val="21"/>
                <w:szCs w:val="21"/>
              </w:rPr>
            </w:pPr>
            <w:r>
              <w:rPr>
                <w:rFonts w:hint="default" w:ascii="Times New Roman" w:hAnsi="Times New Roman" w:eastAsia="仿宋_GB2312" w:cs="Times New Roman"/>
                <w:b w:val="0"/>
                <w:bCs/>
                <w:color w:val="auto"/>
                <w:sz w:val="21"/>
                <w:szCs w:val="21"/>
              </w:rPr>
              <w:t>序号</w:t>
            </w:r>
          </w:p>
        </w:tc>
        <w:tc>
          <w:tcPr>
            <w:tcW w:w="2163" w:type="dxa"/>
            <w:noWrap/>
            <w:vAlign w:val="center"/>
          </w:tcPr>
          <w:p>
            <w:pPr>
              <w:spacing w:line="240" w:lineRule="exact"/>
              <w:jc w:val="center"/>
              <w:rPr>
                <w:rFonts w:hint="default" w:ascii="Times New Roman" w:hAnsi="Times New Roman" w:eastAsia="仿宋_GB2312" w:cs="Times New Roman"/>
                <w:b w:val="0"/>
                <w:bCs/>
                <w:color w:val="auto"/>
                <w:sz w:val="21"/>
                <w:szCs w:val="21"/>
              </w:rPr>
            </w:pPr>
            <w:r>
              <w:rPr>
                <w:rFonts w:hint="default" w:ascii="Times New Roman" w:hAnsi="Times New Roman" w:eastAsia="仿宋_GB2312" w:cs="Times New Roman"/>
                <w:b w:val="0"/>
                <w:bCs/>
                <w:color w:val="auto"/>
                <w:sz w:val="21"/>
                <w:szCs w:val="21"/>
              </w:rPr>
              <w:t>建筑物名称</w:t>
            </w:r>
          </w:p>
        </w:tc>
        <w:tc>
          <w:tcPr>
            <w:tcW w:w="1464" w:type="dxa"/>
            <w:noWrap/>
            <w:vAlign w:val="center"/>
          </w:tcPr>
          <w:p>
            <w:pPr>
              <w:spacing w:line="240" w:lineRule="exact"/>
              <w:jc w:val="center"/>
              <w:rPr>
                <w:rFonts w:hint="default" w:ascii="Times New Roman" w:hAnsi="Times New Roman" w:eastAsia="仿宋_GB2312" w:cs="Times New Roman"/>
                <w:b w:val="0"/>
                <w:bCs/>
                <w:color w:val="auto"/>
                <w:sz w:val="21"/>
                <w:szCs w:val="21"/>
              </w:rPr>
            </w:pPr>
            <w:r>
              <w:rPr>
                <w:rFonts w:hint="default" w:ascii="Times New Roman" w:hAnsi="Times New Roman" w:eastAsia="仿宋_GB2312" w:cs="Times New Roman"/>
                <w:b w:val="0"/>
                <w:bCs/>
                <w:color w:val="auto"/>
                <w:sz w:val="21"/>
                <w:szCs w:val="21"/>
              </w:rPr>
              <w:t>占地面积</w:t>
            </w:r>
          </w:p>
        </w:tc>
        <w:tc>
          <w:tcPr>
            <w:tcW w:w="1310" w:type="dxa"/>
            <w:noWrap w:val="0"/>
            <w:vAlign w:val="center"/>
          </w:tcPr>
          <w:p>
            <w:pPr>
              <w:spacing w:line="240" w:lineRule="exact"/>
              <w:jc w:val="center"/>
              <w:rPr>
                <w:rFonts w:hint="default" w:ascii="Times New Roman" w:hAnsi="Times New Roman" w:eastAsia="仿宋_GB2312" w:cs="Times New Roman"/>
                <w:b w:val="0"/>
                <w:bCs/>
                <w:color w:val="auto"/>
                <w:sz w:val="21"/>
                <w:szCs w:val="21"/>
              </w:rPr>
            </w:pPr>
            <w:r>
              <w:rPr>
                <w:rFonts w:hint="default" w:ascii="Times New Roman" w:hAnsi="Times New Roman" w:eastAsia="仿宋_GB2312" w:cs="Times New Roman"/>
                <w:b w:val="0"/>
                <w:bCs/>
                <w:color w:val="auto"/>
                <w:sz w:val="21"/>
                <w:szCs w:val="21"/>
              </w:rPr>
              <w:t>建筑面积</w:t>
            </w:r>
          </w:p>
        </w:tc>
        <w:tc>
          <w:tcPr>
            <w:tcW w:w="750" w:type="dxa"/>
            <w:noWrap/>
            <w:vAlign w:val="center"/>
          </w:tcPr>
          <w:p>
            <w:pPr>
              <w:spacing w:line="240" w:lineRule="exact"/>
              <w:jc w:val="center"/>
              <w:rPr>
                <w:rFonts w:hint="default" w:ascii="Times New Roman" w:hAnsi="Times New Roman" w:eastAsia="仿宋_GB2312" w:cs="Times New Roman"/>
                <w:b w:val="0"/>
                <w:bCs/>
                <w:color w:val="auto"/>
                <w:sz w:val="21"/>
                <w:szCs w:val="21"/>
              </w:rPr>
            </w:pPr>
            <w:r>
              <w:rPr>
                <w:rFonts w:hint="default" w:ascii="Times New Roman" w:hAnsi="Times New Roman" w:eastAsia="仿宋_GB2312" w:cs="Times New Roman"/>
                <w:b w:val="0"/>
                <w:bCs/>
                <w:color w:val="auto"/>
                <w:sz w:val="21"/>
                <w:szCs w:val="21"/>
              </w:rPr>
              <w:t>层数</w:t>
            </w:r>
          </w:p>
        </w:tc>
        <w:tc>
          <w:tcPr>
            <w:tcW w:w="1254" w:type="dxa"/>
            <w:noWrap w:val="0"/>
            <w:vAlign w:val="center"/>
          </w:tcPr>
          <w:p>
            <w:pPr>
              <w:jc w:val="center"/>
              <w:rPr>
                <w:rFonts w:hint="default" w:ascii="Times New Roman" w:hAnsi="Times New Roman" w:eastAsia="仿宋_GB2312" w:cs="Times New Roman"/>
                <w:b w:val="0"/>
                <w:bCs/>
                <w:color w:val="auto"/>
                <w:sz w:val="21"/>
                <w:szCs w:val="21"/>
              </w:rPr>
            </w:pPr>
            <w:r>
              <w:rPr>
                <w:rFonts w:hint="default" w:ascii="Times New Roman" w:hAnsi="Times New Roman" w:eastAsia="仿宋_GB2312" w:cs="Times New Roman"/>
                <w:b w:val="0"/>
                <w:bCs/>
                <w:color w:val="auto"/>
                <w:sz w:val="21"/>
                <w:szCs w:val="21"/>
              </w:rPr>
              <w:t>结构形式</w:t>
            </w:r>
          </w:p>
        </w:tc>
        <w:tc>
          <w:tcPr>
            <w:tcW w:w="1135" w:type="dxa"/>
            <w:noWrap w:val="0"/>
            <w:vAlign w:val="center"/>
          </w:tcPr>
          <w:p>
            <w:pPr>
              <w:jc w:val="center"/>
              <w:rPr>
                <w:rFonts w:hint="default" w:ascii="Times New Roman" w:hAnsi="Times New Roman" w:eastAsia="仿宋_GB2312" w:cs="Times New Roman"/>
                <w:b w:val="0"/>
                <w:bCs/>
                <w:color w:val="auto"/>
                <w:sz w:val="21"/>
                <w:szCs w:val="21"/>
              </w:rPr>
            </w:pPr>
            <w:r>
              <w:rPr>
                <w:rFonts w:hint="default" w:ascii="Times New Roman" w:hAnsi="Times New Roman" w:eastAsia="仿宋_GB2312" w:cs="Times New Roman"/>
                <w:b w:val="0"/>
                <w:bCs/>
                <w:color w:val="auto"/>
                <w:sz w:val="21"/>
                <w:szCs w:val="21"/>
              </w:rPr>
              <w:t>基础形式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1</w:t>
            </w:r>
          </w:p>
        </w:tc>
        <w:tc>
          <w:tcPr>
            <w:tcW w:w="2163"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商混站</w:t>
            </w:r>
          </w:p>
        </w:tc>
        <w:tc>
          <w:tcPr>
            <w:tcW w:w="1464"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200</w:t>
            </w:r>
          </w:p>
        </w:tc>
        <w:tc>
          <w:tcPr>
            <w:tcW w:w="1310"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200</w:t>
            </w:r>
          </w:p>
        </w:tc>
        <w:tc>
          <w:tcPr>
            <w:tcW w:w="750"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eastAsia" w:ascii="Times New Roman" w:hAnsi="Times New Roman" w:eastAsia="仿宋_GB2312" w:cs="Times New Roman"/>
                <w:b w:val="0"/>
                <w:bCs/>
                <w:color w:val="auto"/>
                <w:sz w:val="21"/>
                <w:szCs w:val="21"/>
                <w:lang w:val="en-US" w:eastAsia="zh-CN"/>
              </w:rPr>
              <w:t>1</w:t>
            </w:r>
          </w:p>
        </w:tc>
        <w:tc>
          <w:tcPr>
            <w:tcW w:w="1254"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钢结构</w:t>
            </w:r>
          </w:p>
        </w:tc>
        <w:tc>
          <w:tcPr>
            <w:tcW w:w="1135" w:type="dxa"/>
            <w:noWrap w:val="0"/>
            <w:vAlign w:val="center"/>
          </w:tcPr>
          <w:p>
            <w:pPr>
              <w:jc w:val="center"/>
              <w:rPr>
                <w:rFonts w:hint="default" w:ascii="Times New Roman" w:hAnsi="Times New Roman" w:eastAsia="仿宋_GB2312" w:cs="Times New Roman"/>
                <w:b w:val="0"/>
                <w:bCs/>
                <w:color w:val="auto"/>
                <w:sz w:val="21"/>
                <w:szCs w:val="21"/>
              </w:rPr>
            </w:pPr>
            <w:r>
              <w:rPr>
                <w:rFonts w:hint="default" w:ascii="Times New Roman" w:hAnsi="Times New Roman" w:eastAsia="仿宋_GB2312" w:cs="Times New Roman"/>
                <w:b w:val="0"/>
                <w:bCs/>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2</w:t>
            </w:r>
          </w:p>
        </w:tc>
        <w:tc>
          <w:tcPr>
            <w:tcW w:w="2163"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水稳站</w:t>
            </w:r>
          </w:p>
        </w:tc>
        <w:tc>
          <w:tcPr>
            <w:tcW w:w="1464"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200</w:t>
            </w:r>
          </w:p>
        </w:tc>
        <w:tc>
          <w:tcPr>
            <w:tcW w:w="1310"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200</w:t>
            </w:r>
          </w:p>
        </w:tc>
        <w:tc>
          <w:tcPr>
            <w:tcW w:w="750"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eastAsia" w:ascii="Times New Roman" w:hAnsi="Times New Roman" w:eastAsia="仿宋_GB2312" w:cs="Times New Roman"/>
                <w:b w:val="0"/>
                <w:bCs/>
                <w:color w:val="auto"/>
                <w:sz w:val="21"/>
                <w:szCs w:val="21"/>
                <w:lang w:val="en-US" w:eastAsia="zh-CN"/>
              </w:rPr>
              <w:t>1</w:t>
            </w:r>
          </w:p>
        </w:tc>
        <w:tc>
          <w:tcPr>
            <w:tcW w:w="1254"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钢结构</w:t>
            </w:r>
          </w:p>
        </w:tc>
        <w:tc>
          <w:tcPr>
            <w:tcW w:w="1135" w:type="dxa"/>
            <w:noWrap w:val="0"/>
            <w:vAlign w:val="center"/>
          </w:tcPr>
          <w:p>
            <w:pPr>
              <w:jc w:val="center"/>
              <w:rPr>
                <w:rFonts w:hint="default" w:ascii="Times New Roman" w:hAnsi="Times New Roman" w:eastAsia="仿宋_GB2312" w:cs="Times New Roman"/>
                <w:b w:val="0"/>
                <w:bCs/>
                <w:color w:val="auto"/>
                <w:sz w:val="21"/>
                <w:szCs w:val="21"/>
              </w:rPr>
            </w:pPr>
            <w:r>
              <w:rPr>
                <w:rFonts w:hint="default" w:ascii="Times New Roman" w:hAnsi="Times New Roman" w:eastAsia="仿宋_GB2312" w:cs="Times New Roman"/>
                <w:b w:val="0"/>
                <w:bCs/>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noWrap/>
            <w:vAlign w:val="center"/>
          </w:tcPr>
          <w:p>
            <w:pPr>
              <w:jc w:val="center"/>
              <w:rPr>
                <w:rFonts w:hint="eastAsia"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3</w:t>
            </w:r>
          </w:p>
        </w:tc>
        <w:tc>
          <w:tcPr>
            <w:tcW w:w="2163"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碎石生产线</w:t>
            </w:r>
          </w:p>
        </w:tc>
        <w:tc>
          <w:tcPr>
            <w:tcW w:w="1464"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500</w:t>
            </w:r>
          </w:p>
        </w:tc>
        <w:tc>
          <w:tcPr>
            <w:tcW w:w="1310"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500</w:t>
            </w:r>
          </w:p>
        </w:tc>
        <w:tc>
          <w:tcPr>
            <w:tcW w:w="750"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eastAsia" w:ascii="Times New Roman" w:hAnsi="Times New Roman" w:eastAsia="仿宋_GB2312" w:cs="Times New Roman"/>
                <w:b w:val="0"/>
                <w:bCs/>
                <w:color w:val="auto"/>
                <w:sz w:val="21"/>
                <w:szCs w:val="21"/>
                <w:lang w:val="en-US" w:eastAsia="zh-CN"/>
              </w:rPr>
              <w:t>1</w:t>
            </w:r>
          </w:p>
        </w:tc>
        <w:tc>
          <w:tcPr>
            <w:tcW w:w="1254"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钢结构</w:t>
            </w:r>
          </w:p>
        </w:tc>
        <w:tc>
          <w:tcPr>
            <w:tcW w:w="1135" w:type="dxa"/>
            <w:noWrap w:val="0"/>
            <w:vAlign w:val="center"/>
          </w:tcPr>
          <w:p>
            <w:pPr>
              <w:jc w:val="center"/>
              <w:rPr>
                <w:rFonts w:hint="default" w:ascii="Times New Roman" w:hAnsi="Times New Roman" w:eastAsia="仿宋_GB2312" w:cs="Times New Roman"/>
                <w:b w:val="0"/>
                <w:bCs/>
                <w:color w:val="auto"/>
                <w:sz w:val="21"/>
                <w:szCs w:val="21"/>
                <w:lang w:val="en-US" w:eastAsia="zh-CN" w:bidi="ar-SA"/>
              </w:rPr>
            </w:pPr>
            <w:r>
              <w:rPr>
                <w:rFonts w:hint="default" w:ascii="Times New Roman" w:hAnsi="Times New Roman" w:eastAsia="仿宋_GB2312" w:cs="Times New Roman"/>
                <w:b w:val="0"/>
                <w:bCs/>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noWrap/>
            <w:vAlign w:val="center"/>
          </w:tcPr>
          <w:p>
            <w:pPr>
              <w:jc w:val="center"/>
              <w:rPr>
                <w:rFonts w:hint="eastAsia"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4</w:t>
            </w:r>
          </w:p>
        </w:tc>
        <w:tc>
          <w:tcPr>
            <w:tcW w:w="2163" w:type="dxa"/>
            <w:noWrap/>
            <w:vAlign w:val="center"/>
          </w:tcPr>
          <w:p>
            <w:pPr>
              <w:jc w:val="center"/>
              <w:rPr>
                <w:rFonts w:hint="eastAsia"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办公室</w:t>
            </w:r>
          </w:p>
        </w:tc>
        <w:tc>
          <w:tcPr>
            <w:tcW w:w="1464"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100</w:t>
            </w:r>
          </w:p>
        </w:tc>
        <w:tc>
          <w:tcPr>
            <w:tcW w:w="1310"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100</w:t>
            </w:r>
          </w:p>
        </w:tc>
        <w:tc>
          <w:tcPr>
            <w:tcW w:w="750"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1</w:t>
            </w:r>
          </w:p>
        </w:tc>
        <w:tc>
          <w:tcPr>
            <w:tcW w:w="1254"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框架</w:t>
            </w:r>
          </w:p>
        </w:tc>
        <w:tc>
          <w:tcPr>
            <w:tcW w:w="1135" w:type="dxa"/>
            <w:noWrap w:val="0"/>
            <w:vAlign w:val="center"/>
          </w:tcPr>
          <w:p>
            <w:pPr>
              <w:jc w:val="center"/>
              <w:rPr>
                <w:rFonts w:hint="default" w:ascii="Times New Roman" w:hAnsi="Times New Roman" w:eastAsia="仿宋_GB2312" w:cs="Times New Roman"/>
                <w:b w:val="0"/>
                <w:bCs/>
                <w:color w:val="auto"/>
                <w:sz w:val="21"/>
                <w:szCs w:val="21"/>
                <w:lang w:val="en-US" w:eastAsia="zh-CN" w:bidi="ar-SA"/>
              </w:rPr>
            </w:pPr>
            <w:r>
              <w:rPr>
                <w:rFonts w:hint="default" w:ascii="Times New Roman" w:hAnsi="Times New Roman" w:eastAsia="仿宋_GB2312" w:cs="Times New Roman"/>
                <w:b w:val="0"/>
                <w:bCs/>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noWrap/>
            <w:vAlign w:val="center"/>
          </w:tcPr>
          <w:p>
            <w:pPr>
              <w:jc w:val="center"/>
              <w:rPr>
                <w:rFonts w:hint="eastAsia"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5</w:t>
            </w:r>
          </w:p>
        </w:tc>
        <w:tc>
          <w:tcPr>
            <w:tcW w:w="2163"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试验室</w:t>
            </w:r>
          </w:p>
        </w:tc>
        <w:tc>
          <w:tcPr>
            <w:tcW w:w="1464"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100</w:t>
            </w:r>
          </w:p>
        </w:tc>
        <w:tc>
          <w:tcPr>
            <w:tcW w:w="1310"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100</w:t>
            </w:r>
          </w:p>
        </w:tc>
        <w:tc>
          <w:tcPr>
            <w:tcW w:w="750"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1</w:t>
            </w:r>
          </w:p>
        </w:tc>
        <w:tc>
          <w:tcPr>
            <w:tcW w:w="1254"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框架</w:t>
            </w:r>
          </w:p>
        </w:tc>
        <w:tc>
          <w:tcPr>
            <w:tcW w:w="1135" w:type="dxa"/>
            <w:noWrap w:val="0"/>
            <w:vAlign w:val="center"/>
          </w:tcPr>
          <w:p>
            <w:pPr>
              <w:jc w:val="center"/>
              <w:rPr>
                <w:rFonts w:hint="default" w:ascii="Times New Roman" w:hAnsi="Times New Roman" w:eastAsia="仿宋_GB2312" w:cs="Times New Roman"/>
                <w:b w:val="0"/>
                <w:bCs/>
                <w:color w:val="auto"/>
                <w:sz w:val="21"/>
                <w:szCs w:val="21"/>
                <w:lang w:val="en-US" w:eastAsia="zh-CN" w:bidi="ar-SA"/>
              </w:rPr>
            </w:pPr>
            <w:r>
              <w:rPr>
                <w:rFonts w:hint="default" w:ascii="Times New Roman" w:hAnsi="Times New Roman" w:eastAsia="仿宋_GB2312" w:cs="Times New Roman"/>
                <w:b w:val="0"/>
                <w:bCs/>
                <w:color w:val="auto"/>
                <w:sz w:val="21"/>
                <w:szCs w:val="21"/>
              </w:rPr>
              <w:t>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eastAsia" w:eastAsia="仿宋_GB2312" w:cs="Times New Roman"/>
                <w:b w:val="0"/>
                <w:bCs/>
                <w:color w:val="auto"/>
                <w:sz w:val="21"/>
                <w:szCs w:val="21"/>
                <w:lang w:val="en-US" w:eastAsia="zh-CN"/>
              </w:rPr>
              <w:t>6</w:t>
            </w:r>
          </w:p>
        </w:tc>
        <w:tc>
          <w:tcPr>
            <w:tcW w:w="2163" w:type="dxa"/>
            <w:noWrap/>
            <w:vAlign w:val="center"/>
          </w:tcPr>
          <w:p>
            <w:pPr>
              <w:jc w:val="center"/>
              <w:rPr>
                <w:rFonts w:hint="eastAsia"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清水池</w:t>
            </w:r>
          </w:p>
        </w:tc>
        <w:tc>
          <w:tcPr>
            <w:tcW w:w="1464" w:type="dxa"/>
            <w:noWrap/>
            <w:vAlign w:val="center"/>
          </w:tcPr>
          <w:p>
            <w:pPr>
              <w:jc w:val="center"/>
              <w:rPr>
                <w:rFonts w:hint="eastAsia"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91</w:t>
            </w:r>
          </w:p>
        </w:tc>
        <w:tc>
          <w:tcPr>
            <w:tcW w:w="1310" w:type="dxa"/>
            <w:noWrap w:val="0"/>
            <w:vAlign w:val="center"/>
          </w:tcPr>
          <w:p>
            <w:pPr>
              <w:jc w:val="center"/>
              <w:rPr>
                <w:rFonts w:hint="eastAsia"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w:t>
            </w:r>
          </w:p>
        </w:tc>
        <w:tc>
          <w:tcPr>
            <w:tcW w:w="750"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w:t>
            </w:r>
          </w:p>
        </w:tc>
        <w:tc>
          <w:tcPr>
            <w:tcW w:w="1254"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w:t>
            </w:r>
          </w:p>
        </w:tc>
        <w:tc>
          <w:tcPr>
            <w:tcW w:w="1135" w:type="dxa"/>
            <w:noWrap w:val="0"/>
            <w:vAlign w:val="center"/>
          </w:tcPr>
          <w:p>
            <w:pPr>
              <w:jc w:val="center"/>
              <w:rPr>
                <w:rFonts w:hint="default" w:ascii="Times New Roman" w:hAnsi="Times New Roman" w:eastAsia="仿宋_GB2312"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eastAsia" w:eastAsia="仿宋_GB2312" w:cs="Times New Roman"/>
                <w:b w:val="0"/>
                <w:bCs/>
                <w:color w:val="auto"/>
                <w:sz w:val="21"/>
                <w:szCs w:val="21"/>
                <w:lang w:val="en-US" w:eastAsia="zh-CN"/>
              </w:rPr>
              <w:t>7</w:t>
            </w:r>
          </w:p>
        </w:tc>
        <w:tc>
          <w:tcPr>
            <w:tcW w:w="2163" w:type="dxa"/>
            <w:noWrap/>
            <w:vAlign w:val="center"/>
          </w:tcPr>
          <w:p>
            <w:pPr>
              <w:jc w:val="center"/>
              <w:rPr>
                <w:rFonts w:hint="eastAsia"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洗车池</w:t>
            </w:r>
          </w:p>
        </w:tc>
        <w:tc>
          <w:tcPr>
            <w:tcW w:w="1464" w:type="dxa"/>
            <w:noWrap/>
            <w:vAlign w:val="center"/>
          </w:tcPr>
          <w:p>
            <w:pPr>
              <w:jc w:val="center"/>
              <w:rPr>
                <w:rFonts w:hint="eastAsia"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28</w:t>
            </w:r>
          </w:p>
        </w:tc>
        <w:tc>
          <w:tcPr>
            <w:tcW w:w="1310" w:type="dxa"/>
            <w:noWrap w:val="0"/>
            <w:vAlign w:val="center"/>
          </w:tcPr>
          <w:p>
            <w:pPr>
              <w:jc w:val="center"/>
              <w:rPr>
                <w:rFonts w:hint="eastAsia"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w:t>
            </w:r>
          </w:p>
        </w:tc>
        <w:tc>
          <w:tcPr>
            <w:tcW w:w="750"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w:t>
            </w:r>
          </w:p>
        </w:tc>
        <w:tc>
          <w:tcPr>
            <w:tcW w:w="1254"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w:t>
            </w:r>
          </w:p>
        </w:tc>
        <w:tc>
          <w:tcPr>
            <w:tcW w:w="1135" w:type="dxa"/>
            <w:noWrap w:val="0"/>
            <w:vAlign w:val="center"/>
          </w:tcPr>
          <w:p>
            <w:pPr>
              <w:jc w:val="center"/>
              <w:rPr>
                <w:rFonts w:hint="default" w:ascii="Times New Roman" w:hAnsi="Times New Roman" w:eastAsia="仿宋_GB2312"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noWrap/>
            <w:vAlign w:val="center"/>
          </w:tcPr>
          <w:p>
            <w:pPr>
              <w:jc w:val="center"/>
              <w:rPr>
                <w:rFonts w:hint="default" w:ascii="Times New Roman" w:hAnsi="Times New Roman" w:eastAsia="仿宋_GB2312" w:cs="Times New Roman"/>
                <w:b w:val="0"/>
                <w:bCs/>
                <w:color w:val="auto"/>
                <w:sz w:val="21"/>
                <w:szCs w:val="21"/>
              </w:rPr>
            </w:pPr>
          </w:p>
        </w:tc>
        <w:tc>
          <w:tcPr>
            <w:tcW w:w="2163" w:type="dxa"/>
            <w:noWrap/>
            <w:vAlign w:val="center"/>
          </w:tcPr>
          <w:p>
            <w:pPr>
              <w:jc w:val="center"/>
              <w:rPr>
                <w:rFonts w:hint="default" w:ascii="Times New Roman" w:hAnsi="Times New Roman" w:eastAsia="仿宋_GB2312" w:cs="Times New Roman"/>
                <w:b w:val="0"/>
                <w:bCs/>
                <w:color w:val="auto"/>
                <w:sz w:val="21"/>
                <w:szCs w:val="21"/>
              </w:rPr>
            </w:pPr>
            <w:r>
              <w:rPr>
                <w:rFonts w:hint="default" w:ascii="Times New Roman" w:hAnsi="Times New Roman" w:eastAsia="仿宋_GB2312" w:cs="Times New Roman"/>
                <w:b w:val="0"/>
                <w:bCs/>
                <w:color w:val="auto"/>
                <w:sz w:val="21"/>
                <w:szCs w:val="21"/>
              </w:rPr>
              <w:t>合  计</w:t>
            </w:r>
          </w:p>
        </w:tc>
        <w:tc>
          <w:tcPr>
            <w:tcW w:w="1464" w:type="dxa"/>
            <w:noWrap/>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fldChar w:fldCharType="begin"/>
            </w:r>
            <w:r>
              <w:rPr>
                <w:rFonts w:hint="default" w:ascii="Times New Roman" w:hAnsi="Times New Roman" w:eastAsia="仿宋_GB2312" w:cs="Times New Roman"/>
                <w:b w:val="0"/>
                <w:bCs/>
                <w:color w:val="auto"/>
                <w:sz w:val="21"/>
                <w:szCs w:val="21"/>
              </w:rPr>
              <w:instrText xml:space="preserve"> =SUM(ABOVE) </w:instrText>
            </w:r>
            <w:r>
              <w:rPr>
                <w:rFonts w:hint="default" w:ascii="Times New Roman" w:hAnsi="Times New Roman" w:eastAsia="仿宋_GB2312" w:cs="Times New Roman"/>
                <w:b w:val="0"/>
                <w:bCs/>
                <w:color w:val="auto"/>
                <w:sz w:val="21"/>
                <w:szCs w:val="21"/>
              </w:rPr>
              <w:fldChar w:fldCharType="separate"/>
            </w:r>
            <w:r>
              <w:rPr>
                <w:rFonts w:hint="eastAsia" w:eastAsia="仿宋_GB2312" w:cs="Times New Roman"/>
                <w:b w:val="0"/>
                <w:bCs/>
                <w:color w:val="auto"/>
                <w:sz w:val="21"/>
                <w:szCs w:val="21"/>
                <w:lang w:val="en-US" w:eastAsia="zh-CN"/>
              </w:rPr>
              <w:t>1</w:t>
            </w:r>
            <w:r>
              <w:rPr>
                <w:rFonts w:hint="default" w:ascii="Times New Roman" w:hAnsi="Times New Roman" w:eastAsia="仿宋_GB2312" w:cs="Times New Roman"/>
                <w:b w:val="0"/>
                <w:bCs/>
                <w:color w:val="auto"/>
                <w:sz w:val="21"/>
                <w:szCs w:val="21"/>
              </w:rPr>
              <w:t>219</w:t>
            </w:r>
            <w:r>
              <w:rPr>
                <w:rFonts w:hint="default" w:ascii="Times New Roman" w:hAnsi="Times New Roman" w:eastAsia="仿宋_GB2312" w:cs="Times New Roman"/>
                <w:b w:val="0"/>
                <w:bCs/>
                <w:color w:val="auto"/>
                <w:sz w:val="21"/>
                <w:szCs w:val="21"/>
              </w:rPr>
              <w:fldChar w:fldCharType="end"/>
            </w:r>
          </w:p>
        </w:tc>
        <w:tc>
          <w:tcPr>
            <w:tcW w:w="1310" w:type="dxa"/>
            <w:noWrap w:val="0"/>
            <w:vAlign w:val="center"/>
          </w:tcPr>
          <w:p>
            <w:pPr>
              <w:jc w:val="center"/>
              <w:rPr>
                <w:rFonts w:hint="default" w:ascii="Times New Roman" w:hAnsi="Times New Roman" w:eastAsia="仿宋_GB2312" w:cs="Times New Roman"/>
                <w:b w:val="0"/>
                <w:bCs/>
                <w:color w:val="auto"/>
                <w:sz w:val="21"/>
                <w:szCs w:val="21"/>
                <w:lang w:val="en-US" w:eastAsia="zh-CN"/>
              </w:rPr>
            </w:pPr>
            <w:r>
              <w:rPr>
                <w:rFonts w:hint="default" w:ascii="Times New Roman" w:hAnsi="Times New Roman" w:eastAsia="仿宋_GB2312" w:cs="Times New Roman"/>
                <w:b w:val="0"/>
                <w:bCs/>
                <w:color w:val="auto"/>
                <w:sz w:val="21"/>
                <w:szCs w:val="21"/>
              </w:rPr>
              <w:t>1100</w:t>
            </w:r>
          </w:p>
        </w:tc>
        <w:tc>
          <w:tcPr>
            <w:tcW w:w="750" w:type="dxa"/>
            <w:noWrap/>
            <w:vAlign w:val="center"/>
          </w:tcPr>
          <w:p>
            <w:pPr>
              <w:jc w:val="center"/>
              <w:rPr>
                <w:rFonts w:hint="default" w:ascii="Times New Roman" w:hAnsi="Times New Roman" w:eastAsia="仿宋_GB2312" w:cs="Times New Roman"/>
                <w:b w:val="0"/>
                <w:bCs/>
                <w:color w:val="auto"/>
                <w:sz w:val="21"/>
                <w:szCs w:val="21"/>
              </w:rPr>
            </w:pPr>
          </w:p>
        </w:tc>
        <w:tc>
          <w:tcPr>
            <w:tcW w:w="1254" w:type="dxa"/>
            <w:noWrap w:val="0"/>
            <w:vAlign w:val="center"/>
          </w:tcPr>
          <w:p>
            <w:pPr>
              <w:jc w:val="center"/>
              <w:rPr>
                <w:rFonts w:hint="default" w:ascii="Times New Roman" w:hAnsi="Times New Roman" w:eastAsia="仿宋_GB2312" w:cs="Times New Roman"/>
                <w:b w:val="0"/>
                <w:bCs/>
                <w:color w:val="auto"/>
                <w:sz w:val="21"/>
                <w:szCs w:val="21"/>
              </w:rPr>
            </w:pPr>
          </w:p>
        </w:tc>
        <w:tc>
          <w:tcPr>
            <w:tcW w:w="1135" w:type="dxa"/>
            <w:noWrap w:val="0"/>
            <w:vAlign w:val="center"/>
          </w:tcPr>
          <w:p>
            <w:pPr>
              <w:jc w:val="center"/>
              <w:rPr>
                <w:rFonts w:hint="default" w:ascii="Times New Roman" w:hAnsi="Times New Roman" w:eastAsia="仿宋_GB2312" w:cs="Times New Roman"/>
                <w:b w:val="0"/>
                <w:bCs/>
                <w:color w:val="auto"/>
                <w:sz w:val="21"/>
                <w:szCs w:val="21"/>
              </w:rPr>
            </w:pPr>
          </w:p>
        </w:tc>
      </w:tr>
    </w:tbl>
    <w:p>
      <w:pPr>
        <w:spacing w:line="360" w:lineRule="auto"/>
        <w:ind w:firstLine="482" w:firstLineChars="200"/>
        <w:jc w:val="both"/>
        <w:rPr>
          <w:rFonts w:eastAsia="仿宋_GB2312"/>
          <w:color w:val="auto"/>
        </w:rPr>
      </w:pPr>
      <w:r>
        <w:rPr>
          <w:rFonts w:hint="eastAsia" w:eastAsia="仿宋_GB2312"/>
          <w:b/>
          <w:color w:val="auto"/>
          <w:szCs w:val="24"/>
          <w:lang w:val="en-US" w:eastAsia="zh-CN"/>
        </w:rPr>
        <w:t>2、</w:t>
      </w:r>
      <w:r>
        <w:rPr>
          <w:rFonts w:eastAsia="仿宋_GB2312"/>
          <w:b/>
          <w:color w:val="auto"/>
          <w:szCs w:val="24"/>
        </w:rPr>
        <w:t>竖向布置</w:t>
      </w:r>
    </w:p>
    <w:p>
      <w:pPr>
        <w:spacing w:line="360" w:lineRule="auto"/>
        <w:ind w:firstLine="480" w:firstLineChars="200"/>
        <w:jc w:val="both"/>
        <w:rPr>
          <w:rFonts w:hint="default" w:eastAsia="仿宋_GB2312"/>
          <w:color w:val="auto"/>
          <w:szCs w:val="24"/>
          <w:lang w:val="en-US" w:eastAsia="zh-CN"/>
        </w:rPr>
      </w:pPr>
      <w:r>
        <w:rPr>
          <w:rFonts w:hint="default" w:ascii="Times New Roman" w:hAnsi="Times New Roman" w:eastAsia="仿宋_GB2312" w:cs="Times New Roman"/>
          <w:color w:val="auto"/>
        </w:rPr>
        <w:t>根据对本区的勘察，地块地势为</w:t>
      </w:r>
      <w:r>
        <w:rPr>
          <w:rFonts w:hint="eastAsia" w:ascii="Times New Roman" w:hAnsi="Times New Roman" w:eastAsia="仿宋_GB2312" w:cs="Times New Roman"/>
          <w:color w:val="auto"/>
          <w:lang w:val="en-US" w:eastAsia="zh-CN"/>
        </w:rPr>
        <w:t>北</w:t>
      </w:r>
      <w:r>
        <w:rPr>
          <w:rFonts w:hint="default" w:ascii="Times New Roman" w:hAnsi="Times New Roman" w:eastAsia="仿宋_GB2312" w:cs="Times New Roman"/>
          <w:color w:val="auto"/>
        </w:rPr>
        <w:t>高</w:t>
      </w:r>
      <w:r>
        <w:rPr>
          <w:rFonts w:hint="eastAsia" w:ascii="Times New Roman" w:hAnsi="Times New Roman" w:eastAsia="仿宋_GB2312" w:cs="Times New Roman"/>
          <w:color w:val="auto"/>
          <w:lang w:val="en-US" w:eastAsia="zh-CN"/>
        </w:rPr>
        <w:t>南</w:t>
      </w:r>
      <w:r>
        <w:rPr>
          <w:rFonts w:hint="default" w:ascii="Times New Roman" w:hAnsi="Times New Roman" w:eastAsia="仿宋_GB2312" w:cs="Times New Roman"/>
          <w:color w:val="auto"/>
        </w:rPr>
        <w:t>低。</w:t>
      </w:r>
      <w:r>
        <w:rPr>
          <w:rFonts w:hint="eastAsia" w:eastAsia="仿宋_GB2312"/>
          <w:color w:val="auto"/>
          <w:szCs w:val="24"/>
          <w:lang w:val="en-US" w:eastAsia="zh-CN"/>
        </w:rPr>
        <w:t>本项目原地面高程为685.79m-686.85之间，高差1.06m，</w:t>
      </w:r>
      <w:r>
        <w:rPr>
          <w:rFonts w:hint="default" w:ascii="Times New Roman" w:hAnsi="Times New Roman" w:eastAsia="仿宋_GB2312" w:cs="Times New Roman"/>
          <w:color w:val="auto"/>
        </w:rPr>
        <w:t>竖向布置采用平坡式布置。项目平整后的标高为</w:t>
      </w:r>
      <w:r>
        <w:rPr>
          <w:rFonts w:hint="eastAsia" w:eastAsia="仿宋_GB2312"/>
          <w:color w:val="auto"/>
          <w:szCs w:val="24"/>
          <w:lang w:val="en-US" w:eastAsia="zh-CN"/>
        </w:rPr>
        <w:t>685.85m-686.85</w:t>
      </w:r>
      <w:r>
        <w:rPr>
          <w:rFonts w:hint="default" w:ascii="Times New Roman" w:hAnsi="Times New Roman" w:eastAsia="仿宋_GB2312" w:cs="Times New Roman"/>
          <w:color w:val="auto"/>
        </w:rPr>
        <w:t>m，整平后的高差为</w:t>
      </w:r>
      <w:r>
        <w:rPr>
          <w:rFonts w:hint="eastAsia" w:eastAsia="仿宋_GB2312" w:cs="Times New Roman"/>
          <w:color w:val="auto"/>
          <w:lang w:val="en-US" w:eastAsia="zh-CN"/>
        </w:rPr>
        <w:t>1.00</w:t>
      </w:r>
      <w:r>
        <w:rPr>
          <w:rFonts w:hint="default" w:ascii="Times New Roman" w:hAnsi="Times New Roman" w:eastAsia="仿宋_GB2312" w:cs="Times New Roman"/>
          <w:color w:val="auto"/>
        </w:rPr>
        <w:t>m。工程开挖时尽量实现土石方内部平衡</w:t>
      </w:r>
      <w:r>
        <w:rPr>
          <w:rFonts w:hint="eastAsia" w:ascii="Times New Roman" w:hAnsi="Times New Roman" w:eastAsia="仿宋_GB2312" w:cs="Times New Roman"/>
          <w:color w:val="auto"/>
          <w:lang w:eastAsia="zh-CN"/>
        </w:rPr>
        <w:t>，</w:t>
      </w:r>
      <w:r>
        <w:rPr>
          <w:rFonts w:hint="eastAsia" w:ascii="Times New Roman" w:hAnsi="Times New Roman" w:eastAsia="仿宋_GB2312" w:cs="Times New Roman"/>
          <w:color w:val="auto"/>
          <w:lang w:val="en-US" w:eastAsia="zh-CN"/>
        </w:rPr>
        <w:t>厂区</w:t>
      </w:r>
      <w:r>
        <w:rPr>
          <w:rFonts w:hint="eastAsia" w:eastAsia="仿宋_GB2312" w:cs="Times New Roman"/>
          <w:color w:val="auto"/>
          <w:lang w:val="en-US" w:eastAsia="zh-CN"/>
        </w:rPr>
        <w:t>道路采取水泥混凝土硬化地面，其他硬化区域为砂石地面，现场厂区雨水采用散排方式。</w:t>
      </w:r>
    </w:p>
    <w:p>
      <w:pPr>
        <w:spacing w:line="360" w:lineRule="auto"/>
        <w:rPr>
          <w:rFonts w:eastAsia="仿宋_GB2312"/>
          <w:b/>
          <w:bCs/>
          <w:color w:val="auto"/>
          <w:sz w:val="24"/>
          <w:szCs w:val="24"/>
          <w:highlight w:val="none"/>
        </w:rPr>
      </w:pPr>
      <w:r>
        <w:rPr>
          <w:rFonts w:eastAsia="仿宋_GB2312"/>
          <w:b/>
          <w:bCs/>
          <w:color w:val="auto"/>
          <w:sz w:val="24"/>
          <w:szCs w:val="24"/>
          <w:highlight w:val="none"/>
        </w:rPr>
        <w:t>2.1.5公用工程</w:t>
      </w:r>
    </w:p>
    <w:p>
      <w:pPr>
        <w:spacing w:line="360" w:lineRule="auto"/>
        <w:ind w:firstLine="480" w:firstLineChars="200"/>
        <w:rPr>
          <w:rFonts w:eastAsia="仿宋_GB2312"/>
          <w:color w:val="auto"/>
          <w:sz w:val="24"/>
          <w:szCs w:val="24"/>
          <w:highlight w:val="none"/>
        </w:rPr>
      </w:pPr>
      <w:bookmarkStart w:id="16" w:name="_Toc27413355"/>
      <w:bookmarkStart w:id="17" w:name="_Toc33699162"/>
      <w:bookmarkStart w:id="18" w:name="_Toc33099728"/>
      <w:r>
        <w:rPr>
          <w:rFonts w:eastAsia="仿宋_GB2312"/>
          <w:color w:val="auto"/>
          <w:sz w:val="24"/>
          <w:szCs w:val="24"/>
          <w:highlight w:val="none"/>
        </w:rPr>
        <w:t>（1）供电系统</w:t>
      </w:r>
      <w:bookmarkEnd w:id="16"/>
      <w:bookmarkEnd w:id="17"/>
      <w:bookmarkEnd w:id="18"/>
    </w:p>
    <w:p>
      <w:pPr>
        <w:spacing w:line="360" w:lineRule="auto"/>
        <w:ind w:firstLine="480" w:firstLineChars="200"/>
        <w:rPr>
          <w:rFonts w:eastAsia="仿宋_GB2312"/>
          <w:color w:val="auto"/>
          <w:sz w:val="24"/>
          <w:szCs w:val="24"/>
          <w:highlight w:val="none"/>
        </w:rPr>
      </w:pPr>
      <w:r>
        <w:rPr>
          <w:rFonts w:hint="default" w:ascii="Times New Roman" w:hAnsi="Times New Roman" w:eastAsia="仿宋_GB2312" w:cs="Times New Roman"/>
          <w:color w:val="auto"/>
          <w:sz w:val="24"/>
          <w:szCs w:val="24"/>
          <w:highlight w:val="none"/>
        </w:rPr>
        <w:t>本项目用电由城镇供电网提供</w:t>
      </w:r>
      <w:r>
        <w:rPr>
          <w:rFonts w:hint="eastAsia" w:eastAsia="仿宋_GB2312" w:cs="Times New Roman"/>
          <w:color w:val="auto"/>
          <w:sz w:val="24"/>
          <w:szCs w:val="24"/>
          <w:highlight w:val="none"/>
          <w:lang w:eastAsia="zh-CN"/>
        </w:rPr>
        <w:t>，</w:t>
      </w:r>
      <w:r>
        <w:rPr>
          <w:rFonts w:eastAsia="仿宋_GB2312"/>
          <w:color w:val="auto"/>
          <w:sz w:val="24"/>
          <w:szCs w:val="24"/>
          <w:highlight w:val="none"/>
        </w:rPr>
        <w:t>由电力部门负责接入，接入口在红线边缘，能够满足本项目的用电需求。</w:t>
      </w:r>
    </w:p>
    <w:p>
      <w:pPr>
        <w:spacing w:line="360" w:lineRule="auto"/>
        <w:ind w:firstLine="480" w:firstLineChars="200"/>
        <w:rPr>
          <w:rFonts w:eastAsia="仿宋_GB2312"/>
          <w:color w:val="auto"/>
          <w:sz w:val="24"/>
          <w:szCs w:val="24"/>
          <w:highlight w:val="none"/>
        </w:rPr>
      </w:pPr>
      <w:bookmarkStart w:id="19" w:name="_Toc33099729"/>
      <w:bookmarkStart w:id="20" w:name="_Toc27413356"/>
      <w:bookmarkStart w:id="21" w:name="_Toc33699163"/>
      <w:r>
        <w:rPr>
          <w:rFonts w:eastAsia="仿宋_GB2312"/>
          <w:color w:val="auto"/>
          <w:sz w:val="24"/>
          <w:szCs w:val="24"/>
          <w:highlight w:val="none"/>
        </w:rPr>
        <w:t>（2）给排水系统</w:t>
      </w:r>
      <w:bookmarkEnd w:id="19"/>
      <w:bookmarkEnd w:id="20"/>
      <w:bookmarkEnd w:id="21"/>
    </w:p>
    <w:p>
      <w:pPr>
        <w:spacing w:line="360" w:lineRule="auto"/>
        <w:ind w:firstLine="480" w:firstLineChars="200"/>
        <w:rPr>
          <w:rFonts w:eastAsia="仿宋_GB2312"/>
          <w:color w:val="auto"/>
          <w:sz w:val="24"/>
          <w:szCs w:val="24"/>
          <w:highlight w:val="none"/>
        </w:rPr>
      </w:pPr>
      <w:r>
        <w:rPr>
          <w:rFonts w:hint="eastAsia" w:eastAsia="仿宋_GB2312"/>
          <w:color w:val="auto"/>
          <w:sz w:val="24"/>
          <w:szCs w:val="24"/>
          <w:highlight w:val="none"/>
        </w:rPr>
        <w:t>供水：</w:t>
      </w:r>
      <w:r>
        <w:rPr>
          <w:rFonts w:hint="default" w:ascii="Times New Roman" w:hAnsi="Times New Roman" w:eastAsia="仿宋_GB2312" w:cs="Times New Roman"/>
          <w:color w:val="auto"/>
          <w:sz w:val="24"/>
          <w:szCs w:val="24"/>
          <w:highlight w:val="none"/>
        </w:rPr>
        <w:t>本项目</w:t>
      </w:r>
      <w:r>
        <w:rPr>
          <w:rFonts w:hint="default" w:ascii="Times New Roman" w:hAnsi="Times New Roman" w:eastAsia="仿宋_GB2312" w:cs="Times New Roman"/>
          <w:color w:val="auto"/>
          <w:sz w:val="24"/>
          <w:szCs w:val="24"/>
          <w:highlight w:val="none"/>
          <w:lang w:val="en-US"/>
        </w:rPr>
        <w:t>用水由厂区深水井提供</w:t>
      </w:r>
      <w:r>
        <w:rPr>
          <w:rFonts w:hint="default" w:ascii="Times New Roman" w:hAnsi="Times New Roman" w:eastAsia="仿宋_GB2312" w:cs="Times New Roman"/>
          <w:color w:val="auto"/>
          <w:sz w:val="24"/>
          <w:szCs w:val="24"/>
          <w:highlight w:val="none"/>
        </w:rPr>
        <w:t>，可满足建设用水需求</w:t>
      </w:r>
      <w:r>
        <w:rPr>
          <w:rFonts w:hint="eastAsia" w:eastAsia="仿宋_GB2312"/>
          <w:color w:val="auto"/>
          <w:sz w:val="24"/>
          <w:szCs w:val="24"/>
          <w:highlight w:val="none"/>
        </w:rPr>
        <w:t>。</w:t>
      </w:r>
    </w:p>
    <w:p>
      <w:pPr>
        <w:pStyle w:val="20"/>
        <w:spacing w:line="360" w:lineRule="auto"/>
        <w:ind w:left="0" w:leftChars="0" w:firstLine="480" w:firstLineChars="200"/>
        <w:jc w:val="both"/>
        <w:rPr>
          <w:rFonts w:eastAsia="仿宋_GB2312"/>
          <w:color w:val="auto"/>
          <w:sz w:val="24"/>
          <w:szCs w:val="24"/>
          <w:highlight w:val="none"/>
        </w:rPr>
      </w:pPr>
      <w:r>
        <w:rPr>
          <w:rFonts w:hint="eastAsia" w:eastAsia="仿宋_GB2312"/>
          <w:color w:val="auto"/>
          <w:sz w:val="24"/>
          <w:szCs w:val="24"/>
          <w:highlight w:val="none"/>
        </w:rPr>
        <w:t>排水：</w:t>
      </w:r>
      <w:r>
        <w:rPr>
          <w:rFonts w:hint="default" w:ascii="Times New Roman" w:hAnsi="Times New Roman" w:eastAsia="仿宋_GB2312" w:cs="Times New Roman"/>
          <w:color w:val="auto"/>
          <w:sz w:val="24"/>
          <w:szCs w:val="24"/>
          <w:highlight w:val="none"/>
        </w:rPr>
        <w:t>生活污水排入防渗旱厕，定期清掏作农肥</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雨水</w:t>
      </w:r>
      <w:r>
        <w:rPr>
          <w:rFonts w:hint="eastAsia" w:eastAsia="仿宋"/>
          <w:color w:val="auto"/>
          <w:sz w:val="24"/>
          <w:szCs w:val="24"/>
          <w:highlight w:val="none"/>
          <w:lang w:val="en-US" w:eastAsia="zh-CN"/>
        </w:rPr>
        <w:t>采取散排方式</w:t>
      </w:r>
      <w:r>
        <w:rPr>
          <w:rFonts w:hint="eastAsia" w:eastAsia="仿宋_GB2312"/>
          <w:color w:val="auto"/>
          <w:sz w:val="24"/>
          <w:szCs w:val="24"/>
          <w:highlight w:val="none"/>
        </w:rPr>
        <w:t>。</w:t>
      </w:r>
    </w:p>
    <w:p>
      <w:pPr>
        <w:spacing w:line="360" w:lineRule="auto"/>
        <w:ind w:firstLine="480" w:firstLineChars="200"/>
        <w:rPr>
          <w:rFonts w:eastAsia="仿宋_GB2312"/>
          <w:color w:val="auto"/>
          <w:sz w:val="24"/>
          <w:szCs w:val="24"/>
          <w:highlight w:val="none"/>
        </w:rPr>
      </w:pPr>
      <w:bookmarkStart w:id="22" w:name="_Toc33699164"/>
      <w:r>
        <w:rPr>
          <w:rFonts w:eastAsia="仿宋_GB2312"/>
          <w:color w:val="auto"/>
          <w:sz w:val="24"/>
          <w:szCs w:val="24"/>
          <w:highlight w:val="none"/>
        </w:rPr>
        <w:t>（3）</w:t>
      </w:r>
      <w:bookmarkEnd w:id="22"/>
      <w:r>
        <w:rPr>
          <w:rFonts w:hint="eastAsia" w:eastAsia="仿宋_GB2312"/>
          <w:color w:val="auto"/>
          <w:sz w:val="24"/>
          <w:szCs w:val="24"/>
          <w:highlight w:val="none"/>
        </w:rPr>
        <w:t>供暖系统</w:t>
      </w:r>
    </w:p>
    <w:p>
      <w:pPr>
        <w:spacing w:line="360" w:lineRule="auto"/>
        <w:ind w:firstLine="480" w:firstLineChars="200"/>
        <w:rPr>
          <w:rFonts w:eastAsia="仿宋_GB2312"/>
          <w:color w:val="auto"/>
          <w:sz w:val="24"/>
          <w:szCs w:val="24"/>
          <w:highlight w:val="none"/>
        </w:rPr>
      </w:pPr>
      <w:bookmarkStart w:id="23" w:name="_Toc33699165"/>
      <w:bookmarkStart w:id="24" w:name="_Toc27413357"/>
      <w:bookmarkStart w:id="25" w:name="_Toc33099730"/>
      <w:r>
        <w:rPr>
          <w:rFonts w:eastAsia="仿宋_GB2312"/>
          <w:color w:val="auto"/>
          <w:sz w:val="24"/>
          <w:szCs w:val="24"/>
          <w:highlight w:val="none"/>
        </w:rPr>
        <w:t>本项目</w:t>
      </w:r>
      <w:r>
        <w:rPr>
          <w:rFonts w:hint="eastAsia" w:eastAsia="仿宋_GB2312"/>
          <w:color w:val="auto"/>
          <w:sz w:val="24"/>
          <w:szCs w:val="24"/>
          <w:highlight w:val="none"/>
          <w:lang w:val="en-US" w:eastAsia="zh-CN"/>
        </w:rPr>
        <w:t>冬季不生产，无供暖需求</w:t>
      </w:r>
      <w:r>
        <w:rPr>
          <w:rFonts w:eastAsia="仿宋_GB2312"/>
          <w:color w:val="auto"/>
          <w:sz w:val="24"/>
          <w:szCs w:val="24"/>
          <w:highlight w:val="none"/>
        </w:rPr>
        <w:t>。</w:t>
      </w:r>
    </w:p>
    <w:p>
      <w:pPr>
        <w:spacing w:line="360" w:lineRule="auto"/>
        <w:ind w:firstLine="480" w:firstLineChars="200"/>
        <w:rPr>
          <w:rFonts w:eastAsia="仿宋_GB2312"/>
          <w:color w:val="auto"/>
          <w:sz w:val="24"/>
          <w:szCs w:val="24"/>
          <w:highlight w:val="none"/>
        </w:rPr>
      </w:pPr>
      <w:r>
        <w:rPr>
          <w:rFonts w:eastAsia="仿宋_GB2312"/>
          <w:color w:val="auto"/>
          <w:sz w:val="24"/>
          <w:szCs w:val="24"/>
          <w:highlight w:val="none"/>
        </w:rPr>
        <w:t>（4）通讯系统</w:t>
      </w:r>
      <w:bookmarkEnd w:id="23"/>
      <w:bookmarkEnd w:id="24"/>
      <w:bookmarkEnd w:id="25"/>
    </w:p>
    <w:p>
      <w:pPr>
        <w:spacing w:line="360" w:lineRule="auto"/>
        <w:ind w:firstLine="480" w:firstLineChars="200"/>
        <w:rPr>
          <w:rFonts w:eastAsia="仿宋_GB2312"/>
          <w:color w:val="auto"/>
          <w:sz w:val="24"/>
          <w:szCs w:val="24"/>
          <w:highlight w:val="none"/>
        </w:rPr>
      </w:pPr>
      <w:r>
        <w:rPr>
          <w:rFonts w:eastAsia="仿宋_GB2312"/>
          <w:color w:val="auto"/>
          <w:sz w:val="24"/>
          <w:szCs w:val="24"/>
          <w:highlight w:val="none"/>
        </w:rPr>
        <w:t>本项目用</w:t>
      </w:r>
      <w:r>
        <w:rPr>
          <w:rFonts w:hint="eastAsia" w:eastAsia="仿宋_GB2312"/>
          <w:color w:val="auto"/>
          <w:sz w:val="24"/>
          <w:szCs w:val="24"/>
          <w:highlight w:val="none"/>
        </w:rPr>
        <w:t>移动通信</w:t>
      </w:r>
      <w:r>
        <w:rPr>
          <w:rFonts w:eastAsia="仿宋_GB2312"/>
          <w:color w:val="auto"/>
          <w:sz w:val="24"/>
          <w:szCs w:val="24"/>
          <w:highlight w:val="none"/>
        </w:rPr>
        <w:t>进行</w:t>
      </w:r>
      <w:r>
        <w:rPr>
          <w:rFonts w:hint="eastAsia" w:eastAsia="仿宋_GB2312"/>
          <w:color w:val="auto"/>
          <w:sz w:val="24"/>
          <w:szCs w:val="24"/>
          <w:highlight w:val="none"/>
          <w:lang w:val="en-US" w:eastAsia="zh-CN"/>
        </w:rPr>
        <w:t>日常运行</w:t>
      </w:r>
      <w:r>
        <w:rPr>
          <w:rFonts w:eastAsia="仿宋_GB2312"/>
          <w:color w:val="auto"/>
          <w:sz w:val="24"/>
          <w:szCs w:val="24"/>
          <w:highlight w:val="none"/>
        </w:rPr>
        <w:t>通讯</w:t>
      </w:r>
      <w:r>
        <w:rPr>
          <w:rFonts w:eastAsia="仿宋_GB2312"/>
          <w:color w:val="auto"/>
          <w:sz w:val="24"/>
          <w:szCs w:val="24"/>
          <w:highlight w:val="none"/>
        </w:rPr>
        <w:t>。</w:t>
      </w:r>
    </w:p>
    <w:p>
      <w:pPr>
        <w:spacing w:line="360" w:lineRule="auto"/>
        <w:rPr>
          <w:color w:val="auto"/>
        </w:rPr>
      </w:pPr>
      <w:r>
        <w:rPr>
          <w:rFonts w:eastAsia="仿宋_GB2312"/>
          <w:b/>
          <w:bCs/>
          <w:color w:val="auto"/>
          <w:szCs w:val="24"/>
        </w:rPr>
        <w:t>2.1.</w:t>
      </w:r>
      <w:r>
        <w:rPr>
          <w:rFonts w:hint="eastAsia" w:eastAsia="仿宋_GB2312"/>
          <w:b/>
          <w:bCs/>
          <w:color w:val="auto"/>
          <w:szCs w:val="24"/>
        </w:rPr>
        <w:t>6</w:t>
      </w:r>
      <w:r>
        <w:rPr>
          <w:rFonts w:eastAsia="仿宋_GB2312"/>
          <w:b/>
          <w:bCs/>
          <w:color w:val="auto"/>
          <w:szCs w:val="24"/>
        </w:rPr>
        <w:t>项目内外交通</w:t>
      </w:r>
    </w:p>
    <w:p>
      <w:pPr>
        <w:spacing w:line="360" w:lineRule="auto"/>
        <w:ind w:firstLine="480" w:firstLineChars="200"/>
        <w:jc w:val="both"/>
        <w:rPr>
          <w:rFonts w:hint="eastAsia" w:eastAsia="仿宋_GB2312"/>
          <w:color w:val="auto"/>
          <w:lang w:eastAsia="zh-CN"/>
        </w:rPr>
      </w:pPr>
      <w:r>
        <w:rPr>
          <w:rFonts w:hint="default" w:ascii="Times New Roman" w:hAnsi="Times New Roman" w:eastAsia="仿宋_GB2312" w:cs="Times New Roman"/>
          <w:color w:val="auto"/>
        </w:rPr>
        <w:t>本项目位于</w:t>
      </w:r>
      <w:r>
        <w:rPr>
          <w:rFonts w:hint="default" w:eastAsia="仿宋_GB2312"/>
          <w:color w:val="auto"/>
          <w:szCs w:val="24"/>
          <w:highlight w:val="none"/>
          <w:lang w:eastAsia="zh-CN"/>
        </w:rPr>
        <w:t>白山市抚松县德胜村道口504国道东侧，租赁原民富砖瓦陶瓷厂空地</w:t>
      </w:r>
      <w:r>
        <w:rPr>
          <w:rFonts w:hint="default" w:ascii="Times New Roman" w:hAnsi="Times New Roman" w:eastAsia="仿宋_GB2312" w:cs="Times New Roman"/>
          <w:color w:val="auto"/>
        </w:rPr>
        <w:t>。项目</w:t>
      </w:r>
      <w:r>
        <w:rPr>
          <w:rFonts w:hint="eastAsia" w:eastAsia="仿宋_GB2312" w:cs="Times New Roman"/>
          <w:color w:val="auto"/>
          <w:lang w:val="en-US" w:eastAsia="zh-CN"/>
        </w:rPr>
        <w:t>西</w:t>
      </w:r>
      <w:r>
        <w:rPr>
          <w:rFonts w:hint="eastAsia" w:ascii="Times New Roman" w:hAnsi="Times New Roman" w:eastAsia="仿宋_GB2312" w:cs="Times New Roman"/>
          <w:color w:val="auto"/>
          <w:lang w:val="en-US" w:eastAsia="zh-CN"/>
        </w:rPr>
        <w:t>侧</w:t>
      </w:r>
      <w:r>
        <w:rPr>
          <w:rFonts w:hint="default" w:ascii="Times New Roman" w:hAnsi="Times New Roman" w:eastAsia="仿宋_GB2312" w:cs="Times New Roman"/>
          <w:color w:val="auto"/>
        </w:rPr>
        <w:t>为</w:t>
      </w:r>
      <w:r>
        <w:rPr>
          <w:rFonts w:hint="eastAsia" w:eastAsia="仿宋_GB2312" w:cs="Times New Roman"/>
          <w:color w:val="auto"/>
          <w:lang w:val="en-US" w:eastAsia="zh-CN"/>
        </w:rPr>
        <w:t>504国道</w:t>
      </w:r>
      <w:r>
        <w:rPr>
          <w:rFonts w:hint="default" w:ascii="Times New Roman" w:hAnsi="Times New Roman" w:eastAsia="仿宋_GB2312" w:cs="Times New Roman"/>
          <w:color w:val="auto"/>
        </w:rPr>
        <w:t>，交通便利，可以满足施工、运营过程中的交通需求。工程建设内部道路</w:t>
      </w:r>
      <w:r>
        <w:rPr>
          <w:rFonts w:hint="eastAsia" w:eastAsia="仿宋_GB2312" w:cs="Times New Roman"/>
          <w:color w:val="auto"/>
          <w:lang w:val="en-US" w:eastAsia="zh-CN"/>
        </w:rPr>
        <w:t>施工期</w:t>
      </w:r>
      <w:r>
        <w:rPr>
          <w:rFonts w:hint="default" w:ascii="Times New Roman" w:hAnsi="Times New Roman" w:eastAsia="仿宋_GB2312" w:cs="Times New Roman"/>
          <w:color w:val="auto"/>
          <w:sz w:val="24"/>
          <w:szCs w:val="24"/>
        </w:rPr>
        <w:t>先平整压实，可形成砂石路基，再在路表层铺设碎石，即可满足施工期材料运输的要求，施工结束后铺设混凝土路面</w:t>
      </w:r>
      <w:r>
        <w:rPr>
          <w:rFonts w:hint="eastAsia" w:ascii="Times New Roman" w:hAnsi="Times New Roman" w:eastAsia="仿宋_GB2312" w:cs="Times New Roman"/>
          <w:color w:val="auto"/>
          <w:sz w:val="24"/>
          <w:szCs w:val="24"/>
          <w:lang w:eastAsia="zh-CN"/>
        </w:rPr>
        <w:t>。</w:t>
      </w:r>
    </w:p>
    <w:p>
      <w:pPr>
        <w:pStyle w:val="5"/>
        <w:spacing w:before="0" w:after="0" w:line="360" w:lineRule="auto"/>
        <w:rPr>
          <w:rFonts w:ascii="Times New Roman" w:hAnsi="Times New Roman" w:eastAsia="仿宋_GB2312"/>
          <w:color w:val="auto"/>
          <w:sz w:val="28"/>
          <w:szCs w:val="28"/>
        </w:rPr>
      </w:pPr>
      <w:bookmarkStart w:id="26" w:name="_Toc7892"/>
      <w:r>
        <w:rPr>
          <w:rFonts w:ascii="Times New Roman" w:hAnsi="Times New Roman" w:eastAsia="仿宋_GB2312"/>
          <w:color w:val="auto"/>
          <w:sz w:val="28"/>
          <w:szCs w:val="28"/>
        </w:rPr>
        <w:t>2.2施工组织</w:t>
      </w:r>
      <w:bookmarkEnd w:id="26"/>
    </w:p>
    <w:p>
      <w:pPr>
        <w:spacing w:line="360" w:lineRule="auto"/>
        <w:jc w:val="both"/>
        <w:rPr>
          <w:rFonts w:eastAsia="仿宋_GB2312"/>
          <w:b/>
          <w:color w:val="auto"/>
          <w:szCs w:val="24"/>
        </w:rPr>
      </w:pPr>
      <w:r>
        <w:rPr>
          <w:rFonts w:eastAsia="仿宋_GB2312"/>
          <w:b/>
          <w:color w:val="auto"/>
          <w:szCs w:val="24"/>
        </w:rPr>
        <w:t>2.2.1施工生产区和生活区布置</w:t>
      </w:r>
    </w:p>
    <w:p>
      <w:pPr>
        <w:spacing w:line="360" w:lineRule="auto"/>
        <w:ind w:firstLine="480" w:firstLineChars="200"/>
        <w:jc w:val="both"/>
        <w:rPr>
          <w:rFonts w:eastAsia="仿宋_GB2312"/>
          <w:b/>
          <w:color w:val="auto"/>
          <w:szCs w:val="24"/>
        </w:rPr>
      </w:pPr>
      <w:r>
        <w:rPr>
          <w:rFonts w:eastAsia="仿宋_GB2312"/>
          <w:color w:val="auto"/>
        </w:rPr>
        <w:t>本工程施工场地可在占地范围内布设完成，位于项目内</w:t>
      </w:r>
      <w:r>
        <w:rPr>
          <w:rFonts w:hint="eastAsia" w:eastAsia="仿宋_GB2312"/>
          <w:color w:val="auto"/>
        </w:rPr>
        <w:t>西侧</w:t>
      </w:r>
      <w:r>
        <w:rPr>
          <w:rFonts w:eastAsia="仿宋_GB2312"/>
          <w:color w:val="auto"/>
        </w:rPr>
        <w:t>空地，不新增临时占地。本工程施工场地占地面积</w:t>
      </w:r>
      <w:r>
        <w:rPr>
          <w:rFonts w:hint="eastAsia" w:eastAsia="仿宋_GB2312"/>
          <w:color w:val="auto"/>
          <w:lang w:val="en-US" w:eastAsia="zh-CN"/>
        </w:rPr>
        <w:t>2</w:t>
      </w:r>
      <w:r>
        <w:rPr>
          <w:rFonts w:eastAsia="仿宋_GB2312"/>
          <w:color w:val="auto"/>
        </w:rPr>
        <w:t>00m</w:t>
      </w:r>
      <w:r>
        <w:rPr>
          <w:rFonts w:eastAsia="仿宋_GB2312"/>
          <w:color w:val="auto"/>
          <w:vertAlign w:val="superscript"/>
        </w:rPr>
        <w:t>2</w:t>
      </w:r>
      <w:r>
        <w:rPr>
          <w:rFonts w:eastAsia="仿宋_GB2312"/>
          <w:color w:val="auto"/>
        </w:rPr>
        <w:t>，呈矩形布设，长度</w:t>
      </w:r>
      <w:r>
        <w:rPr>
          <w:rFonts w:hint="eastAsia" w:eastAsia="仿宋_GB2312"/>
          <w:color w:val="auto"/>
          <w:lang w:val="en-US" w:eastAsia="zh-CN"/>
        </w:rPr>
        <w:t>20</w:t>
      </w:r>
      <w:r>
        <w:rPr>
          <w:rFonts w:eastAsia="仿宋_GB2312"/>
          <w:color w:val="auto"/>
        </w:rPr>
        <w:t>m，宽度</w:t>
      </w:r>
      <w:r>
        <w:rPr>
          <w:rFonts w:hint="eastAsia" w:eastAsia="仿宋_GB2312"/>
          <w:color w:val="auto"/>
          <w:lang w:val="en-US" w:eastAsia="zh-CN"/>
        </w:rPr>
        <w:t>10</w:t>
      </w:r>
      <w:r>
        <w:rPr>
          <w:rFonts w:eastAsia="仿宋_GB2312"/>
          <w:color w:val="auto"/>
        </w:rPr>
        <w:t>m，</w:t>
      </w:r>
      <w:r>
        <w:rPr>
          <w:rFonts w:hint="eastAsia" w:eastAsia="仿宋_GB2312"/>
          <w:color w:val="auto"/>
          <w:lang w:val="en-US" w:eastAsia="zh-CN"/>
        </w:rPr>
        <w:t>施工期</w:t>
      </w:r>
      <w:r>
        <w:rPr>
          <w:rFonts w:hint="eastAsia" w:eastAsia="仿宋_GB2312" w:cs="Times New Roman"/>
          <w:color w:val="auto"/>
          <w:spacing w:val="-4"/>
          <w:sz w:val="24"/>
          <w:szCs w:val="24"/>
          <w:lang w:val="en-US" w:eastAsia="zh-CN"/>
        </w:rPr>
        <w:t>地表为砂石地面，</w:t>
      </w:r>
      <w:r>
        <w:rPr>
          <w:rFonts w:eastAsia="仿宋_GB2312"/>
          <w:color w:val="auto"/>
        </w:rPr>
        <w:t>用于施工期间停放施工机械，堆放施工材料，施工人员办公及住宿。</w:t>
      </w:r>
      <w:r>
        <w:rPr>
          <w:rFonts w:hint="eastAsia" w:ascii="Times New Roman" w:hAnsi="Times New Roman" w:eastAsia="仿宋_GB2312" w:cs="Times New Roman"/>
          <w:color w:val="auto"/>
          <w:sz w:val="24"/>
          <w:szCs w:val="24"/>
          <w:highlight w:val="none"/>
          <w:lang w:val="en-US" w:eastAsia="zh-CN"/>
        </w:rPr>
        <w:t>施工结束后对彩钢建筑进行拆除，地面保留。</w:t>
      </w:r>
    </w:p>
    <w:p>
      <w:pPr>
        <w:spacing w:line="360" w:lineRule="auto"/>
        <w:jc w:val="both"/>
        <w:rPr>
          <w:rFonts w:eastAsia="仿宋_GB2312"/>
          <w:b/>
          <w:color w:val="auto"/>
          <w:szCs w:val="24"/>
        </w:rPr>
      </w:pPr>
      <w:r>
        <w:rPr>
          <w:rFonts w:eastAsia="仿宋_GB2312"/>
          <w:b/>
          <w:color w:val="auto"/>
          <w:szCs w:val="24"/>
        </w:rPr>
        <w:t>2.2.2施工道路布置</w:t>
      </w:r>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rPr>
        <w:t>项目区紧邻</w:t>
      </w:r>
      <w:r>
        <w:rPr>
          <w:rFonts w:hint="eastAsia" w:ascii="Times New Roman" w:hAnsi="Times New Roman" w:eastAsia="仿宋_GB2312" w:cs="Times New Roman"/>
          <w:color w:val="auto"/>
          <w:lang w:val="en-US" w:eastAsia="zh-CN"/>
        </w:rPr>
        <w:t>道</w:t>
      </w:r>
      <w:r>
        <w:rPr>
          <w:rFonts w:hint="default" w:ascii="Times New Roman" w:hAnsi="Times New Roman" w:eastAsia="仿宋_GB2312" w:cs="Times New Roman"/>
          <w:color w:val="auto"/>
        </w:rPr>
        <w:t>路，不需设置进场道路。</w:t>
      </w:r>
      <w:r>
        <w:rPr>
          <w:rFonts w:hint="eastAsia" w:eastAsia="仿宋_GB2312" w:cs="Times New Roman"/>
          <w:color w:val="auto"/>
          <w:lang w:val="en-US" w:eastAsia="zh-CN"/>
        </w:rPr>
        <w:t>施工期间</w:t>
      </w:r>
      <w:r>
        <w:rPr>
          <w:rFonts w:hint="default" w:ascii="Times New Roman" w:hAnsi="Times New Roman" w:eastAsia="仿宋_GB2312" w:cs="Times New Roman"/>
          <w:color w:val="auto"/>
        </w:rPr>
        <w:t>工程建设内部道路</w:t>
      </w:r>
      <w:r>
        <w:rPr>
          <w:rFonts w:hint="eastAsia" w:eastAsia="仿宋_GB2312" w:cs="Times New Roman"/>
          <w:color w:val="auto"/>
          <w:lang w:val="en-US" w:eastAsia="zh-CN"/>
        </w:rPr>
        <w:t>为砂石路面</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rPr>
        <w:t>能够满足本项目施工期间各种材料的运输，工程施工期间不需修建其它外部施工道路。</w:t>
      </w:r>
    </w:p>
    <w:p>
      <w:pPr>
        <w:spacing w:line="360" w:lineRule="auto"/>
        <w:jc w:val="both"/>
        <w:rPr>
          <w:rFonts w:eastAsia="仿宋_GB2312"/>
          <w:b/>
          <w:bCs/>
          <w:color w:val="auto"/>
        </w:rPr>
      </w:pPr>
      <w:r>
        <w:rPr>
          <w:rFonts w:eastAsia="仿宋_GB2312"/>
          <w:b/>
          <w:bCs/>
          <w:color w:val="auto"/>
        </w:rPr>
        <w:t>2.2.3临时堆土场布置</w:t>
      </w:r>
    </w:p>
    <w:p>
      <w:pPr>
        <w:spacing w:line="360" w:lineRule="auto"/>
        <w:ind w:firstLine="480" w:firstLineChars="200"/>
        <w:jc w:val="both"/>
        <w:rPr>
          <w:rFonts w:hint="default" w:eastAsia="仿宋_GB2312"/>
          <w:color w:val="auto"/>
          <w:lang w:val="en-US" w:eastAsia="zh-CN"/>
        </w:rPr>
      </w:pPr>
      <w:r>
        <w:rPr>
          <w:rFonts w:hint="eastAsia" w:eastAsia="仿宋_GB2312"/>
          <w:color w:val="auto"/>
          <w:lang w:val="en-US" w:eastAsia="zh-CN"/>
        </w:rPr>
        <w:t>本项目开挖土方量共计0.10万m</w:t>
      </w:r>
      <w:r>
        <w:rPr>
          <w:rFonts w:hint="eastAsia" w:eastAsia="仿宋_GB2312"/>
          <w:color w:val="auto"/>
          <w:vertAlign w:val="superscript"/>
          <w:lang w:val="en-US" w:eastAsia="zh-CN"/>
        </w:rPr>
        <w:t>3</w:t>
      </w:r>
      <w:r>
        <w:rPr>
          <w:rFonts w:hint="eastAsia" w:eastAsia="仿宋_GB2312"/>
          <w:color w:val="auto"/>
          <w:lang w:val="en-US" w:eastAsia="zh-CN"/>
        </w:rPr>
        <w:t>，其中0.03万m</w:t>
      </w:r>
      <w:r>
        <w:rPr>
          <w:rFonts w:hint="eastAsia" w:eastAsia="仿宋_GB2312"/>
          <w:color w:val="auto"/>
          <w:vertAlign w:val="superscript"/>
          <w:lang w:val="en-US" w:eastAsia="zh-CN"/>
        </w:rPr>
        <w:t>3</w:t>
      </w:r>
      <w:r>
        <w:rPr>
          <w:rFonts w:hint="eastAsia" w:eastAsia="仿宋_GB2312"/>
          <w:color w:val="auto"/>
          <w:lang w:val="en-US" w:eastAsia="zh-CN"/>
        </w:rPr>
        <w:t>用于基础回填，0.06万m</w:t>
      </w:r>
      <w:r>
        <w:rPr>
          <w:rFonts w:hint="eastAsia" w:eastAsia="仿宋_GB2312"/>
          <w:color w:val="auto"/>
          <w:vertAlign w:val="superscript"/>
          <w:lang w:val="en-US" w:eastAsia="zh-CN"/>
        </w:rPr>
        <w:t>3</w:t>
      </w:r>
      <w:r>
        <w:rPr>
          <w:rFonts w:hint="eastAsia" w:eastAsia="仿宋_GB2312"/>
          <w:color w:val="auto"/>
          <w:lang w:val="en-US" w:eastAsia="zh-CN"/>
        </w:rPr>
        <w:t>用于场地平整。基础回填土方堆存于临时堆土场，堆土场位于厂区内东侧空地，堆场面积为180m</w:t>
      </w:r>
      <w:r>
        <w:rPr>
          <w:rFonts w:hint="eastAsia" w:eastAsia="仿宋_GB2312"/>
          <w:color w:val="auto"/>
          <w:vertAlign w:val="superscript"/>
          <w:lang w:val="en-US" w:eastAsia="zh-CN"/>
        </w:rPr>
        <w:t>2</w:t>
      </w:r>
      <w:r>
        <w:rPr>
          <w:rFonts w:hint="eastAsia" w:eastAsia="仿宋_GB2312"/>
          <w:color w:val="auto"/>
          <w:lang w:val="en-US" w:eastAsia="zh-CN"/>
        </w:rPr>
        <w:t>，</w:t>
      </w:r>
      <w:r>
        <w:rPr>
          <w:rFonts w:hint="default" w:ascii="Times New Roman" w:hAnsi="Times New Roman" w:eastAsia="仿宋_GB2312" w:cs="Times New Roman"/>
          <w:color w:val="auto"/>
          <w:highlight w:val="none"/>
        </w:rPr>
        <w:t>堆土场长</w:t>
      </w:r>
      <w:r>
        <w:rPr>
          <w:rFonts w:hint="eastAsia" w:eastAsia="仿宋_GB2312" w:cs="Times New Roman"/>
          <w:color w:val="auto"/>
          <w:highlight w:val="none"/>
          <w:lang w:val="en-US" w:eastAsia="zh-CN"/>
        </w:rPr>
        <w:t>15</w:t>
      </w:r>
      <w:r>
        <w:rPr>
          <w:rFonts w:hint="default" w:ascii="Times New Roman" w:hAnsi="Times New Roman" w:eastAsia="仿宋_GB2312" w:cs="Times New Roman"/>
          <w:color w:val="auto"/>
          <w:highlight w:val="none"/>
        </w:rPr>
        <w:t>m、宽</w:t>
      </w:r>
      <w:r>
        <w:rPr>
          <w:rFonts w:hint="eastAsia" w:eastAsia="仿宋_GB2312" w:cs="Times New Roman"/>
          <w:color w:val="auto"/>
          <w:highlight w:val="none"/>
          <w:lang w:val="en-US" w:eastAsia="zh-CN"/>
        </w:rPr>
        <w:t>12</w:t>
      </w:r>
      <w:r>
        <w:rPr>
          <w:rFonts w:hint="default" w:ascii="Times New Roman" w:hAnsi="Times New Roman" w:eastAsia="仿宋_GB2312" w:cs="Times New Roman"/>
          <w:color w:val="auto"/>
          <w:highlight w:val="none"/>
        </w:rPr>
        <w:t>m、高</w:t>
      </w:r>
      <w:r>
        <w:rPr>
          <w:rFonts w:hint="eastAsia" w:eastAsia="仿宋_GB2312" w:cs="Times New Roman"/>
          <w:color w:val="auto"/>
          <w:highlight w:val="none"/>
          <w:lang w:val="en-US" w:eastAsia="zh-CN"/>
        </w:rPr>
        <w:t>3.5</w:t>
      </w:r>
      <w:r>
        <w:rPr>
          <w:rFonts w:hint="default" w:ascii="Times New Roman" w:hAnsi="Times New Roman" w:eastAsia="仿宋_GB2312" w:cs="Times New Roman"/>
          <w:color w:val="auto"/>
          <w:highlight w:val="none"/>
        </w:rPr>
        <w:t>m</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rPr>
        <w:t>边坡比1：1.</w:t>
      </w:r>
      <w:r>
        <w:rPr>
          <w:rFonts w:hint="default" w:ascii="Times New Roman" w:hAnsi="Times New Roman" w:eastAsia="仿宋_GB2312" w:cs="Times New Roman"/>
          <w:color w:val="auto"/>
          <w:highlight w:val="none"/>
          <w:lang w:val="en-US" w:eastAsia="zh-CN"/>
        </w:rPr>
        <w:t>5</w:t>
      </w:r>
      <w:r>
        <w:rPr>
          <w:rFonts w:hint="eastAsia" w:eastAsia="仿宋_GB2312" w:cs="Times New Roman"/>
          <w:color w:val="auto"/>
          <w:highlight w:val="none"/>
          <w:lang w:val="en-US" w:eastAsia="zh-CN"/>
        </w:rPr>
        <w:t>，堆土场可容土方0.04万m</w:t>
      </w:r>
      <w:r>
        <w:rPr>
          <w:rFonts w:hint="eastAsia" w:eastAsia="仿宋_GB2312" w:cs="Times New Roman"/>
          <w:color w:val="auto"/>
          <w:highlight w:val="none"/>
          <w:vertAlign w:val="superscript"/>
          <w:lang w:val="en-US" w:eastAsia="zh-CN"/>
        </w:rPr>
        <w:t>3</w:t>
      </w:r>
      <w:r>
        <w:rPr>
          <w:rFonts w:hint="eastAsia" w:eastAsia="仿宋_GB2312" w:cs="Times New Roman"/>
          <w:color w:val="auto"/>
          <w:highlight w:val="none"/>
          <w:lang w:val="en-US" w:eastAsia="zh-CN"/>
        </w:rPr>
        <w:t>，可以满足堆土要求，主体采取密目网苫盖措施对其进行防护。</w:t>
      </w:r>
    </w:p>
    <w:p>
      <w:pPr>
        <w:spacing w:line="360" w:lineRule="auto"/>
        <w:jc w:val="both"/>
        <w:rPr>
          <w:rFonts w:eastAsia="仿宋_GB2312"/>
          <w:b/>
          <w:color w:val="auto"/>
          <w:szCs w:val="24"/>
        </w:rPr>
      </w:pPr>
      <w:r>
        <w:rPr>
          <w:rFonts w:eastAsia="仿宋_GB2312"/>
          <w:b/>
          <w:color w:val="auto"/>
          <w:szCs w:val="24"/>
        </w:rPr>
        <w:t>2.2.4施工力能</w:t>
      </w:r>
    </w:p>
    <w:p>
      <w:pPr>
        <w:spacing w:line="360" w:lineRule="auto"/>
        <w:ind w:firstLine="480" w:firstLineChars="200"/>
        <w:rPr>
          <w:rFonts w:eastAsia="仿宋_GB2312"/>
          <w:color w:val="auto"/>
        </w:rPr>
      </w:pPr>
      <w:r>
        <w:rPr>
          <w:rFonts w:eastAsia="仿宋_GB2312"/>
          <w:color w:val="auto"/>
        </w:rPr>
        <w:t>施工用水：</w:t>
      </w:r>
      <w:r>
        <w:rPr>
          <w:rFonts w:hint="default" w:ascii="Times New Roman" w:hAnsi="Times New Roman" w:eastAsia="仿宋_GB2312" w:cs="Times New Roman"/>
          <w:color w:val="auto"/>
          <w:sz w:val="24"/>
          <w:szCs w:val="24"/>
          <w:highlight w:val="none"/>
          <w:lang w:val="en-US"/>
        </w:rPr>
        <w:t>由厂区深水井提供</w:t>
      </w:r>
      <w:r>
        <w:rPr>
          <w:rFonts w:hint="default" w:ascii="Times New Roman" w:hAnsi="Times New Roman" w:eastAsia="仿宋_GB2312" w:cs="Times New Roman"/>
          <w:color w:val="auto"/>
          <w:sz w:val="24"/>
          <w:szCs w:val="24"/>
          <w:highlight w:val="none"/>
        </w:rPr>
        <w:t>，可满足建设用水需求</w:t>
      </w:r>
      <w:r>
        <w:rPr>
          <w:rFonts w:hint="eastAsia" w:eastAsia="仿宋_GB2312"/>
          <w:color w:val="auto"/>
          <w:sz w:val="24"/>
          <w:szCs w:val="24"/>
          <w:highlight w:val="none"/>
        </w:rPr>
        <w:t>。</w:t>
      </w:r>
    </w:p>
    <w:p>
      <w:pPr>
        <w:spacing w:line="360" w:lineRule="auto"/>
        <w:ind w:firstLine="480" w:firstLineChars="200"/>
        <w:rPr>
          <w:rFonts w:eastAsia="仿宋_GB2312"/>
          <w:color w:val="auto"/>
        </w:rPr>
      </w:pPr>
      <w:r>
        <w:rPr>
          <w:rFonts w:eastAsia="仿宋_GB2312"/>
          <w:color w:val="auto"/>
        </w:rPr>
        <w:t>施工用电：</w:t>
      </w:r>
      <w:r>
        <w:rPr>
          <w:rFonts w:hint="default" w:ascii="Times New Roman" w:hAnsi="Times New Roman" w:eastAsia="仿宋_GB2312" w:cs="Times New Roman"/>
          <w:color w:val="auto"/>
          <w:sz w:val="24"/>
          <w:szCs w:val="24"/>
          <w:highlight w:val="none"/>
        </w:rPr>
        <w:t>由城镇供电网提供</w:t>
      </w:r>
      <w:r>
        <w:rPr>
          <w:rFonts w:hint="eastAsia" w:eastAsia="仿宋_GB2312" w:cs="Times New Roman"/>
          <w:color w:val="auto"/>
          <w:sz w:val="24"/>
          <w:szCs w:val="24"/>
          <w:highlight w:val="none"/>
          <w:lang w:eastAsia="zh-CN"/>
        </w:rPr>
        <w:t>，</w:t>
      </w:r>
      <w:r>
        <w:rPr>
          <w:rFonts w:eastAsia="仿宋_GB2312"/>
          <w:color w:val="auto"/>
          <w:sz w:val="24"/>
          <w:szCs w:val="24"/>
          <w:highlight w:val="none"/>
        </w:rPr>
        <w:t>能够满足本项目的用电需求</w:t>
      </w:r>
      <w:r>
        <w:rPr>
          <w:rFonts w:eastAsia="仿宋_GB2312"/>
          <w:color w:val="auto"/>
        </w:rPr>
        <w:t>。</w:t>
      </w:r>
    </w:p>
    <w:p>
      <w:pPr>
        <w:spacing w:line="360" w:lineRule="auto"/>
        <w:ind w:firstLine="480" w:firstLineChars="200"/>
        <w:rPr>
          <w:rFonts w:eastAsia="仿宋_GB2312"/>
          <w:color w:val="auto"/>
        </w:rPr>
      </w:pPr>
      <w:r>
        <w:rPr>
          <w:rFonts w:eastAsia="仿宋_GB2312"/>
          <w:color w:val="auto"/>
        </w:rPr>
        <w:t>施工通讯：使用</w:t>
      </w:r>
      <w:r>
        <w:rPr>
          <w:rFonts w:hint="eastAsia" w:eastAsia="仿宋_GB2312"/>
          <w:color w:val="auto"/>
          <w:sz w:val="24"/>
          <w:szCs w:val="24"/>
          <w:highlight w:val="none"/>
        </w:rPr>
        <w:t>移动通信</w:t>
      </w:r>
      <w:r>
        <w:rPr>
          <w:rFonts w:eastAsia="仿宋_GB2312"/>
          <w:color w:val="auto"/>
          <w:sz w:val="24"/>
          <w:szCs w:val="24"/>
          <w:highlight w:val="none"/>
        </w:rPr>
        <w:t>进行</w:t>
      </w:r>
      <w:r>
        <w:rPr>
          <w:rFonts w:hint="eastAsia" w:eastAsia="仿宋_GB2312"/>
          <w:color w:val="auto"/>
          <w:sz w:val="24"/>
          <w:szCs w:val="24"/>
          <w:highlight w:val="none"/>
          <w:lang w:val="en-US" w:eastAsia="zh-CN"/>
        </w:rPr>
        <w:t>日常联络</w:t>
      </w:r>
      <w:r>
        <w:rPr>
          <w:rFonts w:eastAsia="仿宋_GB2312"/>
          <w:color w:val="auto"/>
          <w:sz w:val="24"/>
          <w:szCs w:val="24"/>
          <w:highlight w:val="none"/>
        </w:rPr>
        <w:t>通讯</w:t>
      </w:r>
      <w:r>
        <w:rPr>
          <w:rFonts w:eastAsia="仿宋_GB2312"/>
          <w:color w:val="auto"/>
        </w:rPr>
        <w:t>。</w:t>
      </w:r>
    </w:p>
    <w:p>
      <w:pPr>
        <w:spacing w:line="360" w:lineRule="auto"/>
        <w:ind w:firstLine="480" w:firstLineChars="200"/>
        <w:jc w:val="both"/>
        <w:rPr>
          <w:rFonts w:hint="eastAsia" w:eastAsia="仿宋_GB2312"/>
          <w:color w:val="auto"/>
          <w:lang w:eastAsia="zh-CN"/>
        </w:rPr>
      </w:pPr>
      <w:r>
        <w:rPr>
          <w:rFonts w:eastAsia="仿宋_GB2312"/>
          <w:color w:val="auto"/>
        </w:rPr>
        <w:t>施工道路：利用既有道路可直接进入场区</w:t>
      </w:r>
      <w:r>
        <w:rPr>
          <w:rFonts w:hint="eastAsia" w:eastAsia="仿宋_GB2312"/>
          <w:color w:val="auto"/>
          <w:lang w:eastAsia="zh-CN"/>
        </w:rPr>
        <w:t>。</w:t>
      </w:r>
    </w:p>
    <w:p>
      <w:pPr>
        <w:spacing w:line="360" w:lineRule="auto"/>
        <w:jc w:val="both"/>
        <w:rPr>
          <w:rFonts w:eastAsia="仿宋_GB2312"/>
          <w:color w:val="auto"/>
        </w:rPr>
      </w:pPr>
      <w:r>
        <w:rPr>
          <w:rFonts w:eastAsia="仿宋_GB2312"/>
          <w:b/>
          <w:color w:val="auto"/>
          <w:szCs w:val="24"/>
        </w:rPr>
        <w:t>2.2.5</w:t>
      </w:r>
      <w:r>
        <w:rPr>
          <w:rFonts w:hint="default" w:eastAsia="仿宋_GB2312"/>
          <w:b/>
          <w:color w:val="auto"/>
          <w:szCs w:val="24"/>
        </w:rPr>
        <w:t>建筑材料来源及运输条件</w:t>
      </w:r>
    </w:p>
    <w:p>
      <w:pPr>
        <w:pStyle w:val="100"/>
        <w:numPr>
          <w:ilvl w:val="0"/>
          <w:numId w:val="0"/>
        </w:numPr>
        <w:ind w:left="432"/>
        <w:outlineLvl w:val="9"/>
        <w:rPr>
          <w:rFonts w:hint="default" w:ascii="Times New Roman" w:hAnsi="Times New Roman" w:eastAsia="仿宋_GB2312" w:cs="Times New Roman"/>
          <w:b w:val="0"/>
          <w:color w:val="auto"/>
          <w:sz w:val="24"/>
          <w:szCs w:val="20"/>
        </w:rPr>
      </w:pPr>
      <w:bookmarkStart w:id="27" w:name="_Toc25101"/>
      <w:r>
        <w:rPr>
          <w:rFonts w:hint="default" w:ascii="Times New Roman" w:hAnsi="Times New Roman" w:eastAsia="仿宋_GB2312" w:cs="Times New Roman"/>
          <w:b w:val="0"/>
          <w:color w:val="auto"/>
          <w:sz w:val="24"/>
          <w:szCs w:val="20"/>
        </w:rPr>
        <w:t>本项目施工所需建筑材料，该地区均有销售，数量和质量均能满足需要，用</w:t>
      </w:r>
      <w:bookmarkEnd w:id="27"/>
    </w:p>
    <w:p>
      <w:pPr>
        <w:pStyle w:val="100"/>
        <w:numPr>
          <w:ilvl w:val="0"/>
          <w:numId w:val="0"/>
        </w:numPr>
        <w:ind w:left="432" w:hanging="432"/>
        <w:outlineLvl w:val="9"/>
        <w:rPr>
          <w:rFonts w:hint="default" w:ascii="Times New Roman" w:hAnsi="Times New Roman" w:eastAsia="仿宋_GB2312" w:cs="Times New Roman"/>
          <w:b w:val="0"/>
          <w:color w:val="auto"/>
          <w:sz w:val="24"/>
          <w:szCs w:val="20"/>
        </w:rPr>
      </w:pPr>
      <w:bookmarkStart w:id="28" w:name="_Toc27827"/>
      <w:r>
        <w:rPr>
          <w:rFonts w:hint="default" w:ascii="Times New Roman" w:hAnsi="Times New Roman" w:eastAsia="仿宋_GB2312" w:cs="Times New Roman"/>
          <w:b w:val="0"/>
          <w:color w:val="auto"/>
          <w:sz w:val="24"/>
          <w:szCs w:val="20"/>
        </w:rPr>
        <w:t>汽车通过既有道路运输。建筑材料均采用购入方式，各种材料料场等在开采过程</w:t>
      </w:r>
      <w:bookmarkEnd w:id="28"/>
    </w:p>
    <w:p>
      <w:pPr>
        <w:pStyle w:val="100"/>
        <w:numPr>
          <w:ilvl w:val="0"/>
          <w:numId w:val="0"/>
        </w:numPr>
        <w:ind w:left="432" w:hanging="432"/>
        <w:outlineLvl w:val="9"/>
        <w:rPr>
          <w:rFonts w:hint="default" w:ascii="Times New Roman" w:hAnsi="Times New Roman" w:eastAsia="仿宋_GB2312" w:cs="Times New Roman"/>
          <w:b w:val="0"/>
          <w:color w:val="auto"/>
          <w:sz w:val="24"/>
          <w:szCs w:val="20"/>
        </w:rPr>
      </w:pPr>
      <w:bookmarkStart w:id="29" w:name="_Toc15424"/>
      <w:r>
        <w:rPr>
          <w:rFonts w:hint="default" w:ascii="Times New Roman" w:hAnsi="Times New Roman" w:eastAsia="仿宋_GB2312" w:cs="Times New Roman"/>
          <w:b w:val="0"/>
          <w:color w:val="auto"/>
          <w:sz w:val="24"/>
          <w:szCs w:val="20"/>
        </w:rPr>
        <w:t>中破坏水土资源，造成水土流失，在材料购买合同中明确水土流失防治责任由供</w:t>
      </w:r>
      <w:bookmarkEnd w:id="29"/>
    </w:p>
    <w:p>
      <w:pPr>
        <w:pStyle w:val="100"/>
        <w:numPr>
          <w:ilvl w:val="0"/>
          <w:numId w:val="0"/>
        </w:numPr>
        <w:ind w:left="432" w:hanging="432"/>
        <w:outlineLvl w:val="9"/>
        <w:rPr>
          <w:rFonts w:hint="default" w:ascii="Times New Roman" w:hAnsi="Times New Roman" w:eastAsia="仿宋_GB2312" w:cs="Times New Roman"/>
          <w:b w:val="0"/>
          <w:color w:val="auto"/>
          <w:sz w:val="24"/>
          <w:szCs w:val="20"/>
        </w:rPr>
      </w:pPr>
      <w:bookmarkStart w:id="30" w:name="_Toc31181"/>
      <w:r>
        <w:rPr>
          <w:rFonts w:hint="default" w:ascii="Times New Roman" w:hAnsi="Times New Roman" w:eastAsia="仿宋_GB2312" w:cs="Times New Roman"/>
          <w:b w:val="0"/>
          <w:color w:val="auto"/>
          <w:sz w:val="24"/>
          <w:szCs w:val="20"/>
        </w:rPr>
        <w:t>货方负责，不纳入本方案的防治责任范围。</w:t>
      </w:r>
      <w:bookmarkEnd w:id="30"/>
    </w:p>
    <w:p>
      <w:pPr>
        <w:spacing w:line="360" w:lineRule="auto"/>
        <w:ind w:firstLine="480" w:firstLineChars="200"/>
        <w:jc w:val="both"/>
        <w:rPr>
          <w:rFonts w:hint="eastAsia" w:eastAsia="仿宋_GB2312"/>
          <w:color w:val="auto"/>
          <w:lang w:eastAsia="zh-CN"/>
        </w:rPr>
      </w:pPr>
      <w:r>
        <w:rPr>
          <w:rFonts w:hint="default" w:ascii="Times New Roman" w:hAnsi="Times New Roman" w:eastAsia="仿宋_GB2312" w:cs="Times New Roman"/>
          <w:b w:val="0"/>
          <w:color w:val="auto"/>
          <w:sz w:val="24"/>
          <w:szCs w:val="20"/>
        </w:rPr>
        <w:t>本项目外来物资设备可由公路运输至工地，其运输能力完全能满足本项目的需要</w:t>
      </w:r>
      <w:r>
        <w:rPr>
          <w:rFonts w:hint="eastAsia" w:eastAsia="仿宋_GB2312" w:cs="Times New Roman"/>
          <w:b w:val="0"/>
          <w:color w:val="auto"/>
          <w:sz w:val="24"/>
          <w:szCs w:val="20"/>
          <w:lang w:eastAsia="zh-CN"/>
        </w:rPr>
        <w:t>。</w:t>
      </w:r>
    </w:p>
    <w:p>
      <w:pPr>
        <w:spacing w:line="360" w:lineRule="auto"/>
        <w:jc w:val="both"/>
        <w:rPr>
          <w:rFonts w:eastAsia="仿宋_GB2312"/>
          <w:color w:val="auto"/>
        </w:rPr>
      </w:pPr>
      <w:r>
        <w:rPr>
          <w:rFonts w:eastAsia="仿宋_GB2312"/>
          <w:b/>
          <w:color w:val="auto"/>
          <w:szCs w:val="24"/>
        </w:rPr>
        <w:t>2.2.</w:t>
      </w:r>
      <w:r>
        <w:rPr>
          <w:rFonts w:hint="eastAsia" w:eastAsia="仿宋_GB2312"/>
          <w:b/>
          <w:color w:val="auto"/>
          <w:szCs w:val="24"/>
          <w:lang w:val="en-US" w:eastAsia="zh-CN"/>
        </w:rPr>
        <w:t>6</w:t>
      </w:r>
      <w:r>
        <w:rPr>
          <w:rFonts w:eastAsia="仿宋_GB2312"/>
          <w:b/>
          <w:color w:val="auto"/>
          <w:szCs w:val="24"/>
        </w:rPr>
        <w:t>施工方法与工艺</w:t>
      </w:r>
    </w:p>
    <w:p>
      <w:pPr>
        <w:pStyle w:val="8"/>
        <w:adjustRightInd w:val="0"/>
        <w:snapToGrid w:val="0"/>
        <w:spacing w:line="360" w:lineRule="auto"/>
        <w:ind w:firstLine="480"/>
        <w:rPr>
          <w:rFonts w:hint="default" w:eastAsia="仿宋_GB2312"/>
          <w:color w:val="auto"/>
          <w:sz w:val="24"/>
          <w:lang w:val="en-US" w:eastAsia="zh-CN"/>
        </w:rPr>
      </w:pPr>
      <w:r>
        <w:rPr>
          <w:rFonts w:hint="eastAsia" w:eastAsia="仿宋_GB2312"/>
          <w:color w:val="auto"/>
          <w:sz w:val="24"/>
          <w:lang w:eastAsia="zh-CN"/>
        </w:rPr>
        <w:t>（</w:t>
      </w:r>
      <w:r>
        <w:rPr>
          <w:rFonts w:hint="eastAsia" w:eastAsia="仿宋_GB2312"/>
          <w:color w:val="auto"/>
          <w:sz w:val="24"/>
          <w:lang w:val="en-US" w:eastAsia="zh-CN"/>
        </w:rPr>
        <w:t>1</w:t>
      </w:r>
      <w:r>
        <w:rPr>
          <w:rFonts w:hint="eastAsia" w:eastAsia="仿宋_GB2312"/>
          <w:color w:val="auto"/>
          <w:sz w:val="24"/>
          <w:lang w:eastAsia="zh-CN"/>
        </w:rPr>
        <w:t>）</w:t>
      </w:r>
      <w:r>
        <w:rPr>
          <w:rFonts w:hint="eastAsia" w:eastAsia="仿宋_GB2312"/>
          <w:color w:val="auto"/>
          <w:sz w:val="24"/>
          <w:lang w:val="en-US" w:eastAsia="zh-CN"/>
        </w:rPr>
        <w:t>场地平整</w:t>
      </w:r>
    </w:p>
    <w:p>
      <w:pPr>
        <w:pStyle w:val="8"/>
        <w:adjustRightInd w:val="0"/>
        <w:snapToGrid w:val="0"/>
        <w:spacing w:line="360" w:lineRule="auto"/>
        <w:ind w:firstLine="480"/>
        <w:rPr>
          <w:rFonts w:eastAsia="仿宋_GB2312"/>
          <w:color w:val="auto"/>
          <w:sz w:val="24"/>
        </w:rPr>
      </w:pPr>
      <w:r>
        <w:rPr>
          <w:rFonts w:hint="default" w:eastAsia="仿宋_GB2312"/>
          <w:color w:val="auto"/>
          <w:sz w:val="24"/>
        </w:rPr>
        <w:t>场地平整采用机械开挖、人工清理修整相结合的方式。在原有场地平整的基础上，将建筑物开挖土方运至场内进行回填，土方清运、回填应随建筑施工进度及时调运；土方回填采用机械和人工相结合的施工方法，土方由挖掘机装土，自卸汽车运土，推土机铺土、摊平，用震动碾压机碾压，边缘压实不到之处，辅以人工和电动冲压夯实。</w:t>
      </w:r>
    </w:p>
    <w:p>
      <w:pPr>
        <w:pStyle w:val="8"/>
        <w:adjustRightInd w:val="0"/>
        <w:snapToGrid w:val="0"/>
        <w:spacing w:line="360" w:lineRule="auto"/>
        <w:ind w:firstLine="480"/>
        <w:rPr>
          <w:rFonts w:eastAsia="仿宋_GB2312"/>
          <w:color w:val="auto"/>
          <w:sz w:val="24"/>
        </w:rPr>
      </w:pPr>
      <w:r>
        <w:rPr>
          <w:rFonts w:eastAsia="仿宋_GB2312"/>
          <w:color w:val="auto"/>
          <w:sz w:val="24"/>
        </w:rPr>
        <w:t>（</w:t>
      </w:r>
      <w:r>
        <w:rPr>
          <w:rFonts w:hint="eastAsia" w:eastAsia="仿宋_GB2312"/>
          <w:color w:val="auto"/>
          <w:sz w:val="24"/>
          <w:lang w:val="en-US" w:eastAsia="zh-CN"/>
        </w:rPr>
        <w:t>2</w:t>
      </w:r>
      <w:r>
        <w:rPr>
          <w:rFonts w:eastAsia="仿宋_GB2312"/>
          <w:color w:val="auto"/>
          <w:sz w:val="24"/>
        </w:rPr>
        <w:t>）建筑物施工</w:t>
      </w:r>
    </w:p>
    <w:p>
      <w:pPr>
        <w:pStyle w:val="8"/>
        <w:adjustRightInd w:val="0"/>
        <w:snapToGrid w:val="0"/>
        <w:spacing w:line="360" w:lineRule="auto"/>
        <w:ind w:firstLine="480"/>
        <w:rPr>
          <w:rFonts w:eastAsia="仿宋_GB2312"/>
          <w:color w:val="auto"/>
          <w:sz w:val="24"/>
        </w:rPr>
      </w:pPr>
      <w:r>
        <w:rPr>
          <w:rFonts w:hint="default" w:eastAsia="仿宋_GB2312"/>
          <w:color w:val="auto"/>
          <w:sz w:val="24"/>
        </w:rPr>
        <w:t>工程建设区建构筑物施工</w:t>
      </w:r>
      <w:r>
        <w:rPr>
          <w:rFonts w:hint="eastAsia" w:eastAsia="仿宋_GB2312"/>
          <w:color w:val="auto"/>
          <w:sz w:val="24"/>
          <w:lang w:val="en-US" w:eastAsia="zh-CN"/>
        </w:rPr>
        <w:t>均为独立</w:t>
      </w:r>
      <w:r>
        <w:rPr>
          <w:rFonts w:hint="default" w:eastAsia="仿宋_GB2312"/>
          <w:color w:val="auto"/>
          <w:sz w:val="24"/>
        </w:rPr>
        <w:t>基础，</w:t>
      </w:r>
      <w:r>
        <w:rPr>
          <w:rFonts w:hint="eastAsia" w:eastAsia="仿宋_GB2312"/>
          <w:color w:val="auto"/>
          <w:sz w:val="24"/>
          <w:lang w:val="en-US" w:eastAsia="zh-CN"/>
        </w:rPr>
        <w:t>挖深0.5m，彩</w:t>
      </w:r>
      <w:r>
        <w:rPr>
          <w:rFonts w:hint="eastAsia" w:eastAsia="仿宋_GB2312"/>
          <w:color w:val="auto"/>
          <w:sz w:val="24"/>
          <w:lang w:val="en-US" w:eastAsia="zh-CN"/>
        </w:rPr>
        <w:t>钢结构或框架</w:t>
      </w:r>
      <w:r>
        <w:rPr>
          <w:rFonts w:hint="default" w:eastAsia="仿宋_GB2312"/>
          <w:color w:val="auto"/>
          <w:sz w:val="24"/>
        </w:rPr>
        <w:t>，混凝土浇筑过程严格按照设计施工。浇筑时应按正确的施工工序进行，振捣密实，不应出现蜂窝、麻面等现象，并要注意混凝土的养护；混凝土全部采用商砼，不单独设置混凝土搅拌设施等。</w:t>
      </w:r>
    </w:p>
    <w:p>
      <w:pPr>
        <w:pStyle w:val="8"/>
        <w:adjustRightInd w:val="0"/>
        <w:snapToGrid w:val="0"/>
        <w:spacing w:line="360" w:lineRule="auto"/>
        <w:ind w:firstLine="480"/>
        <w:rPr>
          <w:rFonts w:eastAsia="仿宋_GB2312"/>
          <w:color w:val="auto"/>
          <w:sz w:val="24"/>
        </w:rPr>
      </w:pPr>
      <w:r>
        <w:rPr>
          <w:rFonts w:eastAsia="仿宋_GB2312"/>
          <w:color w:val="auto"/>
          <w:sz w:val="24"/>
        </w:rPr>
        <w:t>（</w:t>
      </w:r>
      <w:r>
        <w:rPr>
          <w:rFonts w:hint="eastAsia" w:eastAsia="仿宋_GB2312"/>
          <w:color w:val="auto"/>
          <w:sz w:val="24"/>
          <w:lang w:val="en-US" w:eastAsia="zh-CN"/>
        </w:rPr>
        <w:t>3</w:t>
      </w:r>
      <w:r>
        <w:rPr>
          <w:rFonts w:eastAsia="仿宋_GB2312"/>
          <w:color w:val="auto"/>
          <w:sz w:val="24"/>
        </w:rPr>
        <w:t>）道路及硬化区域混凝土浇筑</w:t>
      </w:r>
    </w:p>
    <w:p>
      <w:pPr>
        <w:pStyle w:val="8"/>
        <w:adjustRightInd w:val="0"/>
        <w:snapToGrid w:val="0"/>
        <w:spacing w:line="360" w:lineRule="auto"/>
        <w:ind w:firstLine="480"/>
        <w:rPr>
          <w:rFonts w:eastAsia="仿宋_GB2312"/>
          <w:color w:val="auto"/>
          <w:sz w:val="24"/>
        </w:rPr>
      </w:pPr>
      <w:r>
        <w:rPr>
          <w:rFonts w:hint="default" w:ascii="Times New Roman" w:hAnsi="Times New Roman" w:eastAsia="仿宋_GB2312" w:cs="Times New Roman"/>
          <w:color w:val="auto"/>
          <w:sz w:val="24"/>
          <w:szCs w:val="24"/>
        </w:rPr>
        <w:t>道路</w:t>
      </w:r>
      <w:r>
        <w:rPr>
          <w:rFonts w:hint="eastAsia" w:eastAsia="仿宋_GB2312" w:cs="Times New Roman"/>
          <w:color w:val="auto"/>
          <w:sz w:val="24"/>
          <w:szCs w:val="24"/>
          <w:lang w:val="en-US" w:eastAsia="zh-CN"/>
        </w:rPr>
        <w:t>及硬化区域</w:t>
      </w:r>
      <w:r>
        <w:rPr>
          <w:rFonts w:hint="default" w:ascii="Times New Roman" w:hAnsi="Times New Roman" w:eastAsia="仿宋_GB2312" w:cs="Times New Roman"/>
          <w:color w:val="auto"/>
          <w:sz w:val="24"/>
          <w:szCs w:val="24"/>
        </w:rPr>
        <w:t>修建时先平整压实，可形成砂石路基，再在路表层铺设碎石，即可满足施工期材料运输的要求，施工结束后</w:t>
      </w:r>
      <w:r>
        <w:rPr>
          <w:rFonts w:hint="eastAsia" w:eastAsia="仿宋_GB2312" w:cs="Times New Roman"/>
          <w:color w:val="auto"/>
          <w:sz w:val="24"/>
          <w:szCs w:val="24"/>
          <w:lang w:val="en-US" w:eastAsia="zh-CN"/>
        </w:rPr>
        <w:t>厂内道路</w:t>
      </w:r>
      <w:r>
        <w:rPr>
          <w:rFonts w:hint="default" w:ascii="Times New Roman" w:hAnsi="Times New Roman" w:eastAsia="仿宋_GB2312" w:cs="Times New Roman"/>
          <w:color w:val="auto"/>
          <w:sz w:val="24"/>
          <w:szCs w:val="24"/>
        </w:rPr>
        <w:t>铺设</w:t>
      </w:r>
      <w:r>
        <w:rPr>
          <w:rFonts w:hint="eastAsia" w:eastAsia="仿宋_GB2312" w:cs="Times New Roman"/>
          <w:color w:val="auto"/>
          <w:sz w:val="24"/>
          <w:szCs w:val="24"/>
          <w:lang w:val="en-US" w:eastAsia="zh-CN"/>
        </w:rPr>
        <w:t>水泥</w:t>
      </w:r>
      <w:r>
        <w:rPr>
          <w:rFonts w:hint="default" w:ascii="Times New Roman" w:hAnsi="Times New Roman" w:eastAsia="仿宋_GB2312" w:cs="Times New Roman"/>
          <w:color w:val="auto"/>
          <w:sz w:val="24"/>
          <w:szCs w:val="24"/>
        </w:rPr>
        <w:t>混凝土路面</w:t>
      </w:r>
      <w:r>
        <w:rPr>
          <w:rFonts w:hint="eastAsia" w:eastAsia="仿宋_GB2312"/>
          <w:color w:val="auto"/>
          <w:sz w:val="24"/>
        </w:rPr>
        <w:t>。</w:t>
      </w:r>
    </w:p>
    <w:p>
      <w:pPr>
        <w:pStyle w:val="5"/>
        <w:spacing w:before="0" w:after="0" w:line="360" w:lineRule="auto"/>
        <w:rPr>
          <w:rFonts w:ascii="Times New Roman" w:hAnsi="Times New Roman" w:eastAsia="仿宋_GB2312"/>
          <w:color w:val="auto"/>
          <w:sz w:val="28"/>
          <w:szCs w:val="28"/>
        </w:rPr>
      </w:pPr>
      <w:bookmarkStart w:id="31" w:name="_Toc3195"/>
      <w:r>
        <w:rPr>
          <w:rFonts w:ascii="Times New Roman" w:hAnsi="Times New Roman" w:eastAsia="仿宋_GB2312"/>
          <w:color w:val="auto"/>
          <w:sz w:val="28"/>
          <w:szCs w:val="28"/>
        </w:rPr>
        <w:t>2.3工程占地</w:t>
      </w:r>
      <w:bookmarkEnd w:id="31"/>
    </w:p>
    <w:p>
      <w:pPr>
        <w:spacing w:line="360" w:lineRule="auto"/>
        <w:ind w:firstLine="480" w:firstLineChars="200"/>
        <w:jc w:val="both"/>
        <w:rPr>
          <w:rFonts w:eastAsia="仿宋_GB2312"/>
          <w:bCs/>
          <w:color w:val="auto"/>
        </w:rPr>
      </w:pPr>
      <w:r>
        <w:rPr>
          <w:rFonts w:eastAsia="仿宋_GB2312"/>
          <w:color w:val="auto"/>
        </w:rPr>
        <w:t>本项目总占地面积</w:t>
      </w:r>
      <w:r>
        <w:rPr>
          <w:rFonts w:eastAsia="仿宋_GB2312"/>
          <w:color w:val="auto"/>
          <w:szCs w:val="24"/>
        </w:rPr>
        <w:t>为</w:t>
      </w:r>
      <w:r>
        <w:rPr>
          <w:rFonts w:hint="eastAsia" w:eastAsia="仿宋_GB2312"/>
          <w:color w:val="auto"/>
          <w:szCs w:val="24"/>
          <w:lang w:val="en-US" w:eastAsia="zh-CN"/>
        </w:rPr>
        <w:t>0.67</w:t>
      </w:r>
      <w:r>
        <w:rPr>
          <w:rFonts w:eastAsia="仿宋_GB2312"/>
          <w:color w:val="auto"/>
          <w:szCs w:val="24"/>
        </w:rPr>
        <w:t>hm²，全部为永久征地，占地</w:t>
      </w:r>
      <w:r>
        <w:rPr>
          <w:rFonts w:eastAsia="仿宋_GB2312"/>
          <w:color w:val="auto"/>
        </w:rPr>
        <w:t>类型为</w:t>
      </w:r>
      <w:r>
        <w:rPr>
          <w:rFonts w:hint="eastAsia" w:ascii="Times New Roman" w:hAnsi="Times New Roman" w:eastAsia="仿宋_GB2312" w:cs="Times New Roman"/>
          <w:color w:val="auto"/>
          <w:sz w:val="24"/>
          <w:highlight w:val="none"/>
          <w:lang w:val="en-US" w:eastAsia="zh-CN"/>
        </w:rPr>
        <w:t>工矿仓储用地</w:t>
      </w:r>
      <w:r>
        <w:rPr>
          <w:rFonts w:eastAsia="仿宋_GB2312"/>
          <w:color w:val="auto"/>
        </w:rPr>
        <w:t>。本项目</w:t>
      </w:r>
      <w:r>
        <w:rPr>
          <w:rFonts w:hint="default" w:eastAsia="仿宋_GB2312"/>
          <w:color w:val="auto"/>
          <w:szCs w:val="24"/>
          <w:highlight w:val="none"/>
          <w:lang w:eastAsia="zh-CN"/>
        </w:rPr>
        <w:t>租赁原民富砖瓦陶瓷厂空地</w:t>
      </w:r>
      <w:r>
        <w:rPr>
          <w:rFonts w:hint="eastAsia" w:eastAsia="仿宋_GB2312"/>
          <w:color w:val="auto"/>
          <w:szCs w:val="24"/>
          <w:highlight w:val="none"/>
          <w:lang w:eastAsia="zh-CN"/>
        </w:rPr>
        <w:t>，</w:t>
      </w:r>
      <w:r>
        <w:rPr>
          <w:rFonts w:hint="eastAsia" w:eastAsia="仿宋_GB2312"/>
          <w:color w:val="auto"/>
          <w:szCs w:val="24"/>
          <w:highlight w:val="none"/>
          <w:lang w:val="en-US" w:eastAsia="zh-CN"/>
        </w:rPr>
        <w:t>地表无植被</w:t>
      </w:r>
      <w:r>
        <w:rPr>
          <w:rFonts w:eastAsia="仿宋_GB2312"/>
          <w:color w:val="auto"/>
        </w:rPr>
        <w:t>。工程占地详细情况见表2-4。</w:t>
      </w:r>
    </w:p>
    <w:p>
      <w:pPr>
        <w:pStyle w:val="65"/>
        <w:ind w:firstLine="0" w:firstLineChars="0"/>
        <w:jc w:val="center"/>
        <w:rPr>
          <w:rFonts w:ascii="Times New Roman" w:hAnsi="Times New Roman" w:eastAsia="仿宋_GB2312" w:cs="Times New Roman"/>
          <w:b w:val="0"/>
          <w:color w:val="auto"/>
        </w:rPr>
      </w:pPr>
      <w:r>
        <w:rPr>
          <w:rFonts w:ascii="Times New Roman" w:hAnsi="Times New Roman" w:eastAsia="仿宋_GB2312" w:cs="Times New Roman"/>
          <w:bCs/>
          <w:color w:val="auto"/>
        </w:rPr>
        <w:t>表2-4     工程占地表                单位：hm</w:t>
      </w:r>
      <w:r>
        <w:rPr>
          <w:rFonts w:ascii="Times New Roman" w:hAnsi="Times New Roman" w:cs="Times New Roman"/>
          <w:bCs/>
          <w:color w:val="auto"/>
        </w:rPr>
        <w:t>²</w:t>
      </w:r>
    </w:p>
    <w:tbl>
      <w:tblPr>
        <w:tblStyle w:val="24"/>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9"/>
        <w:gridCol w:w="1430"/>
        <w:gridCol w:w="1215"/>
        <w:gridCol w:w="1200"/>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59" w:type="dxa"/>
            <w:vMerge w:val="restart"/>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项目组成</w:t>
            </w:r>
          </w:p>
        </w:tc>
        <w:tc>
          <w:tcPr>
            <w:tcW w:w="1430" w:type="dxa"/>
            <w:vMerge w:val="restart"/>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占地面积</w:t>
            </w:r>
          </w:p>
        </w:tc>
        <w:tc>
          <w:tcPr>
            <w:tcW w:w="2415" w:type="dxa"/>
            <w:gridSpan w:val="2"/>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用地性质</w:t>
            </w:r>
          </w:p>
        </w:tc>
        <w:tc>
          <w:tcPr>
            <w:tcW w:w="1717" w:type="dxa"/>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用地类型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59" w:type="dxa"/>
            <w:vMerge w:val="continue"/>
            <w:vAlign w:val="center"/>
          </w:tcPr>
          <w:p>
            <w:pPr>
              <w:widowControl/>
              <w:adjustRightInd/>
              <w:spacing w:line="240" w:lineRule="auto"/>
              <w:textAlignment w:val="auto"/>
              <w:rPr>
                <w:rFonts w:eastAsia="仿宋_GB2312"/>
                <w:color w:val="auto"/>
                <w:sz w:val="21"/>
                <w:szCs w:val="21"/>
              </w:rPr>
            </w:pPr>
          </w:p>
        </w:tc>
        <w:tc>
          <w:tcPr>
            <w:tcW w:w="1430" w:type="dxa"/>
            <w:vMerge w:val="continue"/>
            <w:vAlign w:val="center"/>
          </w:tcPr>
          <w:p>
            <w:pPr>
              <w:widowControl/>
              <w:adjustRightInd/>
              <w:spacing w:line="240" w:lineRule="auto"/>
              <w:textAlignment w:val="auto"/>
              <w:rPr>
                <w:rFonts w:eastAsia="仿宋_GB2312"/>
                <w:color w:val="auto"/>
                <w:sz w:val="21"/>
                <w:szCs w:val="21"/>
              </w:rPr>
            </w:pPr>
          </w:p>
        </w:tc>
        <w:tc>
          <w:tcPr>
            <w:tcW w:w="1215" w:type="dxa"/>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永久征地</w:t>
            </w:r>
          </w:p>
        </w:tc>
        <w:tc>
          <w:tcPr>
            <w:tcW w:w="1200" w:type="dxa"/>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临时用地</w:t>
            </w:r>
          </w:p>
        </w:tc>
        <w:tc>
          <w:tcPr>
            <w:tcW w:w="1717" w:type="dxa"/>
            <w:vAlign w:val="center"/>
          </w:tcPr>
          <w:p>
            <w:pPr>
              <w:widowControl/>
              <w:adjustRightInd/>
              <w:spacing w:line="240" w:lineRule="auto"/>
              <w:jc w:val="center"/>
              <w:textAlignment w:val="auto"/>
              <w:rPr>
                <w:rFonts w:eastAsia="仿宋_GB2312"/>
                <w:color w:val="auto"/>
                <w:sz w:val="21"/>
                <w:szCs w:val="21"/>
              </w:rPr>
            </w:pPr>
            <w:r>
              <w:rPr>
                <w:rFonts w:hint="eastAsia" w:ascii="Times New Roman" w:hAnsi="Times New Roman" w:eastAsia="仿宋_GB2312" w:cs="Times New Roman"/>
                <w:color w:val="auto"/>
                <w:sz w:val="21"/>
                <w:szCs w:val="21"/>
                <w:highlight w:val="none"/>
                <w:lang w:val="en-US" w:eastAsia="zh-CN"/>
              </w:rPr>
              <w:t>工矿仓储用地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59" w:type="dxa"/>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工程建设区</w:t>
            </w:r>
          </w:p>
        </w:tc>
        <w:tc>
          <w:tcPr>
            <w:tcW w:w="1430" w:type="dxa"/>
            <w:vAlign w:val="center"/>
          </w:tcPr>
          <w:p>
            <w:pPr>
              <w:widowControl/>
              <w:adjustRightInd/>
              <w:spacing w:line="240" w:lineRule="auto"/>
              <w:jc w:val="center"/>
              <w:textAlignment w:val="auto"/>
              <w:rPr>
                <w:rFonts w:hint="default" w:eastAsia="仿宋_GB2312"/>
                <w:color w:val="auto"/>
                <w:sz w:val="21"/>
                <w:szCs w:val="21"/>
                <w:lang w:val="en-US" w:eastAsia="zh-CN"/>
              </w:rPr>
            </w:pPr>
            <w:r>
              <w:rPr>
                <w:rFonts w:hint="eastAsia" w:eastAsia="仿宋_GB2312"/>
                <w:color w:val="auto"/>
                <w:sz w:val="21"/>
                <w:szCs w:val="21"/>
                <w:lang w:val="en-US" w:eastAsia="zh-CN"/>
              </w:rPr>
              <w:t>0.67</w:t>
            </w:r>
          </w:p>
        </w:tc>
        <w:tc>
          <w:tcPr>
            <w:tcW w:w="1215" w:type="dxa"/>
            <w:vAlign w:val="center"/>
          </w:tcPr>
          <w:p>
            <w:pPr>
              <w:widowControl/>
              <w:adjustRightInd/>
              <w:spacing w:line="240" w:lineRule="auto"/>
              <w:jc w:val="center"/>
              <w:textAlignment w:val="auto"/>
              <w:rPr>
                <w:rFonts w:hint="default" w:eastAsia="仿宋_GB2312"/>
                <w:color w:val="auto"/>
                <w:sz w:val="21"/>
                <w:szCs w:val="21"/>
                <w:lang w:val="en-US" w:eastAsia="zh-CN"/>
              </w:rPr>
            </w:pPr>
            <w:r>
              <w:rPr>
                <w:rFonts w:hint="eastAsia" w:eastAsia="仿宋_GB2312"/>
                <w:color w:val="auto"/>
                <w:sz w:val="21"/>
                <w:szCs w:val="21"/>
                <w:lang w:val="en-US" w:eastAsia="zh-CN"/>
              </w:rPr>
              <w:t>0.67</w:t>
            </w:r>
          </w:p>
        </w:tc>
        <w:tc>
          <w:tcPr>
            <w:tcW w:w="1200" w:type="dxa"/>
            <w:vAlign w:val="center"/>
          </w:tcPr>
          <w:p>
            <w:pPr>
              <w:widowControl/>
              <w:adjustRightInd/>
              <w:spacing w:line="240" w:lineRule="auto"/>
              <w:jc w:val="center"/>
              <w:textAlignment w:val="auto"/>
              <w:rPr>
                <w:rFonts w:eastAsia="仿宋_GB2312"/>
                <w:color w:val="auto"/>
                <w:sz w:val="21"/>
                <w:szCs w:val="21"/>
              </w:rPr>
            </w:pPr>
          </w:p>
        </w:tc>
        <w:tc>
          <w:tcPr>
            <w:tcW w:w="1717" w:type="dxa"/>
            <w:vAlign w:val="center"/>
          </w:tcPr>
          <w:p>
            <w:pPr>
              <w:widowControl/>
              <w:adjustRightInd/>
              <w:spacing w:line="240" w:lineRule="auto"/>
              <w:jc w:val="center"/>
              <w:textAlignment w:val="auto"/>
              <w:rPr>
                <w:rFonts w:hint="default" w:eastAsia="仿宋_GB2312"/>
                <w:color w:val="auto"/>
                <w:sz w:val="21"/>
                <w:szCs w:val="21"/>
                <w:lang w:val="en-US" w:eastAsia="zh-CN"/>
              </w:rPr>
            </w:pPr>
            <w:r>
              <w:rPr>
                <w:rFonts w:hint="eastAsia" w:eastAsia="仿宋_GB2312"/>
                <w:color w:val="auto"/>
                <w:sz w:val="21"/>
                <w:szCs w:val="21"/>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59" w:type="dxa"/>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合计</w:t>
            </w:r>
          </w:p>
        </w:tc>
        <w:tc>
          <w:tcPr>
            <w:tcW w:w="1430" w:type="dxa"/>
            <w:vAlign w:val="center"/>
          </w:tcPr>
          <w:p>
            <w:pPr>
              <w:widowControl/>
              <w:adjustRightInd/>
              <w:spacing w:line="240" w:lineRule="auto"/>
              <w:jc w:val="center"/>
              <w:textAlignment w:val="auto"/>
              <w:rPr>
                <w:rFonts w:hint="default" w:eastAsia="仿宋_GB2312"/>
                <w:color w:val="auto"/>
                <w:sz w:val="21"/>
                <w:szCs w:val="21"/>
                <w:lang w:val="en-US" w:eastAsia="zh-CN"/>
              </w:rPr>
            </w:pPr>
            <w:r>
              <w:rPr>
                <w:rFonts w:hint="eastAsia" w:eastAsia="仿宋_GB2312"/>
                <w:color w:val="auto"/>
                <w:sz w:val="21"/>
                <w:szCs w:val="21"/>
                <w:lang w:val="en-US" w:eastAsia="zh-CN"/>
              </w:rPr>
              <w:t>0.67</w:t>
            </w:r>
          </w:p>
        </w:tc>
        <w:tc>
          <w:tcPr>
            <w:tcW w:w="1215" w:type="dxa"/>
            <w:vAlign w:val="center"/>
          </w:tcPr>
          <w:p>
            <w:pPr>
              <w:widowControl/>
              <w:adjustRightInd/>
              <w:spacing w:line="240" w:lineRule="auto"/>
              <w:jc w:val="center"/>
              <w:textAlignment w:val="auto"/>
              <w:rPr>
                <w:rFonts w:hint="default" w:eastAsia="仿宋_GB2312"/>
                <w:color w:val="auto"/>
                <w:sz w:val="21"/>
                <w:szCs w:val="21"/>
                <w:lang w:val="en-US" w:eastAsia="zh-CN"/>
              </w:rPr>
            </w:pPr>
            <w:r>
              <w:rPr>
                <w:rFonts w:hint="eastAsia" w:eastAsia="仿宋_GB2312"/>
                <w:color w:val="auto"/>
                <w:sz w:val="21"/>
                <w:szCs w:val="21"/>
                <w:lang w:val="en-US" w:eastAsia="zh-CN"/>
              </w:rPr>
              <w:t>0.67</w:t>
            </w:r>
          </w:p>
        </w:tc>
        <w:tc>
          <w:tcPr>
            <w:tcW w:w="1200" w:type="dxa"/>
            <w:vAlign w:val="center"/>
          </w:tcPr>
          <w:p>
            <w:pPr>
              <w:widowControl/>
              <w:adjustRightInd/>
              <w:spacing w:line="240" w:lineRule="auto"/>
              <w:jc w:val="center"/>
              <w:textAlignment w:val="auto"/>
              <w:rPr>
                <w:rFonts w:eastAsia="仿宋_GB2312"/>
                <w:color w:val="auto"/>
                <w:sz w:val="21"/>
                <w:szCs w:val="21"/>
              </w:rPr>
            </w:pPr>
          </w:p>
        </w:tc>
        <w:tc>
          <w:tcPr>
            <w:tcW w:w="1717" w:type="dxa"/>
            <w:vAlign w:val="center"/>
          </w:tcPr>
          <w:p>
            <w:pPr>
              <w:widowControl/>
              <w:adjustRightInd/>
              <w:spacing w:line="240" w:lineRule="auto"/>
              <w:jc w:val="center"/>
              <w:textAlignment w:val="auto"/>
              <w:rPr>
                <w:rFonts w:hint="default" w:eastAsia="仿宋_GB2312"/>
                <w:color w:val="auto"/>
                <w:sz w:val="21"/>
                <w:szCs w:val="21"/>
                <w:lang w:val="en-US" w:eastAsia="zh-CN"/>
              </w:rPr>
            </w:pPr>
            <w:r>
              <w:rPr>
                <w:rFonts w:hint="eastAsia" w:eastAsia="仿宋_GB2312"/>
                <w:color w:val="auto"/>
                <w:sz w:val="21"/>
                <w:szCs w:val="21"/>
                <w:lang w:val="en-US" w:eastAsia="zh-CN"/>
              </w:rPr>
              <w:t>0.67</w:t>
            </w:r>
          </w:p>
        </w:tc>
      </w:tr>
    </w:tbl>
    <w:p>
      <w:pPr>
        <w:pStyle w:val="5"/>
        <w:spacing w:before="0" w:after="0" w:line="360" w:lineRule="auto"/>
        <w:rPr>
          <w:rFonts w:ascii="Times New Roman" w:hAnsi="Times New Roman" w:eastAsia="仿宋_GB2312"/>
          <w:color w:val="auto"/>
          <w:sz w:val="28"/>
          <w:szCs w:val="28"/>
        </w:rPr>
      </w:pPr>
      <w:bookmarkStart w:id="32" w:name="_Toc17054"/>
      <w:r>
        <w:rPr>
          <w:rFonts w:ascii="Times New Roman" w:hAnsi="Times New Roman" w:eastAsia="仿宋_GB2312"/>
          <w:color w:val="auto"/>
          <w:sz w:val="28"/>
          <w:szCs w:val="28"/>
        </w:rPr>
        <w:t>2.4土石方平衡</w:t>
      </w:r>
      <w:bookmarkEnd w:id="32"/>
    </w:p>
    <w:p>
      <w:pPr>
        <w:pStyle w:val="20"/>
        <w:spacing w:line="360" w:lineRule="auto"/>
        <w:ind w:left="0" w:leftChars="0" w:firstLine="480" w:firstLineChars="200"/>
        <w:jc w:val="both"/>
        <w:rPr>
          <w:rFonts w:eastAsia="仿宋_GB2312"/>
          <w:color w:val="auto"/>
        </w:rPr>
      </w:pPr>
      <w:r>
        <w:rPr>
          <w:rFonts w:eastAsia="仿宋_GB2312"/>
          <w:color w:val="auto"/>
        </w:rPr>
        <w:t>（1）表土平衡</w:t>
      </w:r>
    </w:p>
    <w:p>
      <w:pPr>
        <w:tabs>
          <w:tab w:val="left" w:pos="6096"/>
          <w:tab w:val="left" w:pos="8647"/>
        </w:tabs>
        <w:snapToGrid w:val="0"/>
        <w:spacing w:line="360" w:lineRule="auto"/>
        <w:ind w:firstLine="480" w:firstLineChars="200"/>
        <w:rPr>
          <w:rFonts w:eastAsia="仿宋_GB2312"/>
          <w:color w:val="auto"/>
          <w:szCs w:val="24"/>
        </w:rPr>
      </w:pPr>
      <w:r>
        <w:rPr>
          <w:rFonts w:eastAsia="仿宋_GB2312"/>
          <w:color w:val="auto"/>
        </w:rPr>
        <w:t>本项目</w:t>
      </w:r>
      <w:r>
        <w:rPr>
          <w:rFonts w:hint="default" w:eastAsia="仿宋_GB2312"/>
          <w:color w:val="auto"/>
          <w:szCs w:val="24"/>
          <w:highlight w:val="none"/>
          <w:lang w:eastAsia="zh-CN"/>
        </w:rPr>
        <w:t>租赁原民富砖瓦陶瓷厂空地</w:t>
      </w:r>
      <w:r>
        <w:rPr>
          <w:rFonts w:hint="eastAsia" w:eastAsia="仿宋_GB2312"/>
          <w:color w:val="auto"/>
          <w:szCs w:val="24"/>
          <w:highlight w:val="none"/>
          <w:lang w:eastAsia="zh-CN"/>
        </w:rPr>
        <w:t>，</w:t>
      </w:r>
      <w:r>
        <w:rPr>
          <w:rFonts w:hint="eastAsia" w:eastAsia="仿宋_GB2312"/>
          <w:color w:val="auto"/>
          <w:szCs w:val="24"/>
          <w:highlight w:val="none"/>
          <w:lang w:val="en-US" w:eastAsia="zh-CN"/>
        </w:rPr>
        <w:t>地表无植被，无表土剥离。主体未设计绿化，无绿化用土回覆。</w:t>
      </w:r>
    </w:p>
    <w:p>
      <w:pPr>
        <w:pStyle w:val="20"/>
        <w:spacing w:line="360" w:lineRule="auto"/>
        <w:ind w:left="0" w:leftChars="0" w:firstLine="480" w:firstLineChars="200"/>
        <w:jc w:val="both"/>
        <w:rPr>
          <w:rFonts w:eastAsia="仿宋_GB2312"/>
          <w:color w:val="auto"/>
          <w:sz w:val="24"/>
          <w:szCs w:val="24"/>
        </w:rPr>
      </w:pPr>
      <w:r>
        <w:rPr>
          <w:rFonts w:hint="eastAsia" w:eastAsia="仿宋_GB2312"/>
          <w:color w:val="auto"/>
          <w:sz w:val="24"/>
          <w:szCs w:val="24"/>
        </w:rPr>
        <w:t>（2）</w:t>
      </w:r>
      <w:r>
        <w:rPr>
          <w:rFonts w:eastAsia="仿宋_GB2312"/>
          <w:color w:val="auto"/>
          <w:sz w:val="24"/>
          <w:szCs w:val="24"/>
        </w:rPr>
        <w:t>土方平衡</w:t>
      </w:r>
    </w:p>
    <w:p>
      <w:pPr>
        <w:spacing w:line="360" w:lineRule="auto"/>
        <w:ind w:firstLine="480" w:firstLineChars="200"/>
        <w:rPr>
          <w:rFonts w:eastAsia="仿宋_GB2312"/>
          <w:color w:val="auto"/>
          <w:sz w:val="24"/>
          <w:szCs w:val="24"/>
        </w:rPr>
      </w:pPr>
      <w:r>
        <w:rPr>
          <w:rFonts w:eastAsia="仿宋_GB2312"/>
          <w:color w:val="auto"/>
          <w:sz w:val="24"/>
          <w:szCs w:val="24"/>
        </w:rPr>
        <w:t>本项目</w:t>
      </w:r>
      <w:r>
        <w:rPr>
          <w:rFonts w:hint="default" w:ascii="Times New Roman" w:hAnsi="Times New Roman" w:eastAsia="仿宋_GB2312" w:cs="Times New Roman"/>
          <w:b w:val="0"/>
          <w:bCs/>
          <w:color w:val="auto"/>
          <w:sz w:val="24"/>
          <w:szCs w:val="24"/>
        </w:rPr>
        <w:t>商混站</w:t>
      </w:r>
      <w:r>
        <w:rPr>
          <w:rFonts w:hint="eastAsia" w:ascii="Times New Roman" w:hAnsi="Times New Roman" w:eastAsia="仿宋_GB2312" w:cs="Times New Roman"/>
          <w:b w:val="0"/>
          <w:bCs/>
          <w:color w:val="auto"/>
          <w:sz w:val="24"/>
          <w:szCs w:val="24"/>
          <w:lang w:eastAsia="zh-CN"/>
        </w:rPr>
        <w:t>、</w:t>
      </w:r>
      <w:r>
        <w:rPr>
          <w:rFonts w:hint="default" w:ascii="Times New Roman" w:hAnsi="Times New Roman" w:eastAsia="仿宋_GB2312" w:cs="Times New Roman"/>
          <w:b w:val="0"/>
          <w:bCs/>
          <w:color w:val="auto"/>
          <w:sz w:val="24"/>
          <w:szCs w:val="24"/>
        </w:rPr>
        <w:t>水稳站</w:t>
      </w:r>
      <w:r>
        <w:rPr>
          <w:rFonts w:hint="eastAsia" w:ascii="Times New Roman" w:hAnsi="Times New Roman" w:eastAsia="仿宋_GB2312" w:cs="Times New Roman"/>
          <w:b w:val="0"/>
          <w:bCs/>
          <w:color w:val="auto"/>
          <w:sz w:val="24"/>
          <w:szCs w:val="24"/>
          <w:lang w:eastAsia="zh-CN"/>
        </w:rPr>
        <w:t>、</w:t>
      </w:r>
      <w:r>
        <w:rPr>
          <w:rFonts w:hint="default" w:ascii="Times New Roman" w:hAnsi="Times New Roman" w:eastAsia="仿宋_GB2312" w:cs="Times New Roman"/>
          <w:b w:val="0"/>
          <w:bCs/>
          <w:color w:val="auto"/>
          <w:sz w:val="24"/>
          <w:szCs w:val="24"/>
        </w:rPr>
        <w:t>碎石生产线</w:t>
      </w:r>
      <w:r>
        <w:rPr>
          <w:rFonts w:hint="eastAsia" w:ascii="Times New Roman" w:hAnsi="Times New Roman" w:eastAsia="仿宋_GB2312" w:cs="Times New Roman"/>
          <w:b w:val="0"/>
          <w:bCs/>
          <w:color w:val="auto"/>
          <w:sz w:val="24"/>
          <w:szCs w:val="24"/>
          <w:lang w:eastAsia="zh-CN"/>
        </w:rPr>
        <w:t>、</w:t>
      </w:r>
      <w:r>
        <w:rPr>
          <w:rFonts w:hint="default" w:ascii="Times New Roman" w:hAnsi="Times New Roman" w:eastAsia="仿宋_GB2312" w:cs="Times New Roman"/>
          <w:b w:val="0"/>
          <w:bCs/>
          <w:color w:val="auto"/>
          <w:sz w:val="24"/>
          <w:szCs w:val="24"/>
        </w:rPr>
        <w:t>办公室</w:t>
      </w:r>
      <w:r>
        <w:rPr>
          <w:rFonts w:hint="eastAsia" w:ascii="Times New Roman" w:hAnsi="Times New Roman" w:eastAsia="仿宋_GB2312" w:cs="Times New Roman"/>
          <w:b w:val="0"/>
          <w:bCs/>
          <w:color w:val="auto"/>
          <w:sz w:val="24"/>
          <w:szCs w:val="24"/>
          <w:lang w:eastAsia="zh-CN"/>
        </w:rPr>
        <w:t>、</w:t>
      </w:r>
      <w:r>
        <w:rPr>
          <w:rFonts w:hint="default" w:ascii="Times New Roman" w:hAnsi="Times New Roman" w:eastAsia="仿宋_GB2312" w:cs="Times New Roman"/>
          <w:b w:val="0"/>
          <w:bCs/>
          <w:color w:val="auto"/>
          <w:sz w:val="24"/>
          <w:szCs w:val="24"/>
        </w:rPr>
        <w:t>试验室</w:t>
      </w:r>
      <w:r>
        <w:rPr>
          <w:rFonts w:hint="eastAsia" w:ascii="Times New Roman" w:hAnsi="Times New Roman" w:eastAsia="仿宋_GB2312" w:cs="Times New Roman"/>
          <w:b w:val="0"/>
          <w:bCs/>
          <w:color w:val="auto"/>
          <w:sz w:val="24"/>
          <w:szCs w:val="24"/>
          <w:lang w:val="en-US" w:eastAsia="zh-CN"/>
        </w:rPr>
        <w:t>占地面积共计1100m</w:t>
      </w:r>
      <w:r>
        <w:rPr>
          <w:rFonts w:hint="eastAsia" w:ascii="Times New Roman" w:hAnsi="Times New Roman" w:eastAsia="仿宋_GB2312" w:cs="Times New Roman"/>
          <w:b w:val="0"/>
          <w:bCs/>
          <w:color w:val="auto"/>
          <w:sz w:val="24"/>
          <w:szCs w:val="24"/>
          <w:vertAlign w:val="superscript"/>
          <w:lang w:val="en-US" w:eastAsia="zh-CN"/>
        </w:rPr>
        <w:t>2</w:t>
      </w:r>
      <w:r>
        <w:rPr>
          <w:rFonts w:hint="eastAsia" w:ascii="Times New Roman" w:hAnsi="Times New Roman" w:eastAsia="仿宋_GB2312" w:cs="Times New Roman"/>
          <w:b w:val="0"/>
          <w:bCs/>
          <w:color w:val="auto"/>
          <w:sz w:val="24"/>
          <w:szCs w:val="24"/>
          <w:lang w:val="en-US" w:eastAsia="zh-CN"/>
        </w:rPr>
        <w:t>，且均为独立基础，平均开挖深度0.</w:t>
      </w:r>
      <w:r>
        <w:rPr>
          <w:rFonts w:hint="eastAsia" w:eastAsia="仿宋_GB2312" w:cs="Times New Roman"/>
          <w:b w:val="0"/>
          <w:bCs/>
          <w:color w:val="auto"/>
          <w:sz w:val="24"/>
          <w:szCs w:val="24"/>
          <w:lang w:val="en-US" w:eastAsia="zh-CN"/>
        </w:rPr>
        <w:t>6</w:t>
      </w:r>
      <w:r>
        <w:rPr>
          <w:rFonts w:hint="eastAsia" w:ascii="Times New Roman" w:hAnsi="Times New Roman" w:eastAsia="仿宋_GB2312" w:cs="Times New Roman"/>
          <w:b w:val="0"/>
          <w:bCs/>
          <w:color w:val="auto"/>
          <w:sz w:val="24"/>
          <w:szCs w:val="24"/>
          <w:lang w:val="en-US" w:eastAsia="zh-CN"/>
        </w:rPr>
        <w:t>m，则开挖土方量为0.0</w:t>
      </w:r>
      <w:r>
        <w:rPr>
          <w:rFonts w:hint="eastAsia" w:eastAsia="仿宋_GB2312" w:cs="Times New Roman"/>
          <w:b w:val="0"/>
          <w:bCs/>
          <w:color w:val="auto"/>
          <w:sz w:val="24"/>
          <w:szCs w:val="24"/>
          <w:lang w:val="en-US" w:eastAsia="zh-CN"/>
        </w:rPr>
        <w:t>7</w:t>
      </w:r>
      <w:r>
        <w:rPr>
          <w:rFonts w:hint="eastAsia" w:ascii="Times New Roman" w:hAnsi="Times New Roman" w:eastAsia="仿宋_GB2312" w:cs="Times New Roman"/>
          <w:b w:val="0"/>
          <w:bCs/>
          <w:color w:val="auto"/>
          <w:sz w:val="24"/>
          <w:szCs w:val="24"/>
          <w:lang w:val="en-US" w:eastAsia="zh-CN"/>
        </w:rPr>
        <w:t>m</w:t>
      </w:r>
      <w:r>
        <w:rPr>
          <w:rFonts w:hint="eastAsia" w:ascii="Times New Roman" w:hAnsi="Times New Roman" w:eastAsia="仿宋_GB2312" w:cs="Times New Roman"/>
          <w:b w:val="0"/>
          <w:bCs/>
          <w:color w:val="auto"/>
          <w:sz w:val="24"/>
          <w:szCs w:val="24"/>
          <w:vertAlign w:val="superscript"/>
          <w:lang w:val="en-US" w:eastAsia="zh-CN"/>
        </w:rPr>
        <w:t>3</w:t>
      </w:r>
      <w:r>
        <w:rPr>
          <w:rFonts w:hint="eastAsia" w:ascii="Times New Roman" w:hAnsi="Times New Roman" w:eastAsia="仿宋_GB2312" w:cs="Times New Roman"/>
          <w:b w:val="0"/>
          <w:bCs/>
          <w:color w:val="auto"/>
          <w:sz w:val="24"/>
          <w:szCs w:val="24"/>
          <w:lang w:val="en-US" w:eastAsia="zh-CN"/>
        </w:rPr>
        <w:t>；清水池、洗车池占地面积共计119m</w:t>
      </w:r>
      <w:r>
        <w:rPr>
          <w:rFonts w:hint="eastAsia" w:ascii="Times New Roman" w:hAnsi="Times New Roman" w:eastAsia="仿宋_GB2312" w:cs="Times New Roman"/>
          <w:b w:val="0"/>
          <w:bCs/>
          <w:color w:val="auto"/>
          <w:sz w:val="24"/>
          <w:szCs w:val="24"/>
          <w:vertAlign w:val="superscript"/>
          <w:lang w:val="en-US" w:eastAsia="zh-CN"/>
        </w:rPr>
        <w:t>2</w:t>
      </w:r>
      <w:r>
        <w:rPr>
          <w:rFonts w:hint="eastAsia" w:ascii="Times New Roman" w:hAnsi="Times New Roman" w:eastAsia="仿宋_GB2312" w:cs="Times New Roman"/>
          <w:b w:val="0"/>
          <w:bCs/>
          <w:color w:val="auto"/>
          <w:sz w:val="24"/>
          <w:szCs w:val="24"/>
          <w:lang w:val="en-US" w:eastAsia="zh-CN"/>
        </w:rPr>
        <w:t>，开挖深度2.5m，则开挖土方量为0.03</w:t>
      </w:r>
      <w:r>
        <w:rPr>
          <w:rFonts w:hint="eastAsia" w:eastAsia="仿宋_GB2312" w:cs="Times New Roman"/>
          <w:b w:val="0"/>
          <w:bCs/>
          <w:color w:val="auto"/>
          <w:sz w:val="24"/>
          <w:szCs w:val="24"/>
          <w:lang w:val="en-US" w:eastAsia="zh-CN"/>
        </w:rPr>
        <w:t>万</w:t>
      </w:r>
      <w:r>
        <w:rPr>
          <w:rFonts w:hint="eastAsia" w:ascii="Times New Roman" w:hAnsi="Times New Roman" w:eastAsia="仿宋_GB2312" w:cs="Times New Roman"/>
          <w:b w:val="0"/>
          <w:bCs/>
          <w:color w:val="auto"/>
          <w:sz w:val="24"/>
          <w:szCs w:val="24"/>
          <w:lang w:val="en-US" w:eastAsia="zh-CN"/>
        </w:rPr>
        <w:t>m</w:t>
      </w:r>
      <w:r>
        <w:rPr>
          <w:rFonts w:hint="eastAsia" w:ascii="Times New Roman" w:hAnsi="Times New Roman" w:eastAsia="仿宋_GB2312" w:cs="Times New Roman"/>
          <w:b w:val="0"/>
          <w:bCs/>
          <w:color w:val="auto"/>
          <w:sz w:val="24"/>
          <w:szCs w:val="24"/>
          <w:vertAlign w:val="superscript"/>
          <w:lang w:val="en-US" w:eastAsia="zh-CN"/>
        </w:rPr>
        <w:t>3</w:t>
      </w:r>
      <w:r>
        <w:rPr>
          <w:rFonts w:hint="eastAsia" w:ascii="Times New Roman" w:hAnsi="Times New Roman" w:eastAsia="仿宋_GB2312" w:cs="Times New Roman"/>
          <w:b w:val="0"/>
          <w:bCs/>
          <w:color w:val="auto"/>
          <w:sz w:val="24"/>
          <w:szCs w:val="24"/>
          <w:lang w:val="en-US" w:eastAsia="zh-CN"/>
        </w:rPr>
        <w:t>；基础土方共计开挖0.</w:t>
      </w:r>
      <w:r>
        <w:rPr>
          <w:rFonts w:hint="eastAsia" w:eastAsia="仿宋_GB2312" w:cs="Times New Roman"/>
          <w:b w:val="0"/>
          <w:bCs/>
          <w:color w:val="auto"/>
          <w:sz w:val="24"/>
          <w:szCs w:val="24"/>
          <w:lang w:val="en-US" w:eastAsia="zh-CN"/>
        </w:rPr>
        <w:t>10</w:t>
      </w:r>
      <w:r>
        <w:rPr>
          <w:rFonts w:hint="eastAsia" w:eastAsia="仿宋_GB2312"/>
          <w:color w:val="auto"/>
          <w:sz w:val="24"/>
          <w:szCs w:val="24"/>
          <w:lang w:val="en-US" w:eastAsia="zh-CN"/>
        </w:rPr>
        <w:t>万m</w:t>
      </w:r>
      <w:r>
        <w:rPr>
          <w:rFonts w:hint="eastAsia" w:eastAsia="仿宋_GB2312"/>
          <w:color w:val="auto"/>
          <w:sz w:val="24"/>
          <w:szCs w:val="24"/>
          <w:vertAlign w:val="superscript"/>
          <w:lang w:val="en-US" w:eastAsia="zh-CN"/>
        </w:rPr>
        <w:t>3</w:t>
      </w:r>
      <w:r>
        <w:rPr>
          <w:rFonts w:hint="eastAsia" w:eastAsia="仿宋_GB2312"/>
          <w:color w:val="auto"/>
          <w:sz w:val="24"/>
          <w:szCs w:val="24"/>
          <w:lang w:val="en-US" w:eastAsia="zh-CN"/>
        </w:rPr>
        <w:t>，其中0.04万m</w:t>
      </w:r>
      <w:r>
        <w:rPr>
          <w:rFonts w:hint="eastAsia" w:eastAsia="仿宋_GB2312"/>
          <w:color w:val="auto"/>
          <w:sz w:val="24"/>
          <w:szCs w:val="24"/>
          <w:vertAlign w:val="superscript"/>
          <w:lang w:val="en-US" w:eastAsia="zh-CN"/>
        </w:rPr>
        <w:t>3</w:t>
      </w:r>
      <w:r>
        <w:rPr>
          <w:rFonts w:hint="eastAsia" w:eastAsia="仿宋_GB2312"/>
          <w:color w:val="auto"/>
          <w:sz w:val="24"/>
          <w:szCs w:val="24"/>
          <w:lang w:val="en-US" w:eastAsia="zh-CN"/>
        </w:rPr>
        <w:t>用于基础回填，剩余0.06万m</w:t>
      </w:r>
      <w:r>
        <w:rPr>
          <w:rFonts w:hint="eastAsia" w:eastAsia="仿宋_GB2312"/>
          <w:color w:val="auto"/>
          <w:sz w:val="24"/>
          <w:szCs w:val="24"/>
          <w:vertAlign w:val="superscript"/>
          <w:lang w:val="en-US" w:eastAsia="zh-CN"/>
        </w:rPr>
        <w:t>3</w:t>
      </w:r>
      <w:r>
        <w:rPr>
          <w:rFonts w:hint="eastAsia" w:eastAsia="仿宋_GB2312"/>
          <w:color w:val="auto"/>
          <w:sz w:val="24"/>
          <w:szCs w:val="24"/>
          <w:lang w:val="en-US" w:eastAsia="zh-CN"/>
        </w:rPr>
        <w:t>用于场地平整，无剩余土方。</w:t>
      </w:r>
    </w:p>
    <w:p>
      <w:pPr>
        <w:spacing w:line="360" w:lineRule="auto"/>
        <w:ind w:firstLine="480" w:firstLineChars="200"/>
        <w:jc w:val="both"/>
        <w:rPr>
          <w:rFonts w:hint="default" w:ascii="Times New Roman" w:hAnsi="Times New Roman" w:eastAsia="仿宋_GB2312" w:cs="Times New Roman"/>
          <w:color w:val="auto"/>
          <w:lang w:val="en-US" w:eastAsia="zh-CN"/>
        </w:rPr>
      </w:pPr>
      <w:r>
        <w:rPr>
          <w:rFonts w:hint="eastAsia" w:eastAsia="仿宋_GB2312"/>
          <w:color w:val="auto"/>
          <w:szCs w:val="24"/>
          <w:lang w:val="en-US" w:eastAsia="zh-CN"/>
        </w:rPr>
        <w:t>本项目原地面高程为685.79m-686.85m之间，</w:t>
      </w:r>
      <w:r>
        <w:rPr>
          <w:rFonts w:hint="default" w:ascii="Times New Roman" w:hAnsi="Times New Roman" w:eastAsia="仿宋_GB2312" w:cs="Times New Roman"/>
          <w:color w:val="auto"/>
        </w:rPr>
        <w:t>项目平整后的标高为</w:t>
      </w:r>
      <w:r>
        <w:rPr>
          <w:rFonts w:hint="eastAsia" w:eastAsia="仿宋_GB2312"/>
          <w:color w:val="auto"/>
          <w:szCs w:val="24"/>
          <w:lang w:val="en-US" w:eastAsia="zh-CN"/>
        </w:rPr>
        <w:t>685.85m-686.85</w:t>
      </w:r>
      <w:r>
        <w:rPr>
          <w:rFonts w:hint="default" w:ascii="Times New Roman" w:hAnsi="Times New Roman" w:eastAsia="仿宋_GB2312" w:cs="Times New Roman"/>
          <w:color w:val="auto"/>
        </w:rPr>
        <w:t>m，</w:t>
      </w:r>
      <w:r>
        <w:rPr>
          <w:rFonts w:hint="eastAsia" w:ascii="Times New Roman" w:hAnsi="Times New Roman" w:eastAsia="仿宋_GB2312" w:cs="Times New Roman"/>
          <w:color w:val="auto"/>
          <w:lang w:val="en-US" w:eastAsia="zh-CN"/>
        </w:rPr>
        <w:t>平整土方量0.0</w:t>
      </w:r>
      <w:r>
        <w:rPr>
          <w:rFonts w:hint="eastAsia" w:eastAsia="仿宋_GB2312" w:cs="Times New Roman"/>
          <w:color w:val="auto"/>
          <w:lang w:val="en-US" w:eastAsia="zh-CN"/>
        </w:rPr>
        <w:t>6</w:t>
      </w:r>
      <w:r>
        <w:rPr>
          <w:rFonts w:hint="eastAsia" w:ascii="Times New Roman" w:hAnsi="Times New Roman" w:eastAsia="仿宋_GB2312" w:cs="Times New Roman"/>
          <w:color w:val="auto"/>
          <w:lang w:val="en-US" w:eastAsia="zh-CN"/>
        </w:rPr>
        <w:t>万m</w:t>
      </w:r>
      <w:r>
        <w:rPr>
          <w:rFonts w:hint="eastAsia" w:ascii="Times New Roman" w:hAnsi="Times New Roman" w:eastAsia="仿宋_GB2312" w:cs="Times New Roman"/>
          <w:color w:val="auto"/>
          <w:vertAlign w:val="superscript"/>
          <w:lang w:val="en-US" w:eastAsia="zh-CN"/>
        </w:rPr>
        <w:t>3</w:t>
      </w:r>
      <w:r>
        <w:rPr>
          <w:rFonts w:hint="eastAsia" w:ascii="Times New Roman" w:hAnsi="Times New Roman" w:eastAsia="仿宋_GB2312" w:cs="Times New Roman"/>
          <w:color w:val="auto"/>
          <w:lang w:val="en-US" w:eastAsia="zh-CN"/>
        </w:rPr>
        <w:t>。</w:t>
      </w:r>
    </w:p>
    <w:p>
      <w:pPr>
        <w:spacing w:line="360" w:lineRule="auto"/>
        <w:ind w:firstLine="480" w:firstLineChars="200"/>
        <w:jc w:val="both"/>
        <w:rPr>
          <w:rFonts w:hint="default" w:eastAsia="仿宋_GB2312"/>
          <w:color w:val="auto"/>
          <w:lang w:val="en-US" w:eastAsia="zh-CN"/>
        </w:rPr>
      </w:pPr>
      <w:r>
        <w:rPr>
          <w:rFonts w:hint="default" w:ascii="Times New Roman" w:hAnsi="Times New Roman" w:eastAsia="仿宋_GB2312" w:cs="Times New Roman"/>
          <w:color w:val="auto"/>
        </w:rPr>
        <w:t>本项目挖填土石方总量为</w:t>
      </w:r>
      <w:r>
        <w:rPr>
          <w:rFonts w:hint="eastAsia" w:eastAsia="仿宋_GB2312" w:cs="Times New Roman"/>
          <w:color w:val="auto"/>
          <w:lang w:val="en-US" w:eastAsia="zh-CN"/>
        </w:rPr>
        <w:t>0.20万</w:t>
      </w:r>
      <w:r>
        <w:rPr>
          <w:rFonts w:hint="default" w:ascii="Times New Roman" w:hAnsi="Times New Roman" w:eastAsia="仿宋_GB2312" w:cs="Times New Roman"/>
          <w:color w:val="auto"/>
        </w:rPr>
        <w:t>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，其中挖方量为</w:t>
      </w:r>
      <w:r>
        <w:rPr>
          <w:rFonts w:hint="eastAsia" w:eastAsia="仿宋_GB2312" w:cs="Times New Roman"/>
          <w:color w:val="auto"/>
          <w:lang w:val="en-US" w:eastAsia="zh-CN"/>
        </w:rPr>
        <w:t>0.10万</w:t>
      </w:r>
      <w:r>
        <w:rPr>
          <w:rFonts w:hint="default" w:ascii="Times New Roman" w:hAnsi="Times New Roman" w:eastAsia="仿宋_GB2312" w:cs="Times New Roman"/>
          <w:color w:val="auto"/>
        </w:rPr>
        <w:t>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，填方量</w:t>
      </w:r>
      <w:r>
        <w:rPr>
          <w:rFonts w:hint="eastAsia" w:eastAsia="仿宋_GB2312" w:cs="Times New Roman"/>
          <w:color w:val="auto"/>
          <w:lang w:val="en-US" w:eastAsia="zh-CN"/>
        </w:rPr>
        <w:t>为0.10万</w:t>
      </w:r>
      <w:r>
        <w:rPr>
          <w:rFonts w:hint="default" w:ascii="Times New Roman" w:hAnsi="Times New Roman" w:eastAsia="仿宋_GB2312" w:cs="Times New Roman"/>
          <w:color w:val="auto"/>
        </w:rPr>
        <w:t>m</w:t>
      </w:r>
      <w:r>
        <w:rPr>
          <w:rFonts w:hint="default" w:ascii="Times New Roman" w:hAnsi="Times New Roman" w:eastAsia="仿宋_GB2312" w:cs="Times New Roman"/>
          <w:color w:val="auto"/>
          <w:vertAlign w:val="superscript"/>
        </w:rPr>
        <w:t>3</w:t>
      </w:r>
      <w:r>
        <w:rPr>
          <w:rFonts w:hint="eastAsia" w:eastAsia="仿宋_GB2312" w:cs="Times New Roman"/>
          <w:color w:val="auto"/>
          <w:lang w:eastAsia="zh-CN"/>
        </w:rPr>
        <w:t>，</w:t>
      </w:r>
      <w:r>
        <w:rPr>
          <w:rFonts w:hint="eastAsia" w:eastAsia="仿宋_GB2312" w:cs="Times New Roman"/>
          <w:color w:val="auto"/>
          <w:lang w:val="en-US" w:eastAsia="zh-CN"/>
        </w:rPr>
        <w:t>土石方平衡，</w:t>
      </w:r>
      <w:r>
        <w:rPr>
          <w:rFonts w:hint="eastAsia" w:eastAsia="仿宋_GB2312"/>
          <w:color w:val="auto"/>
          <w:sz w:val="24"/>
          <w:szCs w:val="24"/>
          <w:lang w:val="en-US" w:eastAsia="zh-CN"/>
        </w:rPr>
        <w:t>无剩余土方。</w:t>
      </w:r>
    </w:p>
    <w:p>
      <w:pPr>
        <w:spacing w:line="360" w:lineRule="auto"/>
        <w:ind w:firstLine="480" w:firstLineChars="200"/>
        <w:jc w:val="both"/>
        <w:rPr>
          <w:color w:val="auto"/>
        </w:rPr>
      </w:pPr>
      <w:r>
        <w:rPr>
          <w:rFonts w:eastAsia="仿宋_GB2312"/>
          <w:color w:val="auto"/>
        </w:rPr>
        <w:t>该项工程土石方平衡见</w:t>
      </w:r>
      <w:r>
        <w:rPr>
          <w:rFonts w:hint="eastAsia" w:eastAsia="仿宋_GB2312"/>
          <w:color w:val="auto"/>
          <w:lang w:val="en-US" w:eastAsia="zh-CN"/>
        </w:rPr>
        <w:t>下</w:t>
      </w:r>
      <w:r>
        <w:rPr>
          <w:rFonts w:eastAsia="仿宋_GB2312"/>
          <w:color w:val="auto"/>
        </w:rPr>
        <w:t>表、</w:t>
      </w:r>
      <w:r>
        <w:rPr>
          <w:rFonts w:hint="eastAsia" w:eastAsia="仿宋_GB2312"/>
          <w:color w:val="auto"/>
          <w:lang w:val="en-US" w:eastAsia="zh-CN"/>
        </w:rPr>
        <w:t>下</w:t>
      </w:r>
      <w:r>
        <w:rPr>
          <w:rFonts w:eastAsia="仿宋_GB2312"/>
          <w:color w:val="auto"/>
        </w:rPr>
        <w:t>图。</w:t>
      </w:r>
    </w:p>
    <w:p>
      <w:pPr>
        <w:snapToGrid w:val="0"/>
        <w:spacing w:line="240" w:lineRule="auto"/>
        <w:jc w:val="center"/>
        <w:rPr>
          <w:rFonts w:eastAsia="仿宋_GB2312"/>
          <w:color w:val="auto"/>
          <w:szCs w:val="28"/>
        </w:rPr>
      </w:pPr>
      <w:r>
        <w:rPr>
          <w:rFonts w:eastAsia="仿宋_GB2312"/>
          <w:b/>
          <w:color w:val="auto"/>
          <w:szCs w:val="24"/>
        </w:rPr>
        <w:t>表2-5             土石方平衡表</w:t>
      </w:r>
      <w:r>
        <w:rPr>
          <w:rFonts w:eastAsia="仿宋_GB2312"/>
          <w:bCs/>
          <w:color w:val="auto"/>
          <w:szCs w:val="24"/>
        </w:rPr>
        <w:t xml:space="preserve">       </w:t>
      </w:r>
      <w:r>
        <w:rPr>
          <w:rFonts w:eastAsia="仿宋_GB2312"/>
          <w:b/>
          <w:color w:val="auto"/>
          <w:szCs w:val="24"/>
        </w:rPr>
        <w:t>单位：万m</w:t>
      </w:r>
      <w:r>
        <w:rPr>
          <w:rFonts w:eastAsia="仿宋_GB2312"/>
          <w:b/>
          <w:color w:val="auto"/>
          <w:szCs w:val="24"/>
          <w:vertAlign w:val="superscript"/>
        </w:rPr>
        <w:t>3</w:t>
      </w:r>
    </w:p>
    <w:tbl>
      <w:tblPr>
        <w:tblStyle w:val="24"/>
        <w:tblW w:w="8521" w:type="dxa"/>
        <w:jc w:val="center"/>
        <w:tblLayout w:type="fixed"/>
        <w:tblCellMar>
          <w:top w:w="0" w:type="dxa"/>
          <w:left w:w="0" w:type="dxa"/>
          <w:bottom w:w="0" w:type="dxa"/>
          <w:right w:w="0" w:type="dxa"/>
        </w:tblCellMar>
      </w:tblPr>
      <w:tblGrid>
        <w:gridCol w:w="953"/>
        <w:gridCol w:w="1668"/>
        <w:gridCol w:w="1350"/>
        <w:gridCol w:w="1363"/>
        <w:gridCol w:w="1313"/>
        <w:gridCol w:w="849"/>
        <w:gridCol w:w="1025"/>
      </w:tblGrid>
      <w:tr>
        <w:tblPrEx>
          <w:tblCellMar>
            <w:top w:w="0" w:type="dxa"/>
            <w:left w:w="0" w:type="dxa"/>
            <w:bottom w:w="0" w:type="dxa"/>
            <w:right w:w="0" w:type="dxa"/>
          </w:tblCellMar>
        </w:tblPrEx>
        <w:trPr>
          <w:trHeight w:val="283" w:hRule="atLeast"/>
          <w:jc w:val="center"/>
        </w:trPr>
        <w:tc>
          <w:tcPr>
            <w:tcW w:w="953" w:type="dxa"/>
            <w:tcBorders>
              <w:top w:val="single" w:color="auto" w:sz="4" w:space="0"/>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分区代号</w:t>
            </w:r>
          </w:p>
        </w:tc>
        <w:tc>
          <w:tcPr>
            <w:tcW w:w="1668" w:type="dxa"/>
            <w:tcBorders>
              <w:top w:val="single" w:color="auto" w:sz="4" w:space="0"/>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防治分区</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分类</w:t>
            </w:r>
          </w:p>
        </w:tc>
        <w:tc>
          <w:tcPr>
            <w:tcW w:w="1363" w:type="dxa"/>
            <w:tcBorders>
              <w:top w:val="single" w:color="auto" w:sz="4" w:space="0"/>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开挖或剥离方</w:t>
            </w:r>
          </w:p>
        </w:tc>
        <w:tc>
          <w:tcPr>
            <w:tcW w:w="1313" w:type="dxa"/>
            <w:tcBorders>
              <w:top w:val="single" w:color="auto" w:sz="4" w:space="0"/>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回填或回覆方</w:t>
            </w:r>
          </w:p>
        </w:tc>
        <w:tc>
          <w:tcPr>
            <w:tcW w:w="849"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借方</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余（弃）方</w:t>
            </w:r>
          </w:p>
        </w:tc>
      </w:tr>
      <w:tr>
        <w:tblPrEx>
          <w:tblCellMar>
            <w:top w:w="0" w:type="dxa"/>
            <w:left w:w="0" w:type="dxa"/>
            <w:bottom w:w="0" w:type="dxa"/>
            <w:right w:w="0" w:type="dxa"/>
          </w:tblCellMar>
        </w:tblPrEx>
        <w:trPr>
          <w:trHeight w:val="306" w:hRule="atLeast"/>
          <w:jc w:val="center"/>
        </w:trPr>
        <w:tc>
          <w:tcPr>
            <w:tcW w:w="953" w:type="dxa"/>
            <w:vMerge w:val="restart"/>
            <w:tcBorders>
              <w:top w:val="nil"/>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color w:val="auto"/>
                <w:sz w:val="21"/>
                <w:szCs w:val="21"/>
              </w:rPr>
              <w:t>①</w:t>
            </w:r>
          </w:p>
        </w:tc>
        <w:tc>
          <w:tcPr>
            <w:tcW w:w="1668" w:type="dxa"/>
            <w:vMerge w:val="restart"/>
            <w:tcBorders>
              <w:top w:val="nil"/>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工程建设区</w:t>
            </w:r>
          </w:p>
        </w:tc>
        <w:tc>
          <w:tcPr>
            <w:tcW w:w="1350"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eastAsia="仿宋_GB2312"/>
                <w:color w:val="auto"/>
                <w:sz w:val="21"/>
                <w:szCs w:val="21"/>
                <w:lang w:val="en-US" w:eastAsia="zh-CN"/>
              </w:rPr>
            </w:pPr>
            <w:r>
              <w:rPr>
                <w:rFonts w:hint="eastAsia" w:eastAsia="仿宋_GB2312"/>
                <w:color w:val="auto"/>
                <w:sz w:val="21"/>
                <w:szCs w:val="21"/>
                <w:lang w:val="en-US" w:eastAsia="zh-CN"/>
              </w:rPr>
              <w:t>基础</w:t>
            </w:r>
            <w:r>
              <w:rPr>
                <w:rFonts w:eastAsia="仿宋_GB2312"/>
                <w:color w:val="auto"/>
                <w:sz w:val="21"/>
                <w:szCs w:val="21"/>
              </w:rPr>
              <w:t>土石方</w:t>
            </w:r>
            <w:r>
              <w:rPr>
                <w:rFonts w:hint="eastAsia" w:eastAsia="仿宋_GB2312"/>
                <w:color w:val="auto"/>
                <w:sz w:val="21"/>
                <w:szCs w:val="21"/>
                <w:lang w:eastAsia="zh-CN"/>
              </w:rPr>
              <w:t>、</w:t>
            </w:r>
            <w:r>
              <w:rPr>
                <w:rFonts w:hint="eastAsia" w:eastAsia="仿宋_GB2312"/>
                <w:color w:val="auto"/>
                <w:sz w:val="21"/>
                <w:szCs w:val="21"/>
                <w:lang w:val="en-US" w:eastAsia="zh-CN"/>
              </w:rPr>
              <w:t>场地平整</w:t>
            </w:r>
          </w:p>
        </w:tc>
        <w:tc>
          <w:tcPr>
            <w:tcW w:w="1363"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eastAsia="仿宋_GB2312"/>
                <w:color w:val="auto"/>
                <w:sz w:val="21"/>
                <w:szCs w:val="21"/>
                <w:lang w:val="en-US" w:eastAsia="zh-CN"/>
              </w:rPr>
            </w:pPr>
            <w:r>
              <w:rPr>
                <w:rFonts w:hint="eastAsia" w:eastAsia="仿宋_GB2312"/>
                <w:color w:val="auto"/>
                <w:sz w:val="21"/>
                <w:szCs w:val="21"/>
                <w:lang w:val="en-US" w:eastAsia="zh-CN"/>
              </w:rPr>
              <w:t>0.10</w:t>
            </w:r>
          </w:p>
        </w:tc>
        <w:tc>
          <w:tcPr>
            <w:tcW w:w="1313"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eastAsia="仿宋_GB2312"/>
                <w:color w:val="auto"/>
                <w:sz w:val="21"/>
                <w:szCs w:val="21"/>
                <w:lang w:val="en-US" w:eastAsia="zh-CN"/>
              </w:rPr>
            </w:pPr>
            <w:r>
              <w:rPr>
                <w:rFonts w:hint="eastAsia" w:eastAsia="仿宋_GB2312"/>
                <w:color w:val="auto"/>
                <w:sz w:val="21"/>
                <w:szCs w:val="21"/>
                <w:lang w:val="en-US" w:eastAsia="zh-CN"/>
              </w:rPr>
              <w:t>0.10</w:t>
            </w:r>
          </w:p>
        </w:tc>
        <w:tc>
          <w:tcPr>
            <w:tcW w:w="849"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025" w:type="dxa"/>
            <w:tcBorders>
              <w:top w:val="nil"/>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r>
      <w:tr>
        <w:tblPrEx>
          <w:tblCellMar>
            <w:top w:w="0" w:type="dxa"/>
            <w:left w:w="0" w:type="dxa"/>
            <w:bottom w:w="0" w:type="dxa"/>
            <w:right w:w="0" w:type="dxa"/>
          </w:tblCellMar>
        </w:tblPrEx>
        <w:trPr>
          <w:trHeight w:val="283" w:hRule="atLeast"/>
          <w:jc w:val="center"/>
        </w:trPr>
        <w:tc>
          <w:tcPr>
            <w:tcW w:w="953" w:type="dxa"/>
            <w:vMerge w:val="continue"/>
            <w:tcBorders>
              <w:top w:val="nil"/>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668" w:type="dxa"/>
            <w:vMerge w:val="continue"/>
            <w:tcBorders>
              <w:top w:val="nil"/>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350"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表土</w:t>
            </w:r>
          </w:p>
        </w:tc>
        <w:tc>
          <w:tcPr>
            <w:tcW w:w="1363"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313"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849"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025"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r>
      <w:tr>
        <w:tblPrEx>
          <w:tblCellMar>
            <w:top w:w="0" w:type="dxa"/>
            <w:left w:w="0" w:type="dxa"/>
            <w:bottom w:w="0" w:type="dxa"/>
            <w:right w:w="0" w:type="dxa"/>
          </w:tblCellMar>
        </w:tblPrEx>
        <w:trPr>
          <w:trHeight w:val="283" w:hRule="atLeast"/>
          <w:jc w:val="center"/>
        </w:trPr>
        <w:tc>
          <w:tcPr>
            <w:tcW w:w="953" w:type="dxa"/>
            <w:vMerge w:val="continue"/>
            <w:tcBorders>
              <w:top w:val="nil"/>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668" w:type="dxa"/>
            <w:vMerge w:val="continue"/>
            <w:tcBorders>
              <w:top w:val="nil"/>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350"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小计</w:t>
            </w:r>
          </w:p>
        </w:tc>
        <w:tc>
          <w:tcPr>
            <w:tcW w:w="1363"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0.10</w:t>
            </w:r>
          </w:p>
        </w:tc>
        <w:tc>
          <w:tcPr>
            <w:tcW w:w="1313"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0.10</w:t>
            </w:r>
          </w:p>
        </w:tc>
        <w:tc>
          <w:tcPr>
            <w:tcW w:w="849"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025"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r>
      <w:tr>
        <w:tblPrEx>
          <w:tblCellMar>
            <w:top w:w="0" w:type="dxa"/>
            <w:left w:w="0" w:type="dxa"/>
            <w:bottom w:w="0" w:type="dxa"/>
            <w:right w:w="0" w:type="dxa"/>
          </w:tblCellMar>
        </w:tblPrEx>
        <w:trPr>
          <w:trHeight w:val="283" w:hRule="atLeast"/>
          <w:jc w:val="center"/>
        </w:trPr>
        <w:tc>
          <w:tcPr>
            <w:tcW w:w="2621"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合计</w:t>
            </w:r>
          </w:p>
        </w:tc>
        <w:tc>
          <w:tcPr>
            <w:tcW w:w="1350" w:type="dxa"/>
            <w:tcBorders>
              <w:top w:val="single" w:color="auto" w:sz="4" w:space="0"/>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土石方</w:t>
            </w:r>
          </w:p>
        </w:tc>
        <w:tc>
          <w:tcPr>
            <w:tcW w:w="1363" w:type="dxa"/>
            <w:tcBorders>
              <w:top w:val="single" w:color="auto" w:sz="4" w:space="0"/>
              <w:left w:val="nil"/>
              <w:bottom w:val="single" w:color="auto" w:sz="4" w:space="0"/>
              <w:right w:val="single" w:color="auto" w:sz="4" w:space="0"/>
            </w:tcBorders>
            <w:vAlign w:val="center"/>
          </w:tcPr>
          <w:p>
            <w:pPr>
              <w:adjustRightInd/>
              <w:spacing w:line="240" w:lineRule="auto"/>
              <w:jc w:val="center"/>
              <w:textAlignment w:val="auto"/>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0.10</w:t>
            </w:r>
          </w:p>
        </w:tc>
        <w:tc>
          <w:tcPr>
            <w:tcW w:w="1313" w:type="dxa"/>
            <w:tcBorders>
              <w:top w:val="single" w:color="auto" w:sz="4" w:space="0"/>
              <w:left w:val="nil"/>
              <w:bottom w:val="single" w:color="auto" w:sz="4" w:space="0"/>
              <w:right w:val="single" w:color="auto" w:sz="4" w:space="0"/>
            </w:tcBorders>
            <w:vAlign w:val="center"/>
          </w:tcPr>
          <w:p>
            <w:pPr>
              <w:adjustRightInd/>
              <w:spacing w:line="240" w:lineRule="auto"/>
              <w:jc w:val="center"/>
              <w:textAlignment w:val="auto"/>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0.10</w:t>
            </w:r>
          </w:p>
        </w:tc>
        <w:tc>
          <w:tcPr>
            <w:tcW w:w="849" w:type="dxa"/>
            <w:tcBorders>
              <w:top w:val="single" w:color="auto" w:sz="4" w:space="0"/>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025" w:type="dxa"/>
            <w:tcBorders>
              <w:top w:val="single" w:color="auto" w:sz="4" w:space="0"/>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r>
      <w:tr>
        <w:tblPrEx>
          <w:tblCellMar>
            <w:top w:w="0" w:type="dxa"/>
            <w:left w:w="0" w:type="dxa"/>
            <w:bottom w:w="0" w:type="dxa"/>
            <w:right w:w="0" w:type="dxa"/>
          </w:tblCellMar>
        </w:tblPrEx>
        <w:trPr>
          <w:trHeight w:val="283" w:hRule="atLeast"/>
          <w:jc w:val="center"/>
        </w:trPr>
        <w:tc>
          <w:tcPr>
            <w:tcW w:w="2621" w:type="dxa"/>
            <w:gridSpan w:val="2"/>
            <w:vMerge w:val="continue"/>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350"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表土</w:t>
            </w:r>
          </w:p>
        </w:tc>
        <w:tc>
          <w:tcPr>
            <w:tcW w:w="1363"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313"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849"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025"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r>
      <w:tr>
        <w:tblPrEx>
          <w:tblCellMar>
            <w:top w:w="0" w:type="dxa"/>
            <w:left w:w="0" w:type="dxa"/>
            <w:bottom w:w="0" w:type="dxa"/>
            <w:right w:w="0" w:type="dxa"/>
          </w:tblCellMar>
        </w:tblPrEx>
        <w:trPr>
          <w:trHeight w:val="283" w:hRule="atLeast"/>
          <w:jc w:val="center"/>
        </w:trPr>
        <w:tc>
          <w:tcPr>
            <w:tcW w:w="2621" w:type="dxa"/>
            <w:gridSpan w:val="2"/>
            <w:vMerge w:val="continue"/>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350"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r>
              <w:rPr>
                <w:rFonts w:eastAsia="仿宋_GB2312"/>
                <w:color w:val="auto"/>
                <w:sz w:val="21"/>
                <w:szCs w:val="21"/>
              </w:rPr>
              <w:t>小计</w:t>
            </w:r>
          </w:p>
        </w:tc>
        <w:tc>
          <w:tcPr>
            <w:tcW w:w="1363"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0.10</w:t>
            </w:r>
          </w:p>
        </w:tc>
        <w:tc>
          <w:tcPr>
            <w:tcW w:w="1313"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0.10</w:t>
            </w:r>
          </w:p>
        </w:tc>
        <w:tc>
          <w:tcPr>
            <w:tcW w:w="849"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c>
          <w:tcPr>
            <w:tcW w:w="1025"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auto"/>
                <w:sz w:val="21"/>
                <w:szCs w:val="21"/>
              </w:rPr>
            </w:pPr>
          </w:p>
        </w:tc>
      </w:tr>
    </w:tbl>
    <w:p>
      <w:pPr>
        <w:snapToGrid w:val="0"/>
        <w:spacing w:line="240" w:lineRule="auto"/>
        <w:jc w:val="both"/>
        <w:rPr>
          <w:rFonts w:eastAsia="仿宋_GB2312"/>
          <w:b/>
          <w:color w:val="auto"/>
          <w:szCs w:val="24"/>
        </w:rPr>
      </w:pPr>
    </w:p>
    <w:p>
      <w:pPr>
        <w:pStyle w:val="101"/>
        <w:ind w:firstLine="1656" w:firstLineChars="550"/>
        <w:outlineLvl w:val="9"/>
        <w:rPr>
          <w:rFonts w:hint="default" w:ascii="Times New Roman" w:hAnsi="Times New Roman" w:eastAsia="仿宋_GB2312" w:cs="Times New Roman"/>
          <w:color w:val="auto"/>
        </w:rPr>
      </w:pPr>
      <w:r>
        <w:rPr>
          <w:rFonts w:hint="default" w:ascii="Times New Roman" w:hAnsi="Times New Roman" w:eastAsia="仿宋_GB2312" w:cs="Times New Roman"/>
          <w:b/>
          <w:color w:val="auto"/>
          <w:szCs w:val="28"/>
        </w:rPr>
        <mc:AlternateContent>
          <mc:Choice Requires="wpc">
            <w:drawing>
              <wp:inline distT="0" distB="0" distL="114300" distR="114300">
                <wp:extent cx="2781935" cy="1631950"/>
                <wp:effectExtent l="0" t="0" r="0" b="0"/>
                <wp:docPr id="29" name="画布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文本框 98"/>
                        <wps:cNvSpPr txBox="1"/>
                        <wps:spPr>
                          <a:xfrm>
                            <a:off x="297180" y="597768"/>
                            <a:ext cx="809625" cy="859489"/>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spacing w:line="360" w:lineRule="auto"/>
                                <w:jc w:val="center"/>
                                <w:rPr>
                                  <w:rFonts w:eastAsia="仿宋_GB2312"/>
                                  <w:sz w:val="18"/>
                                  <w:szCs w:val="18"/>
                                </w:rPr>
                              </w:pPr>
                              <w:r>
                                <w:rPr>
                                  <w:rFonts w:hint="eastAsia" w:eastAsia="仿宋_GB2312"/>
                                  <w:sz w:val="18"/>
                                  <w:szCs w:val="18"/>
                                </w:rPr>
                                <w:t>工程建设</w:t>
                              </w:r>
                              <w:r>
                                <w:rPr>
                                  <w:rFonts w:eastAsia="仿宋_GB2312"/>
                                  <w:sz w:val="18"/>
                                  <w:szCs w:val="18"/>
                                </w:rPr>
                                <w:t>区</w:t>
                              </w:r>
                            </w:p>
                            <w:p>
                              <w:pPr>
                                <w:spacing w:line="360" w:lineRule="auto"/>
                                <w:jc w:val="center"/>
                                <w:rPr>
                                  <w:rFonts w:hint="default" w:ascii="Times New Roman" w:hAnsi="Times New Roman" w:eastAsia="仿宋_GB2312"/>
                                  <w:sz w:val="18"/>
                                  <w:szCs w:val="18"/>
                                  <w:lang w:val="en-US" w:eastAsia="zh-CN"/>
                                </w:rPr>
                              </w:pPr>
                              <w:r>
                                <w:rPr>
                                  <w:rFonts w:ascii="Times New Roman" w:hAnsi="Times New Roman" w:eastAsia="仿宋_GB2312"/>
                                  <w:sz w:val="18"/>
                                  <w:szCs w:val="18"/>
                                </w:rPr>
                                <w:t>土石方</w:t>
                              </w:r>
                              <w:r>
                                <w:rPr>
                                  <w:rFonts w:hint="eastAsia" w:eastAsia="仿宋_GB2312"/>
                                  <w:sz w:val="18"/>
                                  <w:szCs w:val="18"/>
                                  <w:lang w:eastAsia="zh-CN"/>
                                </w:rPr>
                                <w:t>：</w:t>
                              </w:r>
                              <w:r>
                                <w:rPr>
                                  <w:rFonts w:hint="eastAsia" w:eastAsia="仿宋_GB2312"/>
                                  <w:sz w:val="18"/>
                                  <w:szCs w:val="18"/>
                                  <w:lang w:val="en-US" w:eastAsia="zh-CN"/>
                                </w:rPr>
                                <w:t>0.10</w:t>
                              </w:r>
                            </w:p>
                            <w:p>
                              <w:pPr>
                                <w:spacing w:line="360" w:lineRule="auto"/>
                                <w:jc w:val="center"/>
                                <w:rPr>
                                  <w:rFonts w:hint="default" w:ascii="Times New Roman" w:hAnsi="Times New Roman" w:eastAsia="仿宋_GB2312"/>
                                  <w:sz w:val="18"/>
                                  <w:szCs w:val="18"/>
                                  <w:lang w:val="en-US" w:eastAsia="zh-CN"/>
                                </w:rPr>
                              </w:pPr>
                              <w:r>
                                <w:rPr>
                                  <w:rFonts w:ascii="Times New Roman" w:hAnsi="Times New Roman" w:eastAsia="仿宋_GB2312"/>
                                  <w:sz w:val="18"/>
                                  <w:szCs w:val="18"/>
                                </w:rPr>
                                <w:t>表土</w:t>
                              </w:r>
                              <w:r>
                                <w:rPr>
                                  <w:rFonts w:hint="eastAsia" w:eastAsia="仿宋_GB2312"/>
                                  <w:sz w:val="18"/>
                                  <w:szCs w:val="18"/>
                                  <w:lang w:eastAsia="zh-CN"/>
                                </w:rPr>
                                <w:t>：</w:t>
                              </w:r>
                              <w:r>
                                <w:rPr>
                                  <w:rFonts w:hint="eastAsia" w:eastAsia="仿宋_GB2312"/>
                                  <w:sz w:val="18"/>
                                  <w:szCs w:val="18"/>
                                  <w:lang w:val="en-US" w:eastAsia="zh-CN"/>
                                </w:rPr>
                                <w:t>0</w:t>
                              </w:r>
                            </w:p>
                          </w:txbxContent>
                        </wps:txbx>
                        <wps:bodyPr upright="1"/>
                      </wps:wsp>
                      <wps:wsp>
                        <wps:cNvPr id="14" name="直线 99"/>
                        <wps:cNvCnPr/>
                        <wps:spPr>
                          <a:xfrm>
                            <a:off x="158750" y="218525"/>
                            <a:ext cx="635" cy="1258425"/>
                          </a:xfrm>
                          <a:prstGeom prst="line">
                            <a:avLst/>
                          </a:prstGeom>
                          <a:ln w="9525" cap="flat" cmpd="sng">
                            <a:solidFill>
                              <a:srgbClr val="000000"/>
                            </a:solidFill>
                            <a:prstDash val="dash"/>
                            <a:headEnd type="none" w="med" len="med"/>
                            <a:tailEnd type="none" w="med" len="med"/>
                          </a:ln>
                        </wps:spPr>
                        <wps:bodyPr upright="1"/>
                      </wps:wsp>
                      <wps:wsp>
                        <wps:cNvPr id="15" name="直线 100"/>
                        <wps:cNvCnPr/>
                        <wps:spPr>
                          <a:xfrm>
                            <a:off x="170180" y="1476950"/>
                            <a:ext cx="1071880" cy="635"/>
                          </a:xfrm>
                          <a:prstGeom prst="line">
                            <a:avLst/>
                          </a:prstGeom>
                          <a:ln w="9525" cap="flat" cmpd="sng">
                            <a:solidFill>
                              <a:srgbClr val="000000"/>
                            </a:solidFill>
                            <a:prstDash val="dash"/>
                            <a:headEnd type="none" w="med" len="med"/>
                            <a:tailEnd type="none" w="med" len="med"/>
                          </a:ln>
                        </wps:spPr>
                        <wps:bodyPr upright="1"/>
                      </wps:wsp>
                      <wps:wsp>
                        <wps:cNvPr id="16" name="直线 101"/>
                        <wps:cNvCnPr/>
                        <wps:spPr>
                          <a:xfrm flipV="1">
                            <a:off x="1230630" y="208361"/>
                            <a:ext cx="635" cy="1268589"/>
                          </a:xfrm>
                          <a:prstGeom prst="line">
                            <a:avLst/>
                          </a:prstGeom>
                          <a:ln w="9525" cap="flat" cmpd="sng">
                            <a:solidFill>
                              <a:srgbClr val="000000"/>
                            </a:solidFill>
                            <a:prstDash val="dash"/>
                            <a:headEnd type="none" w="med" len="med"/>
                            <a:tailEnd type="none" w="med" len="med"/>
                          </a:ln>
                        </wps:spPr>
                        <wps:bodyPr upright="1"/>
                      </wps:wsp>
                      <wps:wsp>
                        <wps:cNvPr id="17" name="直线 102"/>
                        <wps:cNvCnPr/>
                        <wps:spPr>
                          <a:xfrm>
                            <a:off x="1107440" y="208361"/>
                            <a:ext cx="134620" cy="635"/>
                          </a:xfrm>
                          <a:prstGeom prst="line">
                            <a:avLst/>
                          </a:prstGeom>
                          <a:ln w="9525" cap="flat" cmpd="sng">
                            <a:solidFill>
                              <a:srgbClr val="000000"/>
                            </a:solidFill>
                            <a:prstDash val="dash"/>
                            <a:headEnd type="none" w="med" len="med"/>
                            <a:tailEnd type="none" w="med" len="med"/>
                          </a:ln>
                        </wps:spPr>
                        <wps:bodyPr upright="1"/>
                      </wps:wsp>
                      <wps:wsp>
                        <wps:cNvPr id="18" name="文本框 103"/>
                        <wps:cNvSpPr txBox="1"/>
                        <wps:spPr>
                          <a:xfrm>
                            <a:off x="301625" y="43197"/>
                            <a:ext cx="808355" cy="455472"/>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sz w:val="18"/>
                                  <w:szCs w:val="18"/>
                                </w:rPr>
                                <w:t>挖方</w:t>
                              </w:r>
                            </w:p>
                            <w:p>
                              <w:pPr>
                                <w:jc w:val="center"/>
                                <w:rPr>
                                  <w:rFonts w:hint="default" w:ascii="Times New Roman" w:hAnsi="Times New Roman" w:eastAsia="宋体"/>
                                  <w:sz w:val="18"/>
                                  <w:szCs w:val="18"/>
                                  <w:lang w:val="en-US" w:eastAsia="zh-CN"/>
                                </w:rPr>
                              </w:pPr>
                            </w:p>
                          </w:txbxContent>
                        </wps:txbx>
                        <wps:bodyPr upright="1"/>
                      </wps:wsp>
                      <wps:wsp>
                        <wps:cNvPr id="19" name="直线 104"/>
                        <wps:cNvCnPr/>
                        <wps:spPr>
                          <a:xfrm>
                            <a:off x="173990" y="217890"/>
                            <a:ext cx="134620" cy="635"/>
                          </a:xfrm>
                          <a:prstGeom prst="line">
                            <a:avLst/>
                          </a:prstGeom>
                          <a:ln w="9525" cap="flat" cmpd="sng">
                            <a:solidFill>
                              <a:srgbClr val="000000"/>
                            </a:solidFill>
                            <a:prstDash val="dash"/>
                            <a:headEnd type="none" w="med" len="med"/>
                            <a:tailEnd type="none" w="med" len="med"/>
                          </a:ln>
                        </wps:spPr>
                        <wps:bodyPr upright="1"/>
                      </wps:wsp>
                      <wps:wsp>
                        <wps:cNvPr id="20" name="文本框 105"/>
                        <wps:cNvSpPr txBox="1"/>
                        <wps:spPr>
                          <a:xfrm>
                            <a:off x="1735455" y="605391"/>
                            <a:ext cx="860425" cy="852502"/>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spacing w:line="360" w:lineRule="auto"/>
                                <w:jc w:val="center"/>
                                <w:rPr>
                                  <w:rFonts w:hint="default" w:ascii="Times New Roman" w:hAnsi="Times New Roman" w:eastAsia="仿宋_GB2312" w:cs="Times New Roman"/>
                                  <w:sz w:val="18"/>
                                  <w:szCs w:val="18"/>
                                  <w:lang w:val="en-US" w:eastAsia="zh-CN"/>
                                </w:rPr>
                              </w:pPr>
                              <w:r>
                                <w:rPr>
                                  <w:rFonts w:hint="eastAsia" w:ascii="仿宋_GB2312" w:eastAsia="仿宋_GB2312"/>
                                  <w:sz w:val="18"/>
                                  <w:szCs w:val="18"/>
                                </w:rPr>
                                <w:t>工程建设区土石方</w:t>
                              </w:r>
                              <w:r>
                                <w:rPr>
                                  <w:rFonts w:hint="eastAsia" w:ascii="仿宋_GB2312" w:eastAsia="仿宋_GB2312"/>
                                  <w:sz w:val="18"/>
                                  <w:szCs w:val="18"/>
                                  <w:lang w:val="en-US" w:eastAsia="zh-CN"/>
                                </w:rPr>
                                <w:t>:</w:t>
                              </w:r>
                              <w:r>
                                <w:rPr>
                                  <w:rFonts w:hint="eastAsia" w:eastAsia="仿宋_GB2312" w:cs="Times New Roman"/>
                                  <w:sz w:val="18"/>
                                  <w:szCs w:val="18"/>
                                  <w:lang w:val="en-US" w:eastAsia="zh-CN"/>
                                </w:rPr>
                                <w:t>0.10</w:t>
                              </w:r>
                            </w:p>
                            <w:p>
                              <w:pPr>
                                <w:spacing w:line="360" w:lineRule="auto"/>
                                <w:jc w:val="center"/>
                                <w:rPr>
                                  <w:rFonts w:hint="default" w:ascii="仿宋_GB2312" w:eastAsia="仿宋_GB2312"/>
                                  <w:sz w:val="18"/>
                                  <w:szCs w:val="18"/>
                                  <w:lang w:val="en-US" w:eastAsia="zh-CN"/>
                                </w:rPr>
                              </w:pPr>
                              <w:r>
                                <w:rPr>
                                  <w:rFonts w:hint="eastAsia" w:ascii="仿宋_GB2312" w:eastAsia="仿宋_GB2312"/>
                                  <w:sz w:val="18"/>
                                  <w:szCs w:val="18"/>
                                </w:rPr>
                                <w:t>表土</w:t>
                              </w:r>
                              <w:r>
                                <w:rPr>
                                  <w:rFonts w:hint="eastAsia" w:eastAsia="仿宋_GB2312"/>
                                  <w:sz w:val="18"/>
                                  <w:szCs w:val="18"/>
                                  <w:lang w:val="en-US" w:eastAsia="zh-CN"/>
                                </w:rPr>
                                <w:t>：0</w:t>
                              </w:r>
                            </w:p>
                          </w:txbxContent>
                        </wps:txbx>
                        <wps:bodyPr upright="1"/>
                      </wps:wsp>
                      <wps:wsp>
                        <wps:cNvPr id="21" name="直线 106"/>
                        <wps:cNvCnPr/>
                        <wps:spPr>
                          <a:xfrm flipH="1">
                            <a:off x="1612265" y="215984"/>
                            <a:ext cx="9525" cy="1260966"/>
                          </a:xfrm>
                          <a:prstGeom prst="line">
                            <a:avLst/>
                          </a:prstGeom>
                          <a:ln w="9525" cap="flat" cmpd="sng">
                            <a:solidFill>
                              <a:srgbClr val="000000"/>
                            </a:solidFill>
                            <a:prstDash val="dash"/>
                            <a:headEnd type="none" w="med" len="med"/>
                            <a:tailEnd type="none" w="med" len="med"/>
                          </a:ln>
                        </wps:spPr>
                        <wps:bodyPr upright="1"/>
                      </wps:wsp>
                      <wps:wsp>
                        <wps:cNvPr id="22" name="直线 107"/>
                        <wps:cNvCnPr/>
                        <wps:spPr>
                          <a:xfrm>
                            <a:off x="1604010" y="1477585"/>
                            <a:ext cx="1076325" cy="635"/>
                          </a:xfrm>
                          <a:prstGeom prst="line">
                            <a:avLst/>
                          </a:prstGeom>
                          <a:ln w="9525" cap="flat" cmpd="sng">
                            <a:solidFill>
                              <a:srgbClr val="000000"/>
                            </a:solidFill>
                            <a:prstDash val="dash"/>
                            <a:headEnd type="none" w="med" len="med"/>
                            <a:tailEnd type="none" w="med" len="med"/>
                          </a:ln>
                        </wps:spPr>
                        <wps:bodyPr upright="1"/>
                      </wps:wsp>
                      <wps:wsp>
                        <wps:cNvPr id="23" name="直线 108"/>
                        <wps:cNvCnPr/>
                        <wps:spPr>
                          <a:xfrm>
                            <a:off x="2545715" y="215984"/>
                            <a:ext cx="134620" cy="635"/>
                          </a:xfrm>
                          <a:prstGeom prst="line">
                            <a:avLst/>
                          </a:prstGeom>
                          <a:ln w="9525" cap="flat" cmpd="sng">
                            <a:solidFill>
                              <a:srgbClr val="000000"/>
                            </a:solidFill>
                            <a:prstDash val="dash"/>
                            <a:headEnd type="none" w="med" len="med"/>
                            <a:tailEnd type="none" w="med" len="med"/>
                          </a:ln>
                        </wps:spPr>
                        <wps:bodyPr upright="1"/>
                      </wps:wsp>
                      <wps:wsp>
                        <wps:cNvPr id="24" name="文本框 109"/>
                        <wps:cNvSpPr txBox="1"/>
                        <wps:spPr>
                          <a:xfrm>
                            <a:off x="1735455" y="50820"/>
                            <a:ext cx="808355" cy="455472"/>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sz w:val="18"/>
                                  <w:szCs w:val="18"/>
                                </w:rPr>
                                <w:t>填方</w:t>
                              </w:r>
                            </w:p>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2615.6</w:t>
                              </w:r>
                            </w:p>
                          </w:txbxContent>
                        </wps:txbx>
                        <wps:bodyPr upright="1"/>
                      </wps:wsp>
                      <wps:wsp>
                        <wps:cNvPr id="25" name="直线 110"/>
                        <wps:cNvCnPr/>
                        <wps:spPr>
                          <a:xfrm>
                            <a:off x="1612265" y="225513"/>
                            <a:ext cx="134620" cy="635"/>
                          </a:xfrm>
                          <a:prstGeom prst="line">
                            <a:avLst/>
                          </a:prstGeom>
                          <a:ln w="9525" cap="flat" cmpd="sng">
                            <a:solidFill>
                              <a:srgbClr val="000000"/>
                            </a:solidFill>
                            <a:prstDash val="dash"/>
                            <a:headEnd type="none" w="med" len="med"/>
                            <a:tailEnd type="none" w="med" len="med"/>
                          </a:ln>
                        </wps:spPr>
                        <wps:bodyPr upright="1"/>
                      </wps:wsp>
                      <wps:wsp>
                        <wps:cNvPr id="26" name="直线 111"/>
                        <wps:cNvCnPr/>
                        <wps:spPr>
                          <a:xfrm flipH="1" flipV="1">
                            <a:off x="2689860" y="208996"/>
                            <a:ext cx="6985" cy="1269224"/>
                          </a:xfrm>
                          <a:prstGeom prst="line">
                            <a:avLst/>
                          </a:prstGeom>
                          <a:ln w="9525" cap="flat" cmpd="sng">
                            <a:solidFill>
                              <a:srgbClr val="000000"/>
                            </a:solidFill>
                            <a:prstDash val="dash"/>
                            <a:headEnd type="none" w="med" len="med"/>
                            <a:tailEnd type="none" w="med" len="med"/>
                          </a:ln>
                        </wps:spPr>
                        <wps:bodyPr upright="1"/>
                      </wps:wsp>
                      <wps:wsp>
                        <wps:cNvPr id="27" name="直线 112"/>
                        <wps:cNvCnPr/>
                        <wps:spPr>
                          <a:xfrm>
                            <a:off x="1106805" y="958588"/>
                            <a:ext cx="628650" cy="635"/>
                          </a:xfrm>
                          <a:prstGeom prst="line">
                            <a:avLst/>
                          </a:prstGeom>
                          <a:ln w="9525" cap="flat" cmpd="sng">
                            <a:solidFill>
                              <a:srgbClr val="000000"/>
                            </a:solidFill>
                            <a:prstDash val="solid"/>
                            <a:headEnd type="none" w="med" len="med"/>
                            <a:tailEnd type="triangle" w="med" len="med"/>
                          </a:ln>
                        </wps:spPr>
                        <wps:bodyPr upright="1"/>
                      </wps:wsp>
                      <wps:wsp>
                        <wps:cNvPr id="28" name="文本框 113"/>
                        <wps:cNvSpPr txBox="1"/>
                        <wps:spPr>
                          <a:xfrm>
                            <a:off x="1029970" y="661928"/>
                            <a:ext cx="733425" cy="297296"/>
                          </a:xfrm>
                          <a:prstGeom prst="rect">
                            <a:avLst/>
                          </a:prstGeom>
                          <a:solidFill>
                            <a:srgbClr val="FFFFFF">
                              <a:alpha val="0"/>
                            </a:srgbClr>
                          </a:solidFill>
                          <a:ln>
                            <a:noFill/>
                          </a:ln>
                        </wps:spPr>
                        <wps:txbx>
                          <w:txbxContent>
                            <w:p>
                              <w:pPr>
                                <w:jc w:val="center"/>
                                <w:rPr>
                                  <w:rFonts w:hint="default"/>
                                  <w:lang w:val="en-US"/>
                                </w:rPr>
                              </w:pPr>
                              <w:r>
                                <w:rPr>
                                  <w:rFonts w:hint="eastAsia"/>
                                  <w:sz w:val="18"/>
                                  <w:szCs w:val="18"/>
                                  <w:lang w:val="en-US" w:eastAsia="zh-CN"/>
                                </w:rPr>
                                <w:t>0.10</w:t>
                              </w:r>
                            </w:p>
                          </w:txbxContent>
                        </wps:txbx>
                        <wps:bodyPr upright="1"/>
                      </wps:wsp>
                    </wpc:wpc>
                  </a:graphicData>
                </a:graphic>
              </wp:inline>
            </w:drawing>
          </mc:Choice>
          <mc:Fallback>
            <w:pict>
              <v:group id="画布 96" o:spid="_x0000_s1026" o:spt="203" style="height:128.5pt;width:219.05pt;" coordsize="2781935,1631950" editas="canvas" o:gfxdata="UEsDBAoAAAAAAIdO4kAAAAAAAAAAAAAAAAAEAAAAZHJzL1BLAwQUAAAACACHTuJASIyzi9gAAAAF&#10;AQAADwAAAGRycy9kb3ducmV2LnhtbE2PT0vDQBDF74LfYRnBi7S7qf9KzKaHglhEKKa15212TILZ&#10;2TS7Teq3d+pFLwOP93jvN9ni5FoxYB8aTxqSqQKBVHrbUKVhu3mezEGEaMia1hNq+MYAi/zyIjOp&#10;9SO941DESnAJhdRoqGPsUilDWaMzYeo7JPY+fe9MZNlX0vZm5HLXyplSD9KZhnihNh0uayy/iqPT&#10;MJbrYbd5e5Hrm93K02F1WBYfr1pfXyXqCUTEU/wLwxmf0SFnpr0/kg2i1cCPxN/L3t3tPAGx1zC7&#10;f1Qg80z+p89/AFBLAwQUAAAACACHTuJArX2myC8FAACDJQAADgAAAGRycy9lMm9Eb2MueG1s7VpL&#10;b+w0FN4j8R+i7OnETuLYo06vxO1tWSC40gX2buI8pLzkpJ3pGgn+AGIDG/YsWSBY8Gto/wbHdpJ5&#10;02kRt1PddDHNwznxOf78nc/HOX21KHLrRsgmq8qZjU4c2xJlWEVZmczsr7+6+ITaVtPyMuJ5VYqZ&#10;fSsa+9XZxx+dzuupwFVa5ZGQFhgpm+m8ntlp29bTyaQJU1Hw5qSqRQk340oWvIVTmUwiyedgvcgn&#10;2HHIZF7JqJZVKJoGrp6bm3ZnUR5isIrjLBTnVXhdiLI1VqXIeQsuNWlWN/aZ7m0ci7D9Mo4b0Vr5&#10;zAZPW/0LL4HjK/U7OTvl00TyOs3Crgv8kC5s+FTwrISXDqbOecuta5ltmSqyUFZNFbcnYVVMjCM6&#10;IuAFcjZicymr61r7kkznST0EHQZqI+pPNht+cfNWWlk0szGzrZIXMOL3P/z59+/fWoyo6MzrZAqN&#10;LmX9rn4ruwuJOVMOL2JZqP/girXQcb0d4ioWrRXCRRxQxFzftkK4h4iLmN9FPkxheLaeC9M3Dzw5&#10;6V88Uf0bujOvAZPNMlDNfwvUu5TXQse/UTHoAoXcPlB3P35/9/Ovd798ZzFqYqXbqUBZ7eLTClxH&#10;/fUGLu6IF2YBogBGCIzPgoBoO3zaR446jOAucNRnHmXK3uA9n9ayaS9FVVjqYGZLALzGIb/5vGlN&#10;076JentT5Vl0keW5PpHJ1etcWjccJseF/jPP5nXKzVU9TPC6xjTVr16zkZfWfGYzX3eSAx3EMA1h&#10;oIsaINWUiTa49kRnqrPvqL/Op7VmqtfnvElNO31LNePTImuF1Eep4NGbMrLa2xpQWwJb2aozhYhs&#10;KxdAbupIt2x5lh/SEjzNS3BS4cgMmDpqF1cLMKMOr6roFgb3upZZkkK89fDq5gA70+T/x5/X4+/+&#10;p9/u//jLYhoUqnsA0tdlN0t7D/qZMkxR5NMA5p+CHEZUjZyOUQ85MkxU7FPP3N0PuDyDqKth2QO4&#10;94SPCJBi3HhfoDgKJAAzdJRtkIDMXDocCoHTsw/yAjLQco8F5AA7KXpSxK2AAUgZsbBFEEeBBbKF&#10;hSH37KcFK86z+hvFY2oOdzkcYdchbscQDnWJNrRMSisMQaj/UEoaGeI5c0WwhQqsJvHhDAEU4Hn7&#10;sYBcj+CRIAatsVtBHAVBwLrOJIulbEWOu4KGx+hW10FamEJe8EDPByb59nmDAmv4nWz1fN8LNOj2&#10;Z45Rtn4AsnW5vuzFircCvgN0a+Ay1jERCigcrunWkYnWVz3Hy0QqX2wzkRaXXV56DBOhwPWBY/R6&#10;hji+yzbUCiWOWsVoCatWO87IRR/8EhqjHoHdEho5XbHr39bQWix/timWCcKYGPhh5DOqSW0plrvS&#10;CORJhAlUc/R79mfCUS0/o1rGeAsWWtgcrpaBa6CMq7kIFtSBTzeKK6Cmiduz0big1tWEHRW3Y9DL&#10;eCjzDhyxWuR9WK9gSEsB2s8Mo2B5MYJlqLiuLp1Wq65PFSy+Q0ENrenYce00lvyHAk2/Nwcssl7o&#10;hSTzqDLOqkrBvg97WGugG7noxXDRVp0XHVrn1dJ1Z8UXE8pgnWT2hBzKzNbvUsQSBkLG7N5iwjDW&#10;GncUsUe5EYC3Sr7o0SVfQh2jWxgoWLqxJ00wJWr/8CXtCa3sHz91g7CVGS+TXOzeYz7iasuuuq/h&#10;/6dUWxzMWGCYghDE8AY4Atcdqi3wbQM2TLKfKp6h8qt2uspKfQQBKXD3uB2+46+/P4Fvc7Sl7jsi&#10;9fHP6rmmieW3U2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AHAABbQ29udGVudF9UeXBlc10ueG1sUEsBAhQACgAAAAAAh07iQAAAAAAAAAAA&#10;AAAAAAYAAAAAAAAAAAAQAAAAggYAAF9yZWxzL1BLAQIUABQAAAAIAIdO4kCKFGY80QAAAJQBAAAL&#10;AAAAAAAAAAEAIAAAAKYGAABfcmVscy8ucmVsc1BLAQIUAAoAAAAAAIdO4kAAAAAAAAAAAAAAAAAE&#10;AAAAAAAAAAAAEAAAAAAAAABkcnMvUEsBAhQAFAAAAAgAh07iQEiMs4vYAAAABQEAAA8AAAAAAAAA&#10;AQAgAAAAIgAAAGRycy9kb3ducmV2LnhtbFBLAQIUABQAAAAIAIdO4kCtfabILwUAAIMlAAAOAAAA&#10;AAAAAAEAIAAAACcBAABkcnMvZTJvRG9jLnhtbFBLBQYAAAAABgAGAFkBAADICAAAAAA=&#10;">
                <o:lock v:ext="edit" aspectratio="f"/>
                <v:shape id="画布 96" o:spid="_x0000_s1026" style="position:absolute;left:0;top:0;height:1631950;width:2781935;" filled="f" stroked="f" coordsize="21600,21600" o:gfxdata="UEsDBAoAAAAAAIdO4kAAAAAAAAAAAAAAAAAEAAAAZHJzL1BLAwQUAAAACACHTuJASIyzi9gAAAAF&#10;AQAADwAAAGRycy9kb3ducmV2LnhtbE2PT0vDQBDF74LfYRnBi7S7qf9KzKaHglhEKKa15212TILZ&#10;2TS7Teq3d+pFLwOP93jvN9ni5FoxYB8aTxqSqQKBVHrbUKVhu3mezEGEaMia1hNq+MYAi/zyIjOp&#10;9SO941DESnAJhdRoqGPsUilDWaMzYeo7JPY+fe9MZNlX0vZm5HLXyplSD9KZhnihNh0uayy/iqPT&#10;MJbrYbd5e5Hrm93K02F1WBYfr1pfXyXqCUTEU/wLwxmf0SFnpr0/kg2i1cCPxN/L3t3tPAGx1zC7&#10;f1Qg80z+p89/AFBLAwQUAAAACACHTuJAM2tbSfcEAAD+JAAADgAAAGRycy9lMm9Eb2MueG1s7VrL&#10;buM2FN0X6D8I2jcWKYkijTgDNGnaRdEOMNPuaYmyBegFUrGdH2j/oJt2032XXXUzf5P5jV6Ssmz5&#10;gTiZduLByAubEq8vX0fnHl7q8tWqyJ2FkCqryomLLjzXEWVcJVk5m7g/vb39irqOaniZ8LwqxcS9&#10;F8p9dfXlF5fLeixwNa/yREgHnJRqvKwn7rxp6vFopOK5KLi6qGpRQmVayYI3cClno0TyJXgv8hH2&#10;PDJaVjKpZRULpeDuja10W4/yFIdVmmaxuKniu0KUjfUqRc4bGJKaZ7Vyr0xv01TEzY9pqkTj5BMX&#10;RtqYb2gEylP9Pbq65OOZ5PU8i9su8FO6sDOmgmclNNq5uuENd+5ktueqyGJZqSptLuKqGNmBmBmB&#10;USBvZ26uebngdjAxzPW6g1D6D/1OZ7rfZXWb5TnMxgi8j/U9/buE1Ra6Oi/7RvaOsW1tljXAQdUd&#10;MNSHdfHNnNfCLKMaxz8sXksnSwCtvuuUvABUPvz268Mffz38+YvDqF5E3TzYvanBsll9Xa3AeH1f&#10;wU3d/VUqC/0Ls+5APWYRooCD+4kbsigixg8fi1XjxFBNPUZw6Dox1NOQBZRpf6ONm1qq5ltRFY4u&#10;TFwJWDMQ4IvvVWNN1ya6VVXlWaIn2VzI2fQ6l86CAy5vzcf+N6/n3N412ITmlDU1Tfd85KWznLgs&#10;NJ3k8CSm8ARAf4saZkqVM+Ow94/WVevf0592TD0z3esbrubWzlRpMz4uskZIU5oLnnxTJk5zX8Ni&#10;lEAUru5MIRLXyQXwii4Zy4Zn+SmWMFINMoCUGtsF06VmNV2BG12cVsk9LO5dLbPZHObbLK8xB9hZ&#10;k/8ff8Eaf+9///v9P+8cZkDRgu+6fK1nZzOCDVZayKGQRqGFHEZUr5yZozXkiN/iDeGQBrb2OODy&#10;DGZdL8sRwH0kfCSAFDuMjwWKs0ACrJRlohYJyD5Lp0Mh8tbsg4KIMIBFDwvIA3bS9KT5RwMDagcs&#10;7BHEWWCB7GGhiz0Qk47QgpPmWf2z5jH9DK8JAvse8VuG8KhPjKNNUNpiCELDx0LSwBAvGSuiPVRg&#10;/RCfzhBAAUFwHAvIDwgeCKLTGocVxFkQBGypdmUr8vwtNDxFt/oeMsIU4kLgIxb14wYF1ghbGRGE&#10;YRAZ0B2PHINs/QxkK1vjrxMrwRb4jgSo7bAU+Yy1TIQiCsW+VhmYqLfrOV8m0vFin4mMuGzj0lOY&#10;CEV+CBxjttDEC322o1Yo8fQupt1C49AbuOiz30JjtEZgx0XkcS4yYvm7XbFMEMbEwg+jkFFDahux&#10;3KZGIE4iTCCbY9o5HgkHtfyCahnjPVgYYXO6WgaugQyq4SLYUEch3UmugJom/pqNhg21ySYcyLid&#10;g17GXZq344jtJO/jegVDWIrQcWYYtk79NO0ZC5Yu47rJ+CNvO+v6XMESehTUUE/HDnunIeXfJWja&#10;IycdMfqJXggyT0rjbKsUHIZwhtUD3cBFnwwX7eV50al5XiNdD2Z8MaEM9klGt2CPMmZU6kbEEgZC&#10;xuygQMQyjI3GHUTsWR4E4L2UL3pyypdQz+oWBgqW7pxJE0yJPj/8lM6Ets6Pn3tA2MiMl7NcHD5j&#10;PmPxcijva/n/OdkWDzMWWaYgBDG8A47I97tsC7zbgC2THKeKF8j86pTi5k2TDzzxt2+f1LHZybSv&#10;8Oj3bravDU1sXlu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oBwAAW0NvbnRlbnRfVHlwZXNdLnhtbFBLAQIUAAoAAAAAAIdO4kAAAAAAAAAA&#10;AAAAAAAGAAAAAAAAAAAAEAAAAEoGAABfcmVscy9QSwECFAAUAAAACACHTuJAihRmPNEAAACUAQAA&#10;CwAAAAAAAAABACAAAABuBgAAX3JlbHMvLnJlbHNQSwECFAAKAAAAAACHTuJAAAAAAAAAAAAAAAAA&#10;BAAAAAAAAAAAABAAAAAAAAAAZHJzL1BLAQIUABQAAAAIAIdO4kBIjLOL2AAAAAUBAAAPAAAAAAAA&#10;AAEAIAAAACIAAABkcnMvZG93bnJldi54bWxQSwECFAAUAAAACACHTuJAM2tbSfcEAAD+JAAADgAA&#10;AAAAAAABACAAAAAnAQAAZHJzL2Uyb0RvYy54bWxQSwUGAAAAAAYABgBZAQAAkAgAAAAA&#10;">
                  <v:fill on="f" focussize="0,0"/>
                  <v:stroke on="f"/>
                  <v:imagedata o:title=""/>
                  <o:lock v:ext="edit" aspectratio="t"/>
                </v:shape>
                <v:shape id="文本框 98" o:spid="_x0000_s1026" o:spt="202" type="#_x0000_t202" style="position:absolute;left:297180;top:597768;height:859489;width:809625;" fillcolor="#FFFFFF" filled="t" stroked="t" coordsize="21600,21600" o:gfxdata="UEsDBAoAAAAAAIdO4kAAAAAAAAAAAAAAAAAEAAAAZHJzL1BLAwQUAAAACACHTuJAdtpas9MAAAAF&#10;AQAADwAAAGRycy9kb3ducmV2LnhtbE2PwW7CMBBE70j9B2sr9QZ2gEAU4iDUCvVc4AOceElC43Vk&#10;GwJ/j9tLe1lpNKOZt8X2bnp2Q+c7SxKSmQCGVFvdUSPhdNxPM2A+KNKqt4QSHuhhW75MCpVrO9IX&#10;3g6hYbGEfK4ktCEMOee+btEoP7MDUvTO1hkVonQN106Nsdz0fC7EihvVUVxo1YDvLdbfh6uR8BH2&#10;57Ufqx2my13qVubzlF0WUr69JmIDLOA9/IXhBz+iQxmZKnsl7VkvIT4Sfm/0lossAVZJmKdrAbws&#10;+H/68glQSwMEFAAAAAgAh07iQN4wxuUkAgAAXgQAAA4AAABkcnMvZTJvRG9jLnhtbK1UTY7TMBTe&#10;I3EHy3uatNBOEjUdCUrZIEAaOIBrO4kl/8l2m/QCcANWbNhzrp5jnp3MDB02XZBF+uz35fP7vvfc&#10;9e2gJDpy54XRNZ7Pcoy4poYJ3db429fdqwIjH4hmRBrNa3ziHt9uXr5Y97biC9MZybhDQKJ91dsa&#10;dyHYKss87bgifmYs15BsjFMkwNK1GXOkB3Yls0Wer7LeOGadodx72N2OSTwxumsITdMIyreGHhTX&#10;YWR1XJIAknwnrMebVG3TcBo+N43nAckag9KQ3nAIxPv4zjZrUrWO2E7QqQRyTQnPNCkiNBz6SLUl&#10;gaCDE/9QKUGd8aYJM2pUNgpJjoCKef7Mm7uOWJ60gNXePpru/x8t/XT84pBgMAmvMdJEQcfPP3+c&#10;f/05//6OyiIa1FtfAe7OAjIMb80A4Id9D5tR99A4FX9BEYL8oryZF+DxqcbL8uZmlXhIxYeAKKSL&#10;vFwtlhhRyBfL8k1RRr7sicY6Hz5wo1AMauygj8lecvzowwh9gMRTvZGC7YSUaeHa/Tvp0JFAz3fp&#10;Gb+VtiPjbuo7HOdHaDr6gkNq1Ne4XKYiCUx5A9MF9SoLTnndJsKLLyaqiT+Pz6TpAhar3hLfjbiU&#10;ijBSKRG4S1HHCXuvGQonC83QcAlxLEZxhpHkcGdjlJCBCHkNEpRKDSJjI8eGxSgM+wFoYrg37ATN&#10;PVgn2g78Tu1NcBi75M50ReJc/71OpE9/C5t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tpas9MA&#10;AAAFAQAADwAAAAAAAAABACAAAAAiAAAAZHJzL2Rvd25yZXYueG1sUEsBAhQAFAAAAAgAh07iQN4w&#10;xuUkAgAAXgQAAA4AAAAAAAAAAQAgAAAAIgEAAGRycy9lMm9Eb2MueG1sUEsFBgAAAAAGAAYAWQEA&#10;ALgFAAAAAA==&#10;">
                  <v:fill on="t" opacity="0f" focussize="0,0"/>
                  <v:stroke color="#000000" joinstyle="miter"/>
                  <v:imagedata o:title=""/>
                  <o:lock v:ext="edit" aspectratio="f"/>
                  <v:textbox>
                    <w:txbxContent>
                      <w:p>
                        <w:pPr>
                          <w:spacing w:line="360" w:lineRule="auto"/>
                          <w:jc w:val="center"/>
                          <w:rPr>
                            <w:rFonts w:eastAsia="仿宋_GB2312"/>
                            <w:sz w:val="18"/>
                            <w:szCs w:val="18"/>
                          </w:rPr>
                        </w:pPr>
                        <w:r>
                          <w:rPr>
                            <w:rFonts w:hint="eastAsia" w:eastAsia="仿宋_GB2312"/>
                            <w:sz w:val="18"/>
                            <w:szCs w:val="18"/>
                          </w:rPr>
                          <w:t>工程建设</w:t>
                        </w:r>
                        <w:r>
                          <w:rPr>
                            <w:rFonts w:eastAsia="仿宋_GB2312"/>
                            <w:sz w:val="18"/>
                            <w:szCs w:val="18"/>
                          </w:rPr>
                          <w:t>区</w:t>
                        </w:r>
                      </w:p>
                      <w:p>
                        <w:pPr>
                          <w:spacing w:line="360" w:lineRule="auto"/>
                          <w:jc w:val="center"/>
                          <w:rPr>
                            <w:rFonts w:hint="default" w:ascii="Times New Roman" w:hAnsi="Times New Roman" w:eastAsia="仿宋_GB2312"/>
                            <w:sz w:val="18"/>
                            <w:szCs w:val="18"/>
                            <w:lang w:val="en-US" w:eastAsia="zh-CN"/>
                          </w:rPr>
                        </w:pPr>
                        <w:r>
                          <w:rPr>
                            <w:rFonts w:ascii="Times New Roman" w:hAnsi="Times New Roman" w:eastAsia="仿宋_GB2312"/>
                            <w:sz w:val="18"/>
                            <w:szCs w:val="18"/>
                          </w:rPr>
                          <w:t>土石方</w:t>
                        </w:r>
                        <w:r>
                          <w:rPr>
                            <w:rFonts w:hint="eastAsia" w:eastAsia="仿宋_GB2312"/>
                            <w:sz w:val="18"/>
                            <w:szCs w:val="18"/>
                            <w:lang w:eastAsia="zh-CN"/>
                          </w:rPr>
                          <w:t>：</w:t>
                        </w:r>
                        <w:r>
                          <w:rPr>
                            <w:rFonts w:hint="eastAsia" w:eastAsia="仿宋_GB2312"/>
                            <w:sz w:val="18"/>
                            <w:szCs w:val="18"/>
                            <w:lang w:val="en-US" w:eastAsia="zh-CN"/>
                          </w:rPr>
                          <w:t>0.10</w:t>
                        </w:r>
                      </w:p>
                      <w:p>
                        <w:pPr>
                          <w:spacing w:line="360" w:lineRule="auto"/>
                          <w:jc w:val="center"/>
                          <w:rPr>
                            <w:rFonts w:hint="default" w:ascii="Times New Roman" w:hAnsi="Times New Roman" w:eastAsia="仿宋_GB2312"/>
                            <w:sz w:val="18"/>
                            <w:szCs w:val="18"/>
                            <w:lang w:val="en-US" w:eastAsia="zh-CN"/>
                          </w:rPr>
                        </w:pPr>
                        <w:r>
                          <w:rPr>
                            <w:rFonts w:ascii="Times New Roman" w:hAnsi="Times New Roman" w:eastAsia="仿宋_GB2312"/>
                            <w:sz w:val="18"/>
                            <w:szCs w:val="18"/>
                          </w:rPr>
                          <w:t>表土</w:t>
                        </w:r>
                        <w:r>
                          <w:rPr>
                            <w:rFonts w:hint="eastAsia" w:eastAsia="仿宋_GB2312"/>
                            <w:sz w:val="18"/>
                            <w:szCs w:val="18"/>
                            <w:lang w:eastAsia="zh-CN"/>
                          </w:rPr>
                          <w:t>：</w:t>
                        </w:r>
                        <w:r>
                          <w:rPr>
                            <w:rFonts w:hint="eastAsia" w:eastAsia="仿宋_GB2312"/>
                            <w:sz w:val="18"/>
                            <w:szCs w:val="18"/>
                            <w:lang w:val="en-US" w:eastAsia="zh-CN"/>
                          </w:rPr>
                          <w:t>0</w:t>
                        </w:r>
                      </w:p>
                    </w:txbxContent>
                  </v:textbox>
                </v:shape>
                <v:line id="直线 99" o:spid="_x0000_s1026" o:spt="20" style="position:absolute;left:158750;top:218525;height:1258425;width:635;" filled="f" stroked="t" coordsize="21600,21600" o:gfxdata="UEsDBAoAAAAAAIdO4kAAAAAAAAAAAAAAAAAEAAAAZHJzL1BLAwQUAAAACACHTuJArRFVJdYAAAAF&#10;AQAADwAAAGRycy9kb3ducmV2LnhtbE2PwU7DMBBE70j8g7VIXCpqJ1CoQpwekOBSCamBD3DiJQ7E&#10;6yh2k8LXs3CBy0qjGc28LXcnP4gZp9gH0pCtFQikNtieOg2vL49XWxAxGbJmCIQaPjHCrjo/K01h&#10;w0IHnOvUCS6hWBgNLqWxkDK2Dr2J6zAisfcWJm8Sy6mTdjILl/tB5krdSm964gVnRnxw2H7UR6/h&#10;YOtlqV37Ne83q/T83jyt9lmu9eVFpu5BJDylvzD84DM6VMzUhCPZKAYN/Ej6vezdXG8zEI2GfHOn&#10;QFal/E9ffQNQSwMEFAAAAAgAh07iQALH2kz3AQAA6AMAAA4AAABkcnMvZTJvRG9jLnhtbK1TS27b&#10;MBDdF+gdCO5r2W6U2oLlLOKmm6I1kPYAY5KSCPAHDm3ZZ+k1uuqmx8k1OpTcpEk2XlQLaagZvnnv&#10;cbi6OVrDDiqi9q7ms8mUM+WEl9q1Nf/+7e7dgjNM4CQY71TNTwr5zfrtm1UfKjX3nTdSRUYgDqs+&#10;1LxLKVRFgaJTFnDig3KUbHy0kGgZ20JG6AndmmI+nV4XvY8yRC8UIv3djEl+RoyXAPqm0UJtvNhb&#10;5dKIGpWBRJKw0wH5emDbNEqkr02DKjFTc1Kahjc1oXiX38V6BVUbIXRanCnAJRReaLKgHTV9hNpA&#10;AraP+hWU1SJ69E2aCG+LUcjgCKmYTV94c99BUIMWshrDo+n4/2DFl8M2Mi1pEq44c2DpxB9+/Hz4&#10;9Zstl9mdPmBFRbduG88rDNuYpR6baPOXRLAj7S8XH0qy9VTz+WxRzsvRW3VMTFD6+n3JmaDkbF4u&#10;rsZs8QQSIqZPyluWg5ob7bJwqODwGRM1ptK/Jfm3cayv+TJ3YQJoChs6fQptICXo2mEveqPlnTYm&#10;78DY7m5NZAfIkzA8mSDhPivLTTaA3VgnKRpldArkRydZOgVyyNHN4JmBVZIzo+gi5YjwoEqgzSWV&#10;1Nk4IpANHi3N0c7LEx3IPkTddmTEbCCZMzQAA93zsOYJ+3c9ID1d0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RFVJdYAAAAFAQAADwAAAAAAAAABACAAAAAiAAAAZHJzL2Rvd25yZXYueG1sUEsB&#10;AhQAFAAAAAgAh07iQALH2kz3AQAA6AMAAA4AAAAAAAAAAQAgAAAAJQEAAGRycy9lMm9Eb2MueG1s&#10;UEsFBgAAAAAGAAYAWQEAAI4FAAAAAA==&#10;">
                  <v:fill on="f" focussize="0,0"/>
                  <v:stroke color="#000000" joinstyle="round" dashstyle="dash"/>
                  <v:imagedata o:title=""/>
                  <o:lock v:ext="edit" aspectratio="f"/>
                </v:line>
                <v:line id="直线 100" o:spid="_x0000_s1026" o:spt="20" style="position:absolute;left:170180;top:1476950;height:635;width:1071880;" filled="f" stroked="t" coordsize="21600,21600" o:gfxdata="UEsDBAoAAAAAAIdO4kAAAAAAAAAAAAAAAAAEAAAAZHJzL1BLAwQUAAAACACHTuJArRFVJdYAAAAF&#10;AQAADwAAAGRycy9kb3ducmV2LnhtbE2PwU7DMBBE70j8g7VIXCpqJ1CoQpwekOBSCamBD3DiJQ7E&#10;6yh2k8LXs3CBy0qjGc28LXcnP4gZp9gH0pCtFQikNtieOg2vL49XWxAxGbJmCIQaPjHCrjo/K01h&#10;w0IHnOvUCS6hWBgNLqWxkDK2Dr2J6zAisfcWJm8Sy6mTdjILl/tB5krdSm964gVnRnxw2H7UR6/h&#10;YOtlqV37Ne83q/T83jyt9lmu9eVFpu5BJDylvzD84DM6VMzUhCPZKAYN/Ej6vezdXG8zEI2GfHOn&#10;QFal/E9ffQNQSwMEFAAAAAgAh07iQK0yG9/0AQAA6gMAAA4AAABkcnMvZTJvRG9jLnhtbK1TS27b&#10;MBDdF+gdCO5rSW79iWA5i7jppmgNpD0ATVISAf7AoS37LL1GV930OLlGh5QbN8nGi2pBDTnDx3mP&#10;j6vbo9HkIAMoZxtaTUpKpOVOKNs19Pu3+3dLSiAyK5h2Vjb0JIHert++WQ2+llPXOy1kIAhioR58&#10;Q/sYfV0UwHtpGEyclxaTrQuGRZyGrhCBDYhudDEty3kxuCB8cFwC4OpmTNIzYrgG0LWt4nLj+N5I&#10;G0fUIDWLSAl65YGuc7dtK3n82rYgI9ENRaYxj3gIxrs0FusVq7vAfK/4uQV2TQsvOBmmLB76BLVh&#10;kZF9UK+gjOLBgWvjhDtTjESyIsiiKl9o89AzLzMXlBr8k+jw/2D5l8M2ECXQCTNKLDN4448/fj7+&#10;+k2qMsszeKix6s5uA4qVZuC3IXE9tsGkP7IgRwRYlNUSdT1h+GExv5md1ZXHSHjKl4tqmQo4Vszf&#10;z5L2xQXFB4ifpDMkBQ3VyibqrGaHzxDH0r8laVlbMjT0ZjbFtjlDH7Z4/xgaj1zAdnkvOK3EvdI6&#10;7YDQ7e50IAeWvJC/cwvPytIhGwb9WCcwGk3SSyY+WkHiyaNGFt8GTR0YKSjREp9SirKdIlP6mkok&#10;ry1qcNE0RTsnTnglex9U16MQVW4yZdACWbGzXZPH/p1npMsTX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RFVJdYAAAAFAQAADwAAAAAAAAABACAAAAAiAAAAZHJzL2Rvd25yZXYueG1sUEsBAhQA&#10;FAAAAAgAh07iQK0yG9/0AQAA6gMAAA4AAAAAAAAAAQAgAAAAJQEAAGRycy9lMm9Eb2MueG1sUEsF&#10;BgAAAAAGAAYAWQEAAIsFAAAAAA==&#10;">
                  <v:fill on="f" focussize="0,0"/>
                  <v:stroke color="#000000" joinstyle="round" dashstyle="dash"/>
                  <v:imagedata o:title=""/>
                  <o:lock v:ext="edit" aspectratio="f"/>
                </v:line>
                <v:line id="直线 101" o:spid="_x0000_s1026" o:spt="20" style="position:absolute;left:1230630;top:208361;flip:y;height:1268589;width:635;" filled="f" stroked="t" coordsize="21600,21600" o:gfxdata="UEsDBAoAAAAAAIdO4kAAAAAAAAAAAAAAAAAEAAAAZHJzL1BLAwQUAAAACACHTuJAv6fQi9MAAAAF&#10;AQAADwAAAGRycy9kb3ducmV2LnhtbE2PwU7DMBBE70j8g7VI3KidUNoQ4vSA1EOOhKrnbbxNIuJ1&#10;FLtN+vcYLnBZaTSjmbfFbrGDuNLke8cakpUCQdw403Or4fC5f8pA+IBscHBMGm7kYVfe3xWYGzfz&#10;B13r0IpYwj5HDV0IYy6lbzqy6FduJI7e2U0WQ5RTK82Ecyy3g0yV2kiLPceFDkd676j5qi9Ww3J0&#10;G5WsTYX7OQ3V4ear1zrT+vEhUW8gAi3hLww/+BEdysh0chc2Xgwa4iPh90Zv/ZwlIE4a0petAlkW&#10;8j99+Q1QSwMEFAAAAAgAh07iQBr76qv+AQAA9AMAAA4AAABkcnMvZTJvRG9jLnhtbK1TO47bMBDt&#10;A+QOBPtYsgwLXsHyFutsmiAxkGz6MUlJBPgDSVv2WXKNVGlynL1GhpSzye42LqKCGHIe38x7Gq5v&#10;T1qRo/BBWtPS+aykRBhmuTR9Sx++3r9bURIiGA7KGtHSswj0dvP2zXp0jajsYBUXniCJCc3oWjrE&#10;6JqiCGwQGsLMOmEw2VmvIeLW9wX3MCK7VkVVlnUxWs+dt0yEgKfbKUkvjP4aQtt1komtZQctTJxY&#10;vVAQUVIYpAt0k7vtOsHi564LIhLVUlQa84pFMN6ntdisoek9uEGySwtwTQsvNGmQBos+UW0hAjl4&#10;+YpKS+ZtsF2cMauLSUh2BFXMyxfefBnAiawFrQ7uyfTw/2jZp+POE8lxEmpKDGj844/ffzz+/EXm&#10;5TzZM7rQIOrO7PxlF9zOJ62nzmvSKem+4e2sHvWQE26qRVkv0OJzS6tytagzETTiFAnDfL1YUsIw&#10;Oa/q1XJ1k8oUE1/idT7ED8JqkoKWKmmSCdDA8WOIE/QPJB0rQ8aW3iyrRAo4kR1OAobaoapg+nw3&#10;WCX5vVQq3Qi+398pT46QpiJ/lxaewVKRLYRhwnGMEgqaQQB/bziJZ4duGXwlNHWgBadECXxUKcrI&#10;CFJdg0TxyqAHyevJ3RTtLT/jzzk4L/sBjcguZgwOQ3bsMrhp2v7dZ6a/j3X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n0IvTAAAABQEAAA8AAAAAAAAAAQAgAAAAIgAAAGRycy9kb3ducmV2Lnht&#10;bFBLAQIUABQAAAAIAIdO4kAa++qr/gEAAPQDAAAOAAAAAAAAAAEAIAAAACIBAABkcnMvZTJvRG9j&#10;LnhtbFBLBQYAAAAABgAGAFkBAACSBQAAAAA=&#10;">
                  <v:fill on="f" focussize="0,0"/>
                  <v:stroke color="#000000" joinstyle="round" dashstyle="dash"/>
                  <v:imagedata o:title=""/>
                  <o:lock v:ext="edit" aspectratio="f"/>
                </v:line>
                <v:line id="直线 102" o:spid="_x0000_s1026" o:spt="20" style="position:absolute;left:1107440;top:208361;height:635;width:134620;" filled="f" stroked="t" coordsize="21600,21600" o:gfxdata="UEsDBAoAAAAAAIdO4kAAAAAAAAAAAAAAAAAEAAAAZHJzL1BLAwQUAAAACACHTuJArRFVJdYAAAAF&#10;AQAADwAAAGRycy9kb3ducmV2LnhtbE2PwU7DMBBE70j8g7VIXCpqJ1CoQpwekOBSCamBD3DiJQ7E&#10;6yh2k8LXs3CBy0qjGc28LXcnP4gZp9gH0pCtFQikNtieOg2vL49XWxAxGbJmCIQaPjHCrjo/K01h&#10;w0IHnOvUCS6hWBgNLqWxkDK2Dr2J6zAisfcWJm8Sy6mTdjILl/tB5krdSm964gVnRnxw2H7UR6/h&#10;YOtlqV37Ne83q/T83jyt9lmu9eVFpu5BJDylvzD84DM6VMzUhCPZKAYN/Ej6vezdXG8zEI2GfHOn&#10;QFal/E9ffQNQSwMEFAAAAAgAh07iQNET1X71AQAA6QMAAA4AAABkcnMvZTJvRG9jLnhtbK1TS5LT&#10;MBDdU8UdVNoTO85nBlecWUwYNhSkCjhAR5JtVelXauV3Fq7Big3HmWvQssMMDJss8EJuqZ+e+j21&#10;Vncna9hBRdTeNXw6KTlTTnipXdfwr18e3txyhgmcBOOdavhZIb9bv361OoZaVb73RqrIiMRhfQwN&#10;71MKdVGg6JUFnPigHCVbHy0kmsaukBGOxG5NUZXlsjj6KEP0QiHS6mZM8gtjvIbQt60WauPF3iqX&#10;RtaoDCSShL0OyNdDtW2rRPrUtqgSMw0npWkY6RCKd3ks1iuouwih1+JSAlxTwgtNFrSjQ5+oNpCA&#10;7aP+h8pqET36Nk2Et8UoZHCEVEzLF9587iGoQQtZjeHJdPx/tOLjYRuZltQJN5w5sHTjj9++P/74&#10;yaZlle05BqwJde+28TLDsI1Z66mNNv9JBTsRwbS8mc/J2HPDq/J2tpyO7qpTYiLnZ/NlRWlB+eVs&#10;kZPFM0mImN4rb1kOGm60y8qhhsMHTCP0NyQvG8eODX+7qBZECNSGLV0/hTaQFHTdsBe90fJBG5N3&#10;YOx29yayA+RWGL5LCX/B8iEbwH7ESYpGFb0C+c5Jls6BLHL0NHiuwCrJmVH0knJEdUKdQJtrkCTe&#10;OPIgGzxamqOdl2e6kX2IuuvJiMHEAUMdMDh26dbcYn/OB6bnF7r+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0RVSXWAAAABQEAAA8AAAAAAAAAAQAgAAAAIgAAAGRycy9kb3ducmV2LnhtbFBLAQIU&#10;ABQAAAAIAIdO4kDRE9V+9QEAAOkDAAAOAAAAAAAAAAEAIAAAACUBAABkcnMvZTJvRG9jLnhtbFBL&#10;BQYAAAAABgAGAFkBAACMBQAAAAA=&#10;">
                  <v:fill on="f" focussize="0,0"/>
                  <v:stroke color="#000000" joinstyle="round" dashstyle="dash"/>
                  <v:imagedata o:title=""/>
                  <o:lock v:ext="edit" aspectratio="f"/>
                </v:line>
                <v:shape id="文本框 103" o:spid="_x0000_s1026" o:spt="202" type="#_x0000_t202" style="position:absolute;left:301625;top:43197;height:455472;width:808355;" fillcolor="#FFFFFF" filled="t" stroked="t" coordsize="21600,21600" o:gfxdata="UEsDBAoAAAAAAIdO4kAAAAAAAAAAAAAAAAAEAAAAZHJzL1BLAwQUAAAACACHTuJAdtpas9MAAAAF&#10;AQAADwAAAGRycy9kb3ducmV2LnhtbE2PwW7CMBBE70j9B2sr9QZ2gEAU4iDUCvVc4AOceElC43Vk&#10;GwJ/j9tLe1lpNKOZt8X2bnp2Q+c7SxKSmQCGVFvdUSPhdNxPM2A+KNKqt4QSHuhhW75MCpVrO9IX&#10;3g6hYbGEfK4ktCEMOee+btEoP7MDUvTO1hkVonQN106Nsdz0fC7EihvVUVxo1YDvLdbfh6uR8BH2&#10;57Ufqx2my13qVubzlF0WUr69JmIDLOA9/IXhBz+iQxmZKnsl7VkvIT4Sfm/0lossAVZJmKdrAbws&#10;+H/68glQSwMEFAAAAAgAh07iQKyzdVYjAgAAXgQAAA4AAABkcnMvZTJvRG9jLnhtbK1US27bMBDd&#10;F+gdCO5rSXacOIblAK3rboq2QNoD0CQlEeAPJG3JF2hv0FU33fdcPkeGpJLU6caLaiEPOU9v+N4M&#10;vboblEQH7rwwusbVpMSIa2qY0G2Nv33dvllg5APRjEijeY2P3OO79etXq94u+dR0RjLuEJBov+xt&#10;jbsQ7LIoPO24In5iLNeQbIxTJMDStQVzpAd2JYtpWV4XvXHMOkO597C7yUk8MrpLCE3TCMo3hu4V&#10;1yGzOi5JAEm+E9bjdTpt03AaPjeN5wHJGoPSkN5QBOJdfBfrFVm2jthO0PEI5JIjvNCkiNBQ9Ilq&#10;QwJBeyf+oVKCOuNNEybUqCILSY6Aiqp84c19RyxPWsBqb59M9/+Pln46fHFIMJgE6LsmCjp++vnj&#10;9OvP6fd3VJWz6FBv/RKA9xagYXhrBkA/7nvYjMKHxqn4C5IQ5GdldT2dY3Ss8dWsur3JRvMhIArZ&#10;RbmYzSFLY3o+v7qZxnzxzGKdDx+4USgGNXbQx2QvOXz0IUMfIbGoN1KwrZAyLVy7eycdOhDo+TY9&#10;+VtpO5J3U9+hnM/QVPqMQ2rU1/h2HiVQAlPewHRBqCw45XWbCM++GKlG/jI+o6YzWDz1hvgu41Iq&#10;W6NE4C5NY8cJe68ZCkcLzdBwCXE8jOIMI8nhzsYoIQMR8hIkKJUaRMY+5n7FKAy7AWhiuDPsCL3d&#10;WyfaDvxO3U1wGLvkznhF4lz/vU6kz38L6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2lqz0wAA&#10;AAUBAAAPAAAAAAAAAAEAIAAAACIAAABkcnMvZG93bnJldi54bWxQSwECFAAUAAAACACHTuJArLN1&#10;ViMCAABeBAAADgAAAAAAAAABACAAAAAiAQAAZHJzL2Uyb0RvYy54bWxQSwUGAAAAAAYABgBZAQAA&#10;twUAAAAA&#10;">
                  <v:fill on="t" opacity="0f" focussize="0,0"/>
                  <v:stroke color="#000000" joinstyle="miter"/>
                  <v:imagedata o:title=""/>
                  <o:lock v:ext="edit" aspectratio="f"/>
                  <v:textbox>
                    <w:txbxContent>
                      <w:p>
                        <w:pPr>
                          <w:jc w:val="center"/>
                          <w:rPr>
                            <w:rFonts w:hint="eastAsia" w:ascii="仿宋_GB2312" w:eastAsia="仿宋_GB2312"/>
                            <w:sz w:val="18"/>
                            <w:szCs w:val="18"/>
                          </w:rPr>
                        </w:pPr>
                        <w:r>
                          <w:rPr>
                            <w:rFonts w:hint="eastAsia" w:ascii="仿宋_GB2312" w:eastAsia="仿宋_GB2312"/>
                            <w:sz w:val="18"/>
                            <w:szCs w:val="18"/>
                          </w:rPr>
                          <w:t>挖方</w:t>
                        </w:r>
                      </w:p>
                      <w:p>
                        <w:pPr>
                          <w:jc w:val="center"/>
                          <w:rPr>
                            <w:rFonts w:hint="default" w:ascii="Times New Roman" w:hAnsi="Times New Roman" w:eastAsia="宋体"/>
                            <w:sz w:val="18"/>
                            <w:szCs w:val="18"/>
                            <w:lang w:val="en-US" w:eastAsia="zh-CN"/>
                          </w:rPr>
                        </w:pPr>
                      </w:p>
                    </w:txbxContent>
                  </v:textbox>
                </v:shape>
                <v:line id="直线 104" o:spid="_x0000_s1026" o:spt="20" style="position:absolute;left:173990;top:217890;height:635;width:134620;" filled="f" stroked="t" coordsize="21600,21600" o:gfxdata="UEsDBAoAAAAAAIdO4kAAAAAAAAAAAAAAAAAEAAAAZHJzL1BLAwQUAAAACACHTuJArRFVJdYAAAAF&#10;AQAADwAAAGRycy9kb3ducmV2LnhtbE2PwU7DMBBE70j8g7VIXCpqJ1CoQpwekOBSCamBD3DiJQ7E&#10;6yh2k8LXs3CBy0qjGc28LXcnP4gZp9gH0pCtFQikNtieOg2vL49XWxAxGbJmCIQaPjHCrjo/K01h&#10;w0IHnOvUCS6hWBgNLqWxkDK2Dr2J6zAisfcWJm8Sy6mTdjILl/tB5krdSm964gVnRnxw2H7UR6/h&#10;YOtlqV37Ne83q/T83jyt9lmu9eVFpu5BJDylvzD84DM6VMzUhCPZKAYN/Ej6vezdXG8zEI2GfHOn&#10;QFal/E9ffQNQSwMEFAAAAAgAh07iQFBkGOT1AQAA6AMAAA4AAABkcnMvZTJvRG9jLnhtbK1TS27b&#10;MBDdF+gdCO5rWXLsxILlLOKmm6I1kPYANElJBPgDh7bss/QaXXXT4+QaHVJu0iQbL6oF9cgZPs57&#10;HK5uj0aTgwygnG1oOZlSIi13Qtmuod+/3X+4oQQis4JpZ2VDTxLo7fr9u9Xga1m53mkhA0ESC/Xg&#10;G9rH6OuiAN5Lw2DivLQYbF0wLOI0dIUIbEB2o4tqOl0UgwvCB8clAK5uxiA9M4ZLCF3bKi43ju+N&#10;tHFkDVKziJKgVx7oOlfbtpLHr20LMhLdUFQa84iHIN6lsVivWN0F5nvFzyWwS0p4pckwZfHQJ6oN&#10;i4zsg3pDZRQPDlwbJ9yZYhSSHUEV5fSVNw898zJrQavBP5kO/4+WfzlsA1ECO2FJiWUGb/zxx8/H&#10;X79JOb1K9gweasy6s9twnoHfhqT12AaT/qiCHJHgerZcoq+nhlbl9Q3CbK48RsJTeHa1qDDMMb6Y&#10;zVOweObwAeIn6QxJoKFa2SSc1ezwGeKY+jclLWtLhoYu59UcCRl2YYu3j9B4VAK2y3vBaSXuldZp&#10;B4Rud6cDObDUCfk7l/AiLR2yYdCPeQLRqKKXTHy0gsSTR4csvgyaKjBSUKIlPqSEst7IlL4kE8Vr&#10;ix4kf0dHE9o5ccIL2fuguh6NKHORKYINkB07N2vqsH/nmen5ga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0RVSXWAAAABQEAAA8AAAAAAAAAAQAgAAAAIgAAAGRycy9kb3ducmV2LnhtbFBLAQIU&#10;ABQAAAAIAIdO4kBQZBjk9QEAAOgDAAAOAAAAAAAAAAEAIAAAACUBAABkcnMvZTJvRG9jLnhtbFBL&#10;BQYAAAAABgAGAFkBAACMBQAAAAA=&#10;">
                  <v:fill on="f" focussize="0,0"/>
                  <v:stroke color="#000000" joinstyle="round" dashstyle="dash"/>
                  <v:imagedata o:title=""/>
                  <o:lock v:ext="edit" aspectratio="f"/>
                </v:line>
                <v:shape id="文本框 105" o:spid="_x0000_s1026" o:spt="202" type="#_x0000_t202" style="position:absolute;left:1735455;top:605391;height:852502;width:860425;" fillcolor="#FFFFFF" filled="t" stroked="t" coordsize="21600,21600" o:gfxdata="UEsDBAoAAAAAAIdO4kAAAAAAAAAAAAAAAAAEAAAAZHJzL1BLAwQUAAAACACHTuJAdtpas9MAAAAF&#10;AQAADwAAAGRycy9kb3ducmV2LnhtbE2PwW7CMBBE70j9B2sr9QZ2gEAU4iDUCvVc4AOceElC43Vk&#10;GwJ/j9tLe1lpNKOZt8X2bnp2Q+c7SxKSmQCGVFvdUSPhdNxPM2A+KNKqt4QSHuhhW75MCpVrO9IX&#10;3g6hYbGEfK4ktCEMOee+btEoP7MDUvTO1hkVonQN106Nsdz0fC7EihvVUVxo1YDvLdbfh6uR8BH2&#10;57Ufqx2my13qVubzlF0WUr69JmIDLOA9/IXhBz+iQxmZKnsl7VkvIT4Sfm/0lossAVZJmKdrAbws&#10;+H/68glQSwMEFAAAAAgAh07iQLdEEYwmAgAAYAQAAA4AAABkcnMvZTJvRG9jLnhtbK1UzY7TMBC+&#10;I/EOlu80aXZTulHTlaCUCwKkhQeYOk5iyX+y3TZ9AXgDTly481x9DsZOdpculz2QQzL2fP5mvplx&#10;VreDkuTAnRdG13Q+yynhmplG6K6mX79sXy0p8QF0A9JoXtMT9/R2/fLF6mgrXpjeyIY7giTaV0db&#10;0z4EW2WZZz1X4GfGco3O1jgFAZeuyxoHR2RXMivyfJEdjWusM4x7j7ub0UknRvccQtO2gvGNYXvF&#10;dRhZHZcQUJLvhfV0nbJtW87Cp7b1PBBZU1Qa0huDoL2L72y9gqpzYHvBphTgOSk80aRAaAz6QLWB&#10;AGTvxD9USjBnvGnDjBmVjUJSRVDFPH9Sm7seLE9asNTePhTd/z9a9vHw2RHR1LTAkmhQ2PHzj+/n&#10;n7/Pv76ReV7GCh2trxB4ZxEahjdmwLm53/e4GYUPrVPxi5JI9L++Kq/LkpJTTRd5eXWTDkDFh0AY&#10;+peL/LpAN0P/sizKvIiE2SOPdT6850aRaNTUYSdTgeHwwYcReg+JYb2RotkKKdPCdbu30pEDYNe3&#10;6RnPStvDuJs6j+H8CE2hLzikJsea3mBqmCTgnLc4X2gqi7XyukuEFycmqok/j8+k6QIWs96A70dc&#10;ckUYVEoE7pLVc2je6YaEk8V2aLyGNCajeEOJ5Hhro5WQAYR8DhKVSo0iYyfHjkUrDLsBaaK5M80J&#10;u7u3TnQ91ju1K8Fx8FJ1pksSJ/vvdSJ9/DG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2lqz&#10;0wAAAAUBAAAPAAAAAAAAAAEAIAAAACIAAABkcnMvZG93bnJldi54bWxQSwECFAAUAAAACACHTuJA&#10;t0QRjCYCAABgBAAADgAAAAAAAAABACAAAAAiAQAAZHJzL2Uyb0RvYy54bWxQSwUGAAAAAAYABgBZ&#10;AQAAugUAAAAA&#10;">
                  <v:fill on="t" opacity="0f" focussize="0,0"/>
                  <v:stroke color="#000000" joinstyle="miter"/>
                  <v:imagedata o:title=""/>
                  <o:lock v:ext="edit" aspectratio="f"/>
                  <v:textbox>
                    <w:txbxContent>
                      <w:p>
                        <w:pPr>
                          <w:spacing w:line="360" w:lineRule="auto"/>
                          <w:jc w:val="center"/>
                          <w:rPr>
                            <w:rFonts w:hint="default" w:ascii="Times New Roman" w:hAnsi="Times New Roman" w:eastAsia="仿宋_GB2312" w:cs="Times New Roman"/>
                            <w:sz w:val="18"/>
                            <w:szCs w:val="18"/>
                            <w:lang w:val="en-US" w:eastAsia="zh-CN"/>
                          </w:rPr>
                        </w:pPr>
                        <w:r>
                          <w:rPr>
                            <w:rFonts w:hint="eastAsia" w:ascii="仿宋_GB2312" w:eastAsia="仿宋_GB2312"/>
                            <w:sz w:val="18"/>
                            <w:szCs w:val="18"/>
                          </w:rPr>
                          <w:t>工程建设区土石方</w:t>
                        </w:r>
                        <w:r>
                          <w:rPr>
                            <w:rFonts w:hint="eastAsia" w:ascii="仿宋_GB2312" w:eastAsia="仿宋_GB2312"/>
                            <w:sz w:val="18"/>
                            <w:szCs w:val="18"/>
                            <w:lang w:val="en-US" w:eastAsia="zh-CN"/>
                          </w:rPr>
                          <w:t>:</w:t>
                        </w:r>
                        <w:r>
                          <w:rPr>
                            <w:rFonts w:hint="eastAsia" w:eastAsia="仿宋_GB2312" w:cs="Times New Roman"/>
                            <w:sz w:val="18"/>
                            <w:szCs w:val="18"/>
                            <w:lang w:val="en-US" w:eastAsia="zh-CN"/>
                          </w:rPr>
                          <w:t>0.10</w:t>
                        </w:r>
                      </w:p>
                      <w:p>
                        <w:pPr>
                          <w:spacing w:line="360" w:lineRule="auto"/>
                          <w:jc w:val="center"/>
                          <w:rPr>
                            <w:rFonts w:hint="default" w:ascii="仿宋_GB2312" w:eastAsia="仿宋_GB2312"/>
                            <w:sz w:val="18"/>
                            <w:szCs w:val="18"/>
                            <w:lang w:val="en-US" w:eastAsia="zh-CN"/>
                          </w:rPr>
                        </w:pPr>
                        <w:r>
                          <w:rPr>
                            <w:rFonts w:hint="eastAsia" w:ascii="仿宋_GB2312" w:eastAsia="仿宋_GB2312"/>
                            <w:sz w:val="18"/>
                            <w:szCs w:val="18"/>
                          </w:rPr>
                          <w:t>表土</w:t>
                        </w:r>
                        <w:r>
                          <w:rPr>
                            <w:rFonts w:hint="eastAsia" w:eastAsia="仿宋_GB2312"/>
                            <w:sz w:val="18"/>
                            <w:szCs w:val="18"/>
                            <w:lang w:val="en-US" w:eastAsia="zh-CN"/>
                          </w:rPr>
                          <w:t>：0</w:t>
                        </w:r>
                      </w:p>
                    </w:txbxContent>
                  </v:textbox>
                </v:shape>
                <v:line id="直线 106" o:spid="_x0000_s1026" o:spt="20" style="position:absolute;left:1612265;top:215984;flip:x;height:1260966;width:9525;" filled="f" stroked="t" coordsize="21600,21600" o:gfxdata="UEsDBAoAAAAAAIdO4kAAAAAAAAAAAAAAAAAEAAAAZHJzL1BLAwQUAAAACACHTuJAv6fQi9MAAAAF&#10;AQAADwAAAGRycy9kb3ducmV2LnhtbE2PwU7DMBBE70j8g7VI3KidUNoQ4vSA1EOOhKrnbbxNIuJ1&#10;FLtN+vcYLnBZaTSjmbfFbrGDuNLke8cakpUCQdw403Or4fC5f8pA+IBscHBMGm7kYVfe3xWYGzfz&#10;B13r0IpYwj5HDV0IYy6lbzqy6FduJI7e2U0WQ5RTK82Ecyy3g0yV2kiLPceFDkd676j5qi9Ww3J0&#10;G5WsTYX7OQ3V4ear1zrT+vEhUW8gAi3hLww/+BEdysh0chc2Xgwa4iPh90Zv/ZwlIE4a0petAlkW&#10;8j99+Q1QSwMEFAAAAAgAh07iQPChR5f8AQAA9QMAAA4AAABkcnMvZTJvRG9jLnhtbK1TS44TMRDd&#10;I3EHy3vSH5HWpJXOLCYMLBBEAg5Qsd3dlvyT7aSTs3ANVmw4zlyDsjsEGDZZ0Aur7Cq/eu91eX1/&#10;0oochQ/Smo5Wi5ISYZjl0gwd/fL58dUdJSGC4aCsER09i0DvNy9frCfXitqOVnHhCYKY0E6uo2OM&#10;ri2KwEahISysEwaTvfUaIm79UHAPE6JrVdRl2RST9dx5y0QIeLqdk/SC6G8BtH0vmdhadtDCxBnV&#10;CwURJYVRukA3mW3fCxY/9n0QkaiOotKYV2yC8T6txWYN7eDBjZJdKMAtFJ5p0iANNr1CbSECOXj5&#10;D5SWzNtg+7hgVhezkOwIqqjKZ958GsGJrAWtDu5qevh/sOzDceeJ5B2tK0oMaPzjT1+/PX3/Qaqy&#10;SfZMLrRY9WB2/rILbueT1lPvNemVdO9wjrJ61ENOuGmqum6WlJwT7HJ193r2WZwiYZhfLWtMMsxW&#10;dVOumtynmAETsPMhvhVWkxR0VEmTXIAWju9DRBJY+qskHStDpiso4Ej2OAqIrx3KCmbId4NVkj9K&#10;pdKN4If9g/LkCGks8pcYIu5fZanJFsI413GMZh2jAP7GcBLPDu0y+ExoYqAFp0QJfFUpQjxoI0h1&#10;SyV2VgYJJLNne1O0t/yMf+fgvBxGNKLKJFMGpyHTvUxuGrc/9xnp92vd/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9CL0wAAAAUBAAAPAAAAAAAAAAEAIAAAACIAAABkcnMvZG93bnJldi54bWxQ&#10;SwECFAAUAAAACACHTuJA8KFHl/wBAAD1AwAADgAAAAAAAAABACAAAAAiAQAAZHJzL2Uyb0RvYy54&#10;bWxQSwUGAAAAAAYABgBZAQAAkAUAAAAA&#10;">
                  <v:fill on="f" focussize="0,0"/>
                  <v:stroke color="#000000" joinstyle="round" dashstyle="dash"/>
                  <v:imagedata o:title=""/>
                  <o:lock v:ext="edit" aspectratio="f"/>
                </v:line>
                <v:line id="直线 107" o:spid="_x0000_s1026" o:spt="20" style="position:absolute;left:1604010;top:1477585;height:635;width:1076325;" filled="f" stroked="t" coordsize="21600,21600" o:gfxdata="UEsDBAoAAAAAAIdO4kAAAAAAAAAAAAAAAAAEAAAAZHJzL1BLAwQUAAAACACHTuJArRFVJdYAAAAF&#10;AQAADwAAAGRycy9kb3ducmV2LnhtbE2PwU7DMBBE70j8g7VIXCpqJ1CoQpwekOBSCamBD3DiJQ7E&#10;6yh2k8LXs3CBy0qjGc28LXcnP4gZp9gH0pCtFQikNtieOg2vL49XWxAxGbJmCIQaPjHCrjo/K01h&#10;w0IHnOvUCS6hWBgNLqWxkDK2Dr2J6zAisfcWJm8Sy6mTdjILl/tB5krdSm964gVnRnxw2H7UR6/h&#10;YOtlqV37Ne83q/T83jyt9lmu9eVFpu5BJDylvzD84DM6VMzUhCPZKAYN/Ej6vezdXG8zEI2GfHOn&#10;QFal/E9ffQNQSwMEFAAAAAgAh07iQOOxvL35AQAA6wMAAA4AAABkcnMvZTJvRG9jLnhtbK1TS27b&#10;MBDdF+gdCO5jyU5sp4LlLOKmm6I10PYAY5KSCPAHDm3ZZ+k1uuqmx8k1OpTcpE03XkQLakg+vpn3&#10;OFzdHa1hBxVRe1fz6aTkTDnhpXZtzb99fbi65QwTOAnGO1Xzk0J+t377ZtWHSs18541UkRGJw6oP&#10;Ne9SClVRoOiUBZz4oBxtNj5aSDSNbSEj9MRuTTEry0XR+yhD9EIh0upm3ORnxngJoW8aLdTGi71V&#10;Lo2sURlIJAk7HZCvh2qbRon0uWlQJWZqTkrTMFISind5LNYrqNoIodPiXAJcUsILTRa0o6RPVBtI&#10;wPZR/0dltYgefZMmwttiFDI4Qiqm5QtvvnQQ1KCFrMbwZDq+Hq34dNhGpmXNZzPOHFi68cfvPx5/&#10;/mLTcpnt6QNWhLp323ieYdjGrPXYRJv/pIIdqZUW5Q1p4OxE8c1yOb+dj/aqY2IiA8rl4no250wQ&#10;YnE97BbPNCFi+qC8ZTmoudEua4cKDh8xUWqC/oHkZeNYX/N384EQqBEbagDitoHEoGuHs+iNlg/a&#10;mHwCY7u7N5EdIDfD8OUCifcfWE6yAexGnKRolNEpkO+dZOkUyCRHj4PnCqySnBlFbylHxAdVAm0u&#10;QVJm46iAbPFoao52Xp7oTvYh6rYjI6ZDkXmHemAo99yvucn+ng9Mz290/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EVUl1gAAAAUBAAAPAAAAAAAAAAEAIAAAACIAAABkcnMvZG93bnJldi54bWxQ&#10;SwECFAAUAAAACACHTuJA47G8vfkBAADrAwAADgAAAAAAAAABACAAAAAlAQAAZHJzL2Uyb0RvYy54&#10;bWxQSwUGAAAAAAYABgBZAQAAkAUAAAAA&#10;">
                  <v:fill on="f" focussize="0,0"/>
                  <v:stroke color="#000000" joinstyle="round" dashstyle="dash"/>
                  <v:imagedata o:title=""/>
                  <o:lock v:ext="edit" aspectratio="f"/>
                </v:line>
                <v:line id="直线 108" o:spid="_x0000_s1026" o:spt="20" style="position:absolute;left:2545715;top:215984;height:635;width:134620;" filled="f" stroked="t" coordsize="21600,21600" o:gfxdata="UEsDBAoAAAAAAIdO4kAAAAAAAAAAAAAAAAAEAAAAZHJzL1BLAwQUAAAACACHTuJArRFVJdYAAAAF&#10;AQAADwAAAGRycy9kb3ducmV2LnhtbE2PwU7DMBBE70j8g7VIXCpqJ1CoQpwekOBSCamBD3DiJQ7E&#10;6yh2k8LXs3CBy0qjGc28LXcnP4gZp9gH0pCtFQikNtieOg2vL49XWxAxGbJmCIQaPjHCrjo/K01h&#10;w0IHnOvUCS6hWBgNLqWxkDK2Dr2J6zAisfcWJm8Sy6mTdjILl/tB5krdSm964gVnRnxw2H7UR6/h&#10;YOtlqV37Ne83q/T83jyt9lmu9eVFpu5BJDylvzD84DM6VMzUhCPZKAYN/Ej6vezdXG8zEI2GfHOn&#10;QFal/E9ffQNQSwMEFAAAAAgAh07iQGk52aX3AQAA6QMAAA4AAABkcnMvZTJvRG9jLnhtbK1TS5LT&#10;MBDdU8UdVNoTx/mRccWZxYRhQ8FUAQfoSLKtKv1KrcTJWbgGKzYcZ65Byw4zMGyywAu5pW697vfU&#10;vbk9WcOOKqL2rublZMqZcsJL7dqaf/1y/2bNGSZwEox3quZnhfx2+/rVpg+VmvnOG6kiIxCHVR9q&#10;3qUUqqJA0SkLOPFBOXI2PlpItI1tISP0hG5NMZtOV0XvowzRC4VIp7vRyS+I8RpA3zRaqJ0XB6tc&#10;GlGjMpCIEnY6IN8O1TaNEulT06BKzNScmKZhpSRk7/NabDdQtRFCp8WlBLimhBecLGhHSZ+gdpCA&#10;HaL+B8pqET36Jk2Et8VIZFCEWJTTF9p87iCogQtJjeFJdPx/sOLj8SEyLWs+m3PmwNKLP377/vjj&#10;Jyun6yxPH7CiqDv3EC87DA8xcz010eY/sWAnAlgulm/LJWdnssvlzXoxqqtOiQnyl/PFaka6C/Kv&#10;5svsLJ5BQsT0XnnLslFzo11mDhUcP2AaQ3+H5GPjWF/zm+WM8gmgNmzo+cm0gaiga4e76I2W99qY&#10;fANju78zkR0ht8LwXUr4Kywn2QF2Y5wka2TRKZDvnGTpHEgiR6PBcwVWSc6MoknKFtUJVQJtrokk&#10;8saRBlngUdJs7b0804scQtRtR0KUQ5HZQx0wKHbp1txif+4HpOcJ3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RFVJdYAAAAFAQAADwAAAAAAAAABACAAAAAiAAAAZHJzL2Rvd25yZXYueG1sUEsB&#10;AhQAFAAAAAgAh07iQGk52aX3AQAA6QMAAA4AAAAAAAAAAQAgAAAAJQEAAGRycy9lMm9Eb2MueG1s&#10;UEsFBgAAAAAGAAYAWQEAAI4FAAAAAA==&#10;">
                  <v:fill on="f" focussize="0,0"/>
                  <v:stroke color="#000000" joinstyle="round" dashstyle="dash"/>
                  <v:imagedata o:title=""/>
                  <o:lock v:ext="edit" aspectratio="f"/>
                </v:line>
                <v:shape id="文本框 109" o:spid="_x0000_s1026" o:spt="202" type="#_x0000_t202" style="position:absolute;left:1735455;top:50820;height:455472;width:808355;" fillcolor="#FFFFFF" filled="t" stroked="t" coordsize="21600,21600" o:gfxdata="UEsDBAoAAAAAAIdO4kAAAAAAAAAAAAAAAAAEAAAAZHJzL1BLAwQUAAAACACHTuJAdtpas9MAAAAF&#10;AQAADwAAAGRycy9kb3ducmV2LnhtbE2PwW7CMBBE70j9B2sr9QZ2gEAU4iDUCvVc4AOceElC43Vk&#10;GwJ/j9tLe1lpNKOZt8X2bnp2Q+c7SxKSmQCGVFvdUSPhdNxPM2A+KNKqt4QSHuhhW75MCpVrO9IX&#10;3g6hYbGEfK4ktCEMOee+btEoP7MDUvTO1hkVonQN106Nsdz0fC7EihvVUVxo1YDvLdbfh6uR8BH2&#10;57Ufqx2my13qVubzlF0WUr69JmIDLOA9/IXhBz+iQxmZKnsl7VkvIT4Sfm/0lossAVZJmKdrAbws&#10;+H/68glQSwMEFAAAAAgAh07iQJa4AwgiAgAAXwQAAA4AAABkcnMvZTJvRG9jLnhtbK1UzY7TMBC+&#10;I/EOlu80abZlu1HTlaCUCwKkhQdwHSex5D953CZ9AXgDTly481x9DsZOdpculz2QQzr2fPk83zfj&#10;rm8HrchReJDWVHQ+yykRhttamraiX7/sXq0ogcBMzZQ1oqInAfR28/LFunelKGxnVS08QRIDZe8q&#10;2oXgyiwD3gnNYGadMJhsrNcs4NK3We1Zj+xaZUWev85662vnLRcAuLsdk3Ri9M8htE0judhaftDC&#10;hJHVC8UCSoJOOqCbVG3TCB4+NQ2IQFRFUWlIbzwE4318Z5s1K1vPXCf5VAJ7TglPNGkmDR76QLVl&#10;gZGDl/9Qacm9BduEGbc6G4UkR1DFPH/izV3HnEha0GpwD6bD/6PlH4+fPZF1RYsFJYZp7Pj5x/fz&#10;z9/nX9/IPL+JDvUOSgTeOYSG4Y0dcG7u9wE3o/Ch8Tr+oiQS89dXy8VyScmpost8VUxOiyEQjulV&#10;vrqKWY5phC2ui8iXPdI4D+G9sJrEoKIeG5n8ZccPEEboPSSeClbJeieVSgvf7t8qT44Mm75Lz/it&#10;ch0bd1M5eByM0HT0BYcypK/ozbKIRTIc8wbHC0Pt0CowbSK8+GKimvjz+EyaLmCx6i2DbsSlVISx&#10;UssgfIo6wep3pibh5LAbBm8hjcVoUVOiBF7aGCVkYFI9B4lKlUGRsZFjw2IUhv2ANDHc2/qEzT04&#10;L9sO/U7tTXCcu+TOdEfiYP+9TqSP/wu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baWrPTAAAA&#10;BQEAAA8AAAAAAAAAAQAgAAAAIgAAAGRycy9kb3ducmV2LnhtbFBLAQIUABQAAAAIAIdO4kCWuAMI&#10;IgIAAF8EAAAOAAAAAAAAAAEAIAAAACIBAABkcnMvZTJvRG9jLnhtbFBLBQYAAAAABgAGAFkBAAC2&#10;BQAAAAA=&#10;">
                  <v:fill on="t" opacity="0f" focussize="0,0"/>
                  <v:stroke color="#000000" joinstyle="miter"/>
                  <v:imagedata o:title=""/>
                  <o:lock v:ext="edit" aspectratio="f"/>
                  <v:textbox>
                    <w:txbxContent>
                      <w:p>
                        <w:pPr>
                          <w:jc w:val="center"/>
                          <w:rPr>
                            <w:rFonts w:hint="eastAsia" w:ascii="仿宋_GB2312" w:eastAsia="仿宋_GB2312"/>
                            <w:sz w:val="18"/>
                            <w:szCs w:val="18"/>
                          </w:rPr>
                        </w:pPr>
                        <w:r>
                          <w:rPr>
                            <w:rFonts w:hint="eastAsia" w:ascii="仿宋_GB2312" w:eastAsia="仿宋_GB2312"/>
                            <w:sz w:val="18"/>
                            <w:szCs w:val="18"/>
                          </w:rPr>
                          <w:t>填方</w:t>
                        </w:r>
                      </w:p>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2615.6</w:t>
                        </w:r>
                      </w:p>
                    </w:txbxContent>
                  </v:textbox>
                </v:shape>
                <v:line id="直线 110" o:spid="_x0000_s1026" o:spt="20" style="position:absolute;left:1612265;top:225513;height:635;width:134620;" filled="f" stroked="t" coordsize="21600,21600" o:gfxdata="UEsDBAoAAAAAAIdO4kAAAAAAAAAAAAAAAAAEAAAAZHJzL1BLAwQUAAAACACHTuJArRFVJdYAAAAF&#10;AQAADwAAAGRycy9kb3ducmV2LnhtbE2PwU7DMBBE70j8g7VIXCpqJ1CoQpwekOBSCamBD3DiJQ7E&#10;6yh2k8LXs3CBy0qjGc28LXcnP4gZp9gH0pCtFQikNtieOg2vL49XWxAxGbJmCIQaPjHCrjo/K01h&#10;w0IHnOvUCS6hWBgNLqWxkDK2Dr2J6zAisfcWJm8Sy6mTdjILl/tB5krdSm964gVnRnxw2H7UR6/h&#10;YOtlqV37Ne83q/T83jyt9lmu9eVFpu5BJDylvzD84DM6VMzUhCPZKAYN/Ej6vezdXG8zEI2GfHOn&#10;QFal/E9ffQNQSwMEFAAAAAgAh07iQKpen23yAQAA6QMAAA4AAABkcnMvZTJvRG9jLnhtbK1TS5LT&#10;MBDdU8UdVNoTxw52gSvOLCYMGwpSBRxAkWRbVfqVWomTs3ANVmw4zlyDlhwmMGyywAu5pW499Xt6&#10;Wt+djCZHGUA529FysaREWu6EskNHv355ePWGEojMCqadlR09S6B3m5cv1pNvZeVGp4UMBEEstJPv&#10;6Bijb4sC+CgNg4Xz0mKyd8GwiNMwFCKwCdGNLqrlsikmF4QPjksAXN3OSXpBDLcAur5XXG4dPxhp&#10;44wapGYRKcGoPNBN7rbvJY+f+h5kJLqjyDTmEQ/BeJ/GYrNm7RCYHxW/tMBuaeEZJ8OUxUOfoLYs&#10;MnII6h8oo3hw4Pq44M4UM5GsCLIol8+0+TwyLzMXlBr8k+jw/2D5x+MuECU6WtWUWGbwxh+/fX/8&#10;8ZOUZZZn8tBi1b3dBRQrzcDvQuJ66oNJf2RBTmilpqyqBlHOCFbVdbma1ZWnSHjKr143FerOMd+s&#10;6pQsriA+QHwvnSEp6KhWNjFnLTt+gDiX/i5Jy9qSqaNv69Q1Z2jDHq8fQ+ORCtgh7wWnlXhQWqcd&#10;EIb9vQ7kyJIV8ndp4a+ydMiWwTjXCYxmFqNk4p0VJJ49SmTxadDUgZGCEi3xJaUouykypW+pRPLa&#10;ogZXSVO0d+KMN3LwQQ0jClHmJlMGHZAVu7g1WezPeUa6vtD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0RVSXWAAAABQEAAA8AAAAAAAAAAQAgAAAAIgAAAGRycy9kb3ducmV2LnhtbFBLAQIUABQA&#10;AAAIAIdO4kCqXp9t8gEAAOkDAAAOAAAAAAAAAAEAIAAAACUBAABkcnMvZTJvRG9jLnhtbFBLBQYA&#10;AAAABgAGAFkBAACJBQAAAAA=&#10;">
                  <v:fill on="f" focussize="0,0"/>
                  <v:stroke color="#000000" joinstyle="round" dashstyle="dash"/>
                  <v:imagedata o:title=""/>
                  <o:lock v:ext="edit" aspectratio="f"/>
                </v:line>
                <v:line id="直线 111" o:spid="_x0000_s1026" o:spt="20" style="position:absolute;left:2689860;top:208996;flip:x y;height:1269224;width:6985;" filled="f" stroked="t" coordsize="21600,21600" o:gfxdata="UEsDBAoAAAAAAIdO4kAAAAAAAAAAAAAAAAAEAAAAZHJzL1BLAwQUAAAACACHTuJAZXLewNUAAAAF&#10;AQAADwAAAGRycy9kb3ducmV2LnhtbE2PvU7EMBCEeyTewVokmoizHTjuCNlcgaCg4wLFlU68l0TE&#10;6yj2/fD2GBpoVhrNaObbcnN2ozjSHAbPCHqhQBC33g7cIXy8v9ysQYRo2JrRMyF8UYBNdXlRmsL6&#10;E2/pWMdOpBIOhUHoY5wKKUPbkzNh4Sfi5O397ExMcu6knc0plbtR5krdS2cGTgu9meipp/azPjiE&#10;5yZbPrxtV0PY5fyqa53t9jpDvL7S6hFEpHP8C8MPfkKHKjE1/sA2iBEhPRJ/b/LubtcaRIOQL1cK&#10;ZFXK//TVN1BLAwQUAAAACACHTuJAK5XWZwICAAD/AwAADgAAAGRycy9lMm9Eb2MueG1srVPNjtMw&#10;EL4j8Q6W7zRNxEZN1HQPWxYOCCqxcHdtJ7HkP3ncpn0WXoMTFx5nX4OxUxZYLj3gg/XZM/483+fx&#10;+vZkNDnKAMrZjpaLJSXScieUHTr6+eH+1YoSiMwKpp2VHT1LoLebly/Wk29l5UanhQwESSy0k+/o&#10;GKNviwL4KA2DhfPSYrB3wbCIyzAUIrAJ2Y0uquWyLiYXhA+OSwDc3c5BemEM1xC6vldcbh0/GGnj&#10;zBqkZhElwag80E2utu8ljx/7HmQkuqOoNOYZL0G8T3OxWbN2CMyPil9KYNeU8EyTYcripU9UWxYZ&#10;OQT1D5VRPDhwfVxwZ4pZSHYEVZTLZ958GpmXWQtaDf7JdPh/tPzDcReIEh2takosM/jij1+/PX7/&#10;QcqyTPZMHlrMurO7cFmB34Wk9dQHQ3qt/DvsI5rRl4RSDJWRUyJdNasazT4jXq6app4dl6dIOMbr&#10;ZnVDCcdoWdVNVb1O4WKmTjQ+QHwrnSEJdFQrm/xgLTu+hzin/kpJ29qSqaPNTZVIGTZnj02B0HgU&#10;CHbIZ8FpJe6V1ukEhGF/pwM5stQgeVxK+CstXbJlMM55AtGsY5RMvLGCxLNH4yx+GJoqMFJQoiX+&#10;r4SwTtZGpvQ1mSheW/Qg2T4bndDeiTO+08EHNYxoRH6ZnIN9kR279HBqvD/Xmen3v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Vy3sDVAAAABQEAAA8AAAAAAAAAAQAgAAAAIgAAAGRycy9kb3du&#10;cmV2LnhtbFBLAQIUABQAAAAIAIdO4kArldZnAgIAAP8DAAAOAAAAAAAAAAEAIAAAACQBAABkcnMv&#10;ZTJvRG9jLnhtbFBLBQYAAAAABgAGAFkBAACYBQAAAAA=&#10;">
                  <v:fill on="f" focussize="0,0"/>
                  <v:stroke color="#000000" joinstyle="round" dashstyle="dash"/>
                  <v:imagedata o:title=""/>
                  <o:lock v:ext="edit" aspectratio="f"/>
                </v:line>
                <v:line id="直线 112" o:spid="_x0000_s1026" o:spt="20" style="position:absolute;left:1106805;top:958588;height:635;width:628650;" filled="f" stroked="t" coordsize="21600,21600" o:gfxdata="UEsDBAoAAAAAAIdO4kAAAAAAAAAAAAAAAAAEAAAAZHJzL1BLAwQUAAAACACHTuJAxfwulNcAAAAF&#10;AQAADwAAAGRycy9kb3ducmV2LnhtbE2PzU7DMBCE70i8g7VI3Kid8heFbHpAKpcWUFuE4ObGSxIR&#10;ryPbacPbY7jAZaXRjGa+LReT7cWBfOgcI2QzBYK4dqbjBuFlt7zIQYSo2ejeMSF8UYBFdXpS6sK4&#10;I2/osI2NSCUcCo3QxjgUUoa6JavDzA3Eyftw3uqYpG+k8fqYym0v50rdSKs7TgutHui+pfpzO1qE&#10;zXq5yl9X41T794fsafe8fnwLOeL5WabuQESa4l8YfvATOlSJae9GNkH0COmR+HuTd3WZZyD2CPPr&#10;WwWyKuV/+uobUEsDBBQAAAAIAIdO4kCf8CtD/QEAAO4DAAAOAAAAZHJzL2Uyb0RvYy54bWytU82O&#10;0zAQviPxDpbvND+oJURN97BluSCoxPIAU8dJLPlPHrdpn4XX4MSFx9nXYJyULSxC2gM5OGPP+Jv5&#10;Ps+sb05Gs6MMqJxteLHIOZNWuFbZvuFf7u9eVZxhBNuCdlY2/CyR32xevliPvpalG5xuZWAEYrEe&#10;fcOHGH2dZSgGaQAXzktLzs4FA5G2oc/aACOhG52Veb7KRhdaH5yQiHS6nZ38ghieA+i6Tgm5deJg&#10;pI0zapAaIlHCQXnkm6narpMifuo6lJHphhPTOK2UhOx9WrPNGuo+gB+UuJQAzynhCScDylLSR6gt&#10;RGCHoP6CMkoEh66LC+FMNhOZFCEWRf5Em88DeDlxIanRP4qO/w9WfDzuAlNtw8s3nFkw9OIPX789&#10;fP/BiqJM8owea4q6tbtw2aHfhcT11AWT/sSCnaiVinxV5UvOzg1/u6yWVTWrK0+RCfKvymq1JN0F&#10;+Vevl8mZXUF8wPheOsOS0XCtbGIONRw/YJxDf4WkY23ZmNKUlE8AtWFHz0+m8UQFbT/dRadVe6e0&#10;Tjcw9PtbHdgRUitM36WEP8JSki3gMMdNrpnGIKF9Z1sWz540sjQbPJVgZMuZljRKyaJCoY6g9DUy&#10;BgW21/+IJgW0JSGSyrOuydq79kzPcvBB9QOpUUyVJg+1wSTbpWVTn/2+n5CuY7r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X8LpTXAAAABQEAAA8AAAAAAAAAAQAgAAAAIgAAAGRycy9kb3ducmV2&#10;LnhtbFBLAQIUABQAAAAIAIdO4kCf8CtD/QEAAO4DAAAOAAAAAAAAAAEAIAAAACYBAABkcnMvZTJv&#10;RG9jLnhtbFBLBQYAAAAABgAGAFkBAACVBQAAAAA=&#10;">
                  <v:fill on="f" focussize="0,0"/>
                  <v:stroke color="#000000" joinstyle="round" endarrow="block"/>
                  <v:imagedata o:title=""/>
                  <o:lock v:ext="edit" aspectratio="f"/>
                </v:line>
                <v:shape id="文本框 113" o:spid="_x0000_s1026" o:spt="202" type="#_x0000_t202" style="position:absolute;left:1029970;top:661928;height:297296;width:733425;" fillcolor="#FFFFFF" filled="t" stroked="f" coordsize="21600,21600" o:gfxdata="UEsDBAoAAAAAAIdO4kAAAAAAAAAAAAAAAAAEAAAAZHJzL1BLAwQUAAAACACHTuJAFU7ObtUAAAAF&#10;AQAADwAAAGRycy9kb3ducmV2LnhtbE2PwU7DMBBE70j8g7VIXBC1EyhEIU4PFRyQChIp3J14SVLi&#10;dRS7bfj7LlzgMtJqVjNvitXsBnHAKfSeNCQLBQKp8banVsP79uk6AxGiIWsGT6jhGwOsyvOzwuTW&#10;H+kND1VsBYdQyI2GLsYxlzI0HToTFn5EYu/TT85EPqdW2skcOdwNMlXqTjrTEzd0ZsR1h81XtXfc&#10;+zhn40e9We+eq6t6l75S/5KR1pcXiXoAEXGOf8/wg8/oUDJT7fdkgxg08JD4q+zd3mQJiFpDurxX&#10;IMtC/qcvT1BLAwQUAAAACACHTuJAIgcX4tkBAAChAwAADgAAAGRycy9lMm9Eb2MueG1srVPNjtMw&#10;EL4j8Q6W7zQ/hZZETVeCqlwQIC08gOs4iSX/yeM26QvAG3Diwp3n6nMwdrq7sFz2QA7OeGbyzXzf&#10;TDY3k1bkJDxIaxpaLHJKhOG2laZv6JfP+xevKYHATMuUNaKhZwH0Zvv82WZ0tSjtYFUrPEEQA/Xo&#10;GjqE4OosAz4IzWBhnTAY7KzXLODV91nr2YjoWmVlnq+y0frWecsFAHp3c5BeEf1TAG3XSS52lh+1&#10;MGFG9UKxgJRgkA7oNnXbdYKHj10HIhDVUGQa0olF0D7EM9tuWN175gbJry2wp7TwiJNm0mDRe6gd&#10;C4wcvfwHSkvuLdguLLjV2UwkKYIsivyRNrcDcyJxQanB3YsO/w+Wfzh98kS2DS1x7oZpnPjl+7fL&#10;j1+Xn19JUSyjQqODGhNvHaaG6Y2dcG/u/IDOSHzqvI5vpERiPC+rao0qnxu6WhUVoiepxRQIx/h6&#10;uXxZvqKEY7ys1mW1ivHsAcd5CO+E1SQaDfU4ySQwO72HMKfepcSyYJVs91KpdPH94a3y5MRw6vv0&#10;zN8qN7DZmyaP5WBOTaX/wlAmIhkbMedy0ZNFKWbK0QrTYcJgNA+2PaM8R+dlP2DDSaCUjpNL8Nct&#10;i6vx5z2BPvxZ2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VTs5u1QAAAAUBAAAPAAAAAAAAAAEA&#10;IAAAACIAAABkcnMvZG93bnJldi54bWxQSwECFAAUAAAACACHTuJAIgcX4tkBAAChAwAADgAAAAAA&#10;AAABACAAAAAkAQAAZHJzL2Uyb0RvYy54bWxQSwUGAAAAAAYABgBZAQAAbwUAAAAA&#10;">
                  <v:fill on="t" opacity="0f" focussize="0,0"/>
                  <v:stroke on="f"/>
                  <v:imagedata o:title=""/>
                  <o:lock v:ext="edit" aspectratio="f"/>
                  <v:textbox>
                    <w:txbxContent>
                      <w:p>
                        <w:pPr>
                          <w:jc w:val="center"/>
                          <w:rPr>
                            <w:rFonts w:hint="default"/>
                            <w:lang w:val="en-US"/>
                          </w:rPr>
                        </w:pPr>
                        <w:r>
                          <w:rPr>
                            <w:rFonts w:hint="eastAsia"/>
                            <w:sz w:val="18"/>
                            <w:szCs w:val="18"/>
                            <w:lang w:val="en-US" w:eastAsia="zh-CN"/>
                          </w:rPr>
                          <w:t>0.10</w:t>
                        </w:r>
                      </w:p>
                    </w:txbxContent>
                  </v:textbox>
                </v:shape>
                <w10:wrap type="none"/>
                <w10:anchorlock/>
              </v:group>
            </w:pict>
          </mc:Fallback>
        </mc:AlternateContent>
      </w:r>
    </w:p>
    <w:p>
      <w:pPr>
        <w:snapToGrid w:val="0"/>
        <w:spacing w:line="360" w:lineRule="auto"/>
        <w:jc w:val="center"/>
        <w:rPr>
          <w:rFonts w:eastAsia="仿宋_GB2312"/>
          <w:color w:val="auto"/>
          <w:szCs w:val="28"/>
        </w:rPr>
      </w:pPr>
      <w:r>
        <w:rPr>
          <w:rFonts w:eastAsia="仿宋_GB2312"/>
          <w:b/>
          <w:bCs/>
          <w:color w:val="auto"/>
          <w:szCs w:val="28"/>
        </w:rPr>
        <w:t>图2-1  土石方流向图       单位：万m</w:t>
      </w:r>
      <w:r>
        <w:rPr>
          <w:rFonts w:eastAsia="仿宋_GB2312"/>
          <w:b/>
          <w:bCs/>
          <w:color w:val="auto"/>
          <w:szCs w:val="28"/>
          <w:vertAlign w:val="superscript"/>
        </w:rPr>
        <w:t>3</w:t>
      </w:r>
    </w:p>
    <w:p>
      <w:pPr>
        <w:pStyle w:val="5"/>
        <w:spacing w:before="0" w:after="0" w:line="360" w:lineRule="auto"/>
        <w:rPr>
          <w:rFonts w:ascii="Times New Roman" w:hAnsi="Times New Roman" w:eastAsia="仿宋_GB2312"/>
          <w:color w:val="auto"/>
          <w:sz w:val="28"/>
          <w:szCs w:val="28"/>
        </w:rPr>
      </w:pPr>
      <w:bookmarkStart w:id="33" w:name="_Toc16532"/>
      <w:r>
        <w:rPr>
          <w:rFonts w:ascii="Times New Roman" w:hAnsi="Times New Roman" w:eastAsia="仿宋_GB2312"/>
          <w:color w:val="auto"/>
          <w:sz w:val="28"/>
          <w:szCs w:val="28"/>
        </w:rPr>
        <w:t>2.5拆迁（移民）安置与专项设施改（迁）建</w:t>
      </w:r>
      <w:bookmarkEnd w:id="33"/>
    </w:p>
    <w:p>
      <w:pPr>
        <w:spacing w:line="360" w:lineRule="auto"/>
        <w:ind w:firstLine="480" w:firstLineChars="200"/>
        <w:rPr>
          <w:rFonts w:eastAsia="仿宋_GB2312"/>
          <w:color w:val="auto"/>
        </w:rPr>
      </w:pPr>
      <w:r>
        <w:rPr>
          <w:rFonts w:eastAsia="仿宋_GB2312"/>
          <w:color w:val="auto"/>
        </w:rPr>
        <w:t>本项目不涉及拆迁（移民）安置与专项设施改（迁）建。</w:t>
      </w:r>
    </w:p>
    <w:p>
      <w:pPr>
        <w:pStyle w:val="5"/>
        <w:spacing w:before="0" w:after="0" w:line="360" w:lineRule="auto"/>
        <w:rPr>
          <w:rFonts w:ascii="Times New Roman" w:hAnsi="Times New Roman" w:eastAsia="仿宋_GB2312"/>
          <w:color w:val="auto"/>
          <w:sz w:val="28"/>
          <w:szCs w:val="28"/>
        </w:rPr>
      </w:pPr>
      <w:bookmarkStart w:id="34" w:name="_Toc28736"/>
      <w:r>
        <w:rPr>
          <w:rFonts w:ascii="Times New Roman" w:hAnsi="Times New Roman" w:eastAsia="仿宋_GB2312"/>
          <w:color w:val="auto"/>
          <w:sz w:val="28"/>
          <w:szCs w:val="28"/>
        </w:rPr>
        <w:t>2.6施工进度</w:t>
      </w:r>
      <w:bookmarkEnd w:id="34"/>
    </w:p>
    <w:p>
      <w:pPr>
        <w:spacing w:line="360" w:lineRule="auto"/>
        <w:ind w:firstLine="480" w:firstLineChars="200"/>
        <w:rPr>
          <w:rFonts w:eastAsia="仿宋_GB2312"/>
          <w:color w:val="auto"/>
        </w:rPr>
      </w:pPr>
      <w:r>
        <w:rPr>
          <w:rFonts w:eastAsia="仿宋_GB2312"/>
          <w:color w:val="auto"/>
        </w:rPr>
        <w:t>本项目</w:t>
      </w:r>
      <w:r>
        <w:rPr>
          <w:rFonts w:hint="eastAsia" w:eastAsia="仿宋_GB2312"/>
          <w:color w:val="auto"/>
          <w:highlight w:val="none"/>
        </w:rPr>
        <w:t>已于</w:t>
      </w:r>
      <w:r>
        <w:rPr>
          <w:rFonts w:eastAsia="仿宋_GB2312"/>
          <w:color w:val="auto"/>
          <w:highlight w:val="none"/>
        </w:rPr>
        <w:t>202</w:t>
      </w:r>
      <w:r>
        <w:rPr>
          <w:rFonts w:hint="eastAsia" w:eastAsia="仿宋_GB2312"/>
          <w:color w:val="auto"/>
          <w:highlight w:val="none"/>
          <w:lang w:val="en-US" w:eastAsia="zh-CN"/>
        </w:rPr>
        <w:t>2</w:t>
      </w:r>
      <w:r>
        <w:rPr>
          <w:rFonts w:eastAsia="仿宋_GB2312"/>
          <w:color w:val="auto"/>
          <w:highlight w:val="none"/>
        </w:rPr>
        <w:t>年</w:t>
      </w:r>
      <w:r>
        <w:rPr>
          <w:rFonts w:hint="eastAsia" w:eastAsia="仿宋_GB2312"/>
          <w:color w:val="auto"/>
          <w:highlight w:val="none"/>
          <w:lang w:val="en-US" w:eastAsia="zh-CN"/>
        </w:rPr>
        <w:t>8</w:t>
      </w:r>
      <w:r>
        <w:rPr>
          <w:rFonts w:eastAsia="仿宋_GB2312"/>
          <w:color w:val="auto"/>
          <w:highlight w:val="none"/>
        </w:rPr>
        <w:t>月开工，202</w:t>
      </w:r>
      <w:r>
        <w:rPr>
          <w:rFonts w:hint="eastAsia" w:eastAsia="仿宋_GB2312"/>
          <w:color w:val="auto"/>
          <w:highlight w:val="none"/>
          <w:lang w:val="en-US" w:eastAsia="zh-CN"/>
        </w:rPr>
        <w:t>3</w:t>
      </w:r>
      <w:r>
        <w:rPr>
          <w:rFonts w:eastAsia="仿宋_GB2312"/>
          <w:color w:val="auto"/>
          <w:highlight w:val="none"/>
        </w:rPr>
        <w:t>年</w:t>
      </w:r>
      <w:r>
        <w:rPr>
          <w:rFonts w:hint="eastAsia" w:eastAsia="仿宋_GB2312"/>
          <w:color w:val="auto"/>
          <w:highlight w:val="none"/>
          <w:lang w:val="en-US" w:eastAsia="zh-CN"/>
        </w:rPr>
        <w:t>4</w:t>
      </w:r>
      <w:r>
        <w:rPr>
          <w:rFonts w:eastAsia="仿宋_GB2312"/>
          <w:color w:val="auto"/>
          <w:highlight w:val="none"/>
        </w:rPr>
        <w:t>月完工</w:t>
      </w:r>
      <w:r>
        <w:rPr>
          <w:rFonts w:eastAsia="仿宋_GB2312"/>
          <w:color w:val="auto"/>
        </w:rPr>
        <w:t>，总工期</w:t>
      </w:r>
      <w:r>
        <w:rPr>
          <w:rFonts w:hint="eastAsia" w:eastAsia="仿宋_GB2312"/>
          <w:color w:val="auto"/>
          <w:lang w:val="en-US" w:eastAsia="zh-CN"/>
        </w:rPr>
        <w:t>9</w:t>
      </w:r>
      <w:r>
        <w:rPr>
          <w:rFonts w:eastAsia="仿宋_GB2312"/>
          <w:color w:val="auto"/>
        </w:rPr>
        <w:t>个月。</w:t>
      </w:r>
    </w:p>
    <w:p>
      <w:pPr>
        <w:spacing w:line="360" w:lineRule="auto"/>
        <w:ind w:firstLine="480" w:firstLineChars="200"/>
        <w:rPr>
          <w:rFonts w:eastAsia="仿宋_GB2312"/>
          <w:color w:val="auto"/>
        </w:rPr>
      </w:pPr>
      <w:r>
        <w:rPr>
          <w:rFonts w:eastAsia="仿宋_GB2312"/>
          <w:color w:val="auto"/>
        </w:rPr>
        <w:t>实施进度计划安排如下：</w:t>
      </w:r>
    </w:p>
    <w:p>
      <w:pPr>
        <w:spacing w:line="360" w:lineRule="auto"/>
        <w:ind w:firstLine="480" w:firstLineChars="200"/>
        <w:rPr>
          <w:rFonts w:eastAsia="仿宋_GB2312"/>
          <w:color w:val="auto"/>
        </w:rPr>
      </w:pPr>
      <w:r>
        <w:rPr>
          <w:rFonts w:eastAsia="仿宋_GB2312"/>
          <w:color w:val="auto"/>
        </w:rPr>
        <w:t>202</w:t>
      </w:r>
      <w:r>
        <w:rPr>
          <w:rFonts w:hint="eastAsia" w:eastAsia="仿宋_GB2312"/>
          <w:color w:val="auto"/>
          <w:lang w:val="en-US" w:eastAsia="zh-CN"/>
        </w:rPr>
        <w:t>2</w:t>
      </w:r>
      <w:r>
        <w:rPr>
          <w:rFonts w:eastAsia="仿宋_GB2312"/>
          <w:color w:val="auto"/>
        </w:rPr>
        <w:t>年</w:t>
      </w:r>
      <w:r>
        <w:rPr>
          <w:rFonts w:hint="eastAsia" w:eastAsia="仿宋_GB2312"/>
          <w:color w:val="auto"/>
          <w:lang w:val="en-US" w:eastAsia="zh-CN"/>
        </w:rPr>
        <w:t>8</w:t>
      </w:r>
      <w:r>
        <w:rPr>
          <w:rFonts w:eastAsia="仿宋_GB2312"/>
          <w:color w:val="auto"/>
        </w:rPr>
        <w:t>月～2022年</w:t>
      </w:r>
      <w:r>
        <w:rPr>
          <w:rFonts w:hint="eastAsia" w:eastAsia="仿宋_GB2312"/>
          <w:color w:val="auto"/>
          <w:lang w:val="en-US" w:eastAsia="zh-CN"/>
        </w:rPr>
        <w:t>10</w:t>
      </w:r>
      <w:r>
        <w:rPr>
          <w:rFonts w:eastAsia="仿宋_GB2312"/>
          <w:color w:val="auto"/>
        </w:rPr>
        <w:t>月——建筑物区域施工</w:t>
      </w:r>
    </w:p>
    <w:p>
      <w:pPr>
        <w:spacing w:line="360" w:lineRule="auto"/>
        <w:ind w:firstLine="480" w:firstLineChars="200"/>
        <w:rPr>
          <w:rFonts w:eastAsia="仿宋_GB2312"/>
          <w:color w:val="auto"/>
        </w:rPr>
      </w:pPr>
      <w:r>
        <w:rPr>
          <w:rFonts w:eastAsia="仿宋_GB2312"/>
          <w:color w:val="auto"/>
        </w:rPr>
        <w:t>202</w:t>
      </w:r>
      <w:r>
        <w:rPr>
          <w:rFonts w:hint="eastAsia" w:eastAsia="仿宋_GB2312"/>
          <w:color w:val="auto"/>
          <w:lang w:val="en-US" w:eastAsia="zh-CN"/>
        </w:rPr>
        <w:t>3</w:t>
      </w:r>
      <w:r>
        <w:rPr>
          <w:rFonts w:eastAsia="仿宋_GB2312"/>
          <w:color w:val="auto"/>
        </w:rPr>
        <w:t>年</w:t>
      </w:r>
      <w:r>
        <w:rPr>
          <w:rFonts w:hint="eastAsia" w:eastAsia="仿宋_GB2312"/>
          <w:color w:val="auto"/>
          <w:lang w:val="en-US" w:eastAsia="zh-CN"/>
        </w:rPr>
        <w:t>4</w:t>
      </w:r>
      <w:r>
        <w:rPr>
          <w:rFonts w:eastAsia="仿宋_GB2312"/>
          <w:color w:val="auto"/>
        </w:rPr>
        <w:t>月——道路及硬化区域施工</w:t>
      </w:r>
    </w:p>
    <w:p>
      <w:pPr>
        <w:spacing w:line="360" w:lineRule="auto"/>
        <w:ind w:firstLine="480" w:firstLineChars="200"/>
        <w:rPr>
          <w:rFonts w:hint="eastAsia" w:eastAsia="仿宋_GB2312"/>
          <w:bCs/>
          <w:color w:val="auto"/>
          <w:sz w:val="24"/>
          <w:szCs w:val="24"/>
          <w:lang w:val="en-US" w:eastAsia="zh-CN"/>
        </w:rPr>
      </w:pPr>
      <w:r>
        <w:rPr>
          <w:rFonts w:eastAsia="仿宋_GB2312"/>
          <w:bCs/>
          <w:color w:val="auto"/>
          <w:sz w:val="24"/>
          <w:szCs w:val="24"/>
        </w:rPr>
        <w:t>本项目</w:t>
      </w:r>
      <w:r>
        <w:rPr>
          <w:rFonts w:hint="default" w:eastAsia="仿宋_GB2312"/>
          <w:color w:val="auto"/>
          <w:sz w:val="24"/>
          <w:szCs w:val="24"/>
          <w:highlight w:val="none"/>
          <w:lang w:val="en-US" w:eastAsia="zh-CN"/>
        </w:rPr>
        <w:t>混凝土搅拌站生产线、稳定土搅拌站生产线、碎石生产线，办公室、试验室</w:t>
      </w:r>
      <w:r>
        <w:rPr>
          <w:rFonts w:hint="eastAsia" w:eastAsia="仿宋_GB2312"/>
          <w:color w:val="auto"/>
          <w:sz w:val="24"/>
          <w:szCs w:val="24"/>
          <w:highlight w:val="none"/>
          <w:lang w:val="en-US" w:eastAsia="zh-CN"/>
        </w:rPr>
        <w:t>、</w:t>
      </w:r>
      <w:r>
        <w:rPr>
          <w:rFonts w:eastAsia="仿宋_GB2312"/>
          <w:bCs/>
          <w:color w:val="auto"/>
          <w:sz w:val="24"/>
          <w:szCs w:val="24"/>
        </w:rPr>
        <w:t>道路及硬化工程</w:t>
      </w:r>
      <w:r>
        <w:rPr>
          <w:rFonts w:hint="eastAsia" w:eastAsia="仿宋_GB2312"/>
          <w:bCs/>
          <w:color w:val="auto"/>
          <w:sz w:val="24"/>
          <w:szCs w:val="24"/>
          <w:lang w:val="en-US" w:eastAsia="zh-CN"/>
        </w:rPr>
        <w:t>均施工完成。</w:t>
      </w:r>
    </w:p>
    <w:p>
      <w:pPr>
        <w:spacing w:line="360" w:lineRule="auto"/>
        <w:ind w:firstLine="480" w:firstLineChars="200"/>
        <w:rPr>
          <w:rFonts w:eastAsia="仿宋_GB2312"/>
          <w:color w:val="auto"/>
        </w:rPr>
        <w:sectPr>
          <w:headerReference r:id="rId11" w:type="default"/>
          <w:footerReference r:id="rId12" w:type="default"/>
          <w:pgSz w:w="11906" w:h="16838"/>
          <w:pgMar w:top="1440" w:right="1797" w:bottom="1440" w:left="1797" w:header="851" w:footer="992" w:gutter="0"/>
          <w:pgNumType w:fmt="decimal"/>
          <w:cols w:space="720" w:num="1"/>
          <w:docGrid w:linePitch="312" w:charSpace="0"/>
        </w:sectPr>
      </w:pPr>
    </w:p>
    <w:p>
      <w:pPr>
        <w:rPr>
          <w:color w:val="auto"/>
        </w:rPr>
      </w:pPr>
      <w:r>
        <w:rPr>
          <w:color w:val="auto"/>
        </w:rPr>
        <w:t xml:space="preserve"> </w:t>
      </w:r>
    </w:p>
    <w:tbl>
      <w:tblPr>
        <w:tblStyle w:val="24"/>
        <w:tblW w:w="141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93"/>
        <w:gridCol w:w="2064"/>
        <w:gridCol w:w="496"/>
        <w:gridCol w:w="516"/>
        <w:gridCol w:w="567"/>
        <w:gridCol w:w="547"/>
        <w:gridCol w:w="530"/>
        <w:gridCol w:w="527"/>
        <w:gridCol w:w="516"/>
        <w:gridCol w:w="508"/>
        <w:gridCol w:w="508"/>
        <w:gridCol w:w="499"/>
        <w:gridCol w:w="496"/>
        <w:gridCol w:w="525"/>
        <w:gridCol w:w="468"/>
        <w:gridCol w:w="474"/>
        <w:gridCol w:w="465"/>
        <w:gridCol w:w="445"/>
        <w:gridCol w:w="442"/>
        <w:gridCol w:w="442"/>
        <w:gridCol w:w="439"/>
        <w:gridCol w:w="431"/>
        <w:gridCol w:w="422"/>
        <w:gridCol w:w="414"/>
        <w:gridCol w:w="409"/>
        <w:gridCol w:w="52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93" w:type="dxa"/>
            <w:vMerge w:val="restart"/>
            <w:vAlign w:val="center"/>
          </w:tcPr>
          <w:p>
            <w:pPr>
              <w:spacing w:line="240" w:lineRule="auto"/>
              <w:jc w:val="center"/>
              <w:rPr>
                <w:rFonts w:eastAsia="仿宋_GB2312"/>
                <w:color w:val="auto"/>
                <w:sz w:val="18"/>
                <w:szCs w:val="18"/>
              </w:rPr>
            </w:pPr>
            <w:r>
              <w:rPr>
                <w:rFonts w:eastAsia="仿宋_GB2312"/>
                <w:color w:val="auto"/>
                <w:sz w:val="18"/>
                <w:szCs w:val="18"/>
              </w:rPr>
              <w:t>防治</w:t>
            </w:r>
          </w:p>
          <w:p>
            <w:pPr>
              <w:spacing w:line="240" w:lineRule="auto"/>
              <w:jc w:val="center"/>
              <w:rPr>
                <w:rFonts w:eastAsia="仿宋_GB2312"/>
                <w:color w:val="auto"/>
                <w:sz w:val="18"/>
                <w:szCs w:val="18"/>
              </w:rPr>
            </w:pPr>
            <w:r>
              <w:rPr>
                <w:rFonts w:eastAsia="仿宋_GB2312"/>
                <w:color w:val="auto"/>
                <w:sz w:val="18"/>
                <w:szCs w:val="18"/>
              </w:rPr>
              <w:t>分区</w:t>
            </w:r>
          </w:p>
        </w:tc>
        <w:tc>
          <w:tcPr>
            <w:tcW w:w="2064" w:type="dxa"/>
            <w:vMerge w:val="restart"/>
            <w:vAlign w:val="center"/>
          </w:tcPr>
          <w:p>
            <w:pPr>
              <w:spacing w:line="240" w:lineRule="auto"/>
              <w:ind w:left="1080" w:hanging="1080" w:hangingChars="600"/>
              <w:rPr>
                <w:rFonts w:eastAsia="仿宋_GB2312"/>
                <w:color w:val="auto"/>
                <w:sz w:val="18"/>
                <w:szCs w:val="18"/>
              </w:rPr>
            </w:pPr>
            <w:r>
              <w:rPr>
                <w:color w:val="auto"/>
                <w:sz w:val="18"/>
                <w:szCs w:val="18"/>
              </w:rPr>
              <mc:AlternateContent>
                <mc:Choice Requires="wps">
                  <w:drawing>
                    <wp:anchor distT="0" distB="0" distL="114300" distR="114300" simplePos="0" relativeHeight="251669504" behindDoc="0" locked="0" layoutInCell="1" allowOverlap="1">
                      <wp:simplePos x="0" y="0"/>
                      <wp:positionH relativeFrom="column">
                        <wp:posOffset>-55880</wp:posOffset>
                      </wp:positionH>
                      <wp:positionV relativeFrom="paragraph">
                        <wp:posOffset>11430</wp:posOffset>
                      </wp:positionV>
                      <wp:extent cx="943610" cy="581660"/>
                      <wp:effectExtent l="2540" t="3810" r="6350" b="11430"/>
                      <wp:wrapNone/>
                      <wp:docPr id="87" name="直线 127"/>
                      <wp:cNvGraphicFramePr/>
                      <a:graphic xmlns:a="http://schemas.openxmlformats.org/drawingml/2006/main">
                        <a:graphicData uri="http://schemas.microsoft.com/office/word/2010/wordprocessingShape">
                          <wps:wsp>
                            <wps:cNvCnPr/>
                            <wps:spPr>
                              <a:xfrm>
                                <a:off x="0" y="0"/>
                                <a:ext cx="943610" cy="58166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27" o:spid="_x0000_s1026" o:spt="20" style="position:absolute;left:0pt;margin-left:-4.4pt;margin-top:0.9pt;height:45.8pt;width:74.3pt;z-index:251669504;mso-width-relative:page;mso-height-relative:page;" filled="f" stroked="t" coordsize="21600,21600" o:gfxdata="UEsDBAoAAAAAAIdO4kAAAAAAAAAAAAAAAAAEAAAAZHJzL1BLAwQUAAAACACHTuJApIVm0tQAAAAH&#10;AQAADwAAAGRycy9kb3ducmV2LnhtbE2OS0/DMBCE70j8B2uRuFSt3QahNsTpAciNCy2I6zZekoh4&#10;ncbuA3492xOc9jGjma9Yn32vjjTGLrCF+cyAIq6D67ix8LatpktQMSE77AOThW+KsC6vrwrMXTjx&#10;Kx03qVESwjFHC21KQ651rFvyGGdhIBbtM4wek5xjo92IJwn3vV4Yc689diwNLQ702FL9tTl4C7F6&#10;p331M6kn5iNrAi32Ty/PaO3tzdw8gEp0Tn9muOALOpTCtAsHdlH1FqZLIU/yl3GRs5UsOwur7A50&#10;Wej//OUvUEsDBBQAAAAIAIdO4kCdtw8l9AEAAPADAAAOAAAAZHJzL2Uyb0RvYy54bWytU0uS0zAQ&#10;3VPFHVTaE8eBZDKuOLOYMGwoSBVwgI4s26rSr9RKnJyFa7Biw3HmGrTkkBmGTRZ4IbfU3a/7PbVW&#10;d0ej2UEGVM7WvJxMOZNWuEbZrubfvj68WXKGEWwD2llZ85NEfrd+/Wo1+ErOXO90IwMjEIvV4Gve&#10;x+irokDRSwM4cV5acrYuGIi0DV3RBBgI3ehiNp0uisGFxgcnJCKdbkYnPyOGawBd2yohN07sjbRx&#10;RA1SQyRK2CuPfJ27bVsp4ue2RRmZrjkxjXmlImTv0lqsV1B1AXyvxLkFuKaFF5wMKEtFL1AbiMD2&#10;Qf0DZZQIDl0bJ8KZYiSSFSEW5fSFNl968DJzIanRX0TH/wcrPh22gamm5ssbziwYuvHH7z8ef/5i&#10;5ewmyTN4rCjq3m7DeYd+GxLXYxtM+hMLdsySni6SymNkgg5v371dlCS2INd8WS4WWfLiKdkHjB+k&#10;MywZNdfKJsZQweEjRipIoX9C0rG2bCDU+WxOmEDj19K1k2k8UUDb5Vx0WjUPSuuUgaHb3evADpBG&#10;IH+JFuH+FZaKbAD7MS67xuHoJTTvbcPiyZM2lt4ETy0Y2XCmJT2hZBEgVBGUviaSSmubEmQe0DPP&#10;pPOobLJ2rjnRxex9UF1PupS55+ShQcjdn4c2TdrzPdnPH+r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SFZtLUAAAABwEAAA8AAAAAAAAAAQAgAAAAIgAAAGRycy9kb3ducmV2LnhtbFBLAQIUABQA&#10;AAAIAIdO4kCdtw8l9AEAAPADAAAOAAAAAAAAAAEAIAAAACMBAABkcnMvZTJvRG9jLnhtbFBLBQYA&#10;AAAABgAGAFkBAACJBQAAAAA=&#10;">
                      <v:fill on="f" focussize="0,0"/>
                      <v:stroke color="#000000" joinstyle="round"/>
                      <v:imagedata o:title=""/>
                      <o:lock v:ext="edit" aspectratio="f"/>
                    </v:line>
                  </w:pict>
                </mc:Fallback>
              </mc:AlternateContent>
            </w:r>
            <w:r>
              <w:rPr>
                <w:color w:val="auto"/>
                <w:sz w:val="18"/>
                <w:szCs w:val="18"/>
              </w:rPr>
              <mc:AlternateContent>
                <mc:Choice Requires="wps">
                  <w:drawing>
                    <wp:anchor distT="0" distB="0" distL="114300" distR="114300" simplePos="0" relativeHeight="251668480" behindDoc="0" locked="0" layoutInCell="1" allowOverlap="1">
                      <wp:simplePos x="0" y="0"/>
                      <wp:positionH relativeFrom="column">
                        <wp:posOffset>-55880</wp:posOffset>
                      </wp:positionH>
                      <wp:positionV relativeFrom="paragraph">
                        <wp:posOffset>11430</wp:posOffset>
                      </wp:positionV>
                      <wp:extent cx="1190625" cy="590550"/>
                      <wp:effectExtent l="0" t="0" r="0" b="0"/>
                      <wp:wrapNone/>
                      <wp:docPr id="86" name="直线 128"/>
                      <wp:cNvGraphicFramePr/>
                      <a:graphic xmlns:a="http://schemas.openxmlformats.org/drawingml/2006/main">
                        <a:graphicData uri="http://schemas.microsoft.com/office/word/2010/wordprocessingShape">
                          <wps:wsp>
                            <wps:cNvCnPr/>
                            <wps:spPr>
                              <a:xfrm>
                                <a:off x="0" y="0"/>
                                <a:ext cx="1190625" cy="590550"/>
                              </a:xfrm>
                              <a:prstGeom prst="line">
                                <a:avLst/>
                              </a:prstGeom>
                              <a:ln>
                                <a:noFill/>
                              </a:ln>
                              <a:effectLst/>
                            </wps:spPr>
                            <wps:bodyPr upright="1"/>
                          </wps:wsp>
                        </a:graphicData>
                      </a:graphic>
                    </wp:anchor>
                  </w:drawing>
                </mc:Choice>
                <mc:Fallback>
                  <w:pict>
                    <v:line id="直线 128" o:spid="_x0000_s1026" o:spt="20" style="position:absolute;left:0pt;margin-left:-4.4pt;margin-top:0.9pt;height:46.5pt;width:93.75pt;z-index:251668480;mso-width-relative:page;mso-height-relative:page;" filled="f" stroked="f" coordsize="21600,21600" o:gfxdata="UEsDBAoAAAAAAIdO4kAAAAAAAAAAAAAAAAAEAAAAZHJzL1BLAwQUAAAACACHTuJAhC7B5NYAAAAH&#10;AQAADwAAAGRycy9kb3ducmV2LnhtbE2OwU7DMBBE70j8g7VI3FqngIgb4vQAAg6caJEqbm68JKHx&#10;OrLdpP17tqdyWs3OaOaVq6PrxYghdp40LOYZCKTa244aDV+b15kCEZMha3pPqOGEEVbV9VVpCusn&#10;+sRxnRrBJRQLo6FNaSikjHWLzsS5H5DY+/HBmcQyNNIGM3G56+Vdlj1KZzrihdYM+NxivV8fnIb4&#10;st/63+/pXY3LsMGP07bO3+61vr1ZZE8gEh7TJQxnfEaHipl2/kA2il7DTDF54j+fs52rHMROw/JB&#10;gaxK+Z+/+gNQSwMEFAAAAAgAh07iQE1MqGOiAQAAPAMAAA4AAABkcnMvZTJvRG9jLnhtbK1SS44T&#10;MRDdI3EHy3vi7kiJMq10ZkE0bBBEAg7gcZfTlvyTy0knZ+EarNhwnLkG5e4mg4bNLNiUXR+/qvfK&#10;2/uLs+wMCU3wLa8XFWfgVeiMP7b829eHdxvOMEvfSRs8tPwKyO93b99sh9jAMvTBdpAYgXhshtjy&#10;PufYCIGqBydxESJ4SuqQnMzkpqPokhwI3VmxrKq1GELqYgoKECm6n5J8RkyvAQxaGwX7oE4OfJ5Q&#10;E1iZiRL2JiLfjdNqDSp/1hohM9tyYppHS03o/lis2G1lc0wy9kbNI8jXjPCCk5PGU9Mb1F5myU7J&#10;/APljEoBg84LFZyYiIyKEIu6eqHNl15GGLmQ1BhvouP/g1WfzofETNfyzZozLx1t/On7j6efv1i9&#10;3BR5hogNVb33hzR7GA+pcL3o5MpJLNhllPR6kxQumSkK1vVdtV6uOFOUW91Vq9WouXh+HRPmDxAc&#10;K5eWW+MLZdnI80fM1JFK/5SUsPXF+vBgrJ2yUwTGZc9PyszTlOX2GLorkTzFZI49tagLLVEyJOrY&#10;YP4AZWt/+2PV86ff/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ELsHk1gAAAAcBAAAPAAAAAAAA&#10;AAEAIAAAACIAAABkcnMvZG93bnJldi54bWxQSwECFAAUAAAACACHTuJATUyoY6IBAAA8AwAADgAA&#10;AAAAAAABACAAAAAlAQAAZHJzL2Uyb0RvYy54bWxQSwUGAAAAAAYABgBZAQAAOQUAAAAA&#10;">
                      <v:fill on="f" focussize="0,0"/>
                      <v:stroke on="f"/>
                      <v:imagedata o:title=""/>
                      <o:lock v:ext="edit" aspectratio="f"/>
                    </v:line>
                  </w:pict>
                </mc:Fallback>
              </mc:AlternateContent>
            </w:r>
            <w:r>
              <w:rPr>
                <w:rFonts w:eastAsia="仿宋_GB2312"/>
                <w:color w:val="auto"/>
                <w:sz w:val="18"/>
                <w:szCs w:val="18"/>
              </w:rPr>
              <w:t xml:space="preserve">          月份</w:t>
            </w:r>
          </w:p>
          <w:p>
            <w:pPr>
              <w:spacing w:line="240" w:lineRule="auto"/>
              <w:rPr>
                <w:rFonts w:eastAsia="仿宋_GB2312"/>
                <w:color w:val="auto"/>
                <w:sz w:val="18"/>
                <w:szCs w:val="18"/>
              </w:rPr>
            </w:pPr>
          </w:p>
          <w:p>
            <w:pPr>
              <w:spacing w:line="240" w:lineRule="auto"/>
              <w:rPr>
                <w:rFonts w:eastAsia="仿宋_GB2312"/>
                <w:color w:val="auto"/>
                <w:sz w:val="18"/>
                <w:szCs w:val="18"/>
              </w:rPr>
            </w:pPr>
          </w:p>
          <w:p>
            <w:pPr>
              <w:spacing w:line="240" w:lineRule="auto"/>
              <w:rPr>
                <w:rFonts w:eastAsia="仿宋_GB2312"/>
                <w:color w:val="auto"/>
                <w:sz w:val="18"/>
                <w:szCs w:val="18"/>
              </w:rPr>
            </w:pPr>
            <w:r>
              <w:rPr>
                <w:rFonts w:eastAsia="仿宋_GB2312"/>
                <w:color w:val="auto"/>
                <w:sz w:val="18"/>
                <w:szCs w:val="18"/>
              </w:rPr>
              <w:t>项目</w:t>
            </w:r>
          </w:p>
        </w:tc>
        <w:tc>
          <w:tcPr>
            <w:tcW w:w="6235" w:type="dxa"/>
            <w:gridSpan w:val="12"/>
            <w:vAlign w:val="center"/>
          </w:tcPr>
          <w:p>
            <w:pPr>
              <w:spacing w:line="240" w:lineRule="auto"/>
              <w:jc w:val="center"/>
              <w:rPr>
                <w:rFonts w:eastAsia="仿宋_GB2312"/>
                <w:color w:val="auto"/>
                <w:sz w:val="18"/>
                <w:szCs w:val="18"/>
              </w:rPr>
            </w:pPr>
            <w:r>
              <w:rPr>
                <w:rFonts w:eastAsia="仿宋_GB2312"/>
                <w:color w:val="auto"/>
                <w:sz w:val="18"/>
                <w:szCs w:val="18"/>
              </w:rPr>
              <w:t>20</w:t>
            </w:r>
            <w:r>
              <w:rPr>
                <w:rFonts w:hint="eastAsia" w:eastAsia="仿宋_GB2312"/>
                <w:color w:val="auto"/>
                <w:sz w:val="18"/>
                <w:szCs w:val="18"/>
              </w:rPr>
              <w:t>2</w:t>
            </w:r>
            <w:r>
              <w:rPr>
                <w:rFonts w:hint="eastAsia" w:eastAsia="仿宋_GB2312"/>
                <w:color w:val="auto"/>
                <w:sz w:val="18"/>
                <w:szCs w:val="18"/>
                <w:lang w:val="en-US" w:eastAsia="zh-CN"/>
              </w:rPr>
              <w:t>2</w:t>
            </w:r>
            <w:r>
              <w:rPr>
                <w:rFonts w:eastAsia="仿宋_GB2312"/>
                <w:color w:val="auto"/>
                <w:sz w:val="18"/>
                <w:szCs w:val="18"/>
              </w:rPr>
              <w:t>年</w:t>
            </w:r>
          </w:p>
        </w:tc>
        <w:tc>
          <w:tcPr>
            <w:tcW w:w="5379" w:type="dxa"/>
            <w:gridSpan w:val="12"/>
            <w:vAlign w:val="center"/>
          </w:tcPr>
          <w:p>
            <w:pPr>
              <w:spacing w:line="240" w:lineRule="auto"/>
              <w:jc w:val="center"/>
              <w:rPr>
                <w:rFonts w:eastAsia="仿宋_GB2312"/>
                <w:color w:val="auto"/>
                <w:sz w:val="18"/>
                <w:szCs w:val="18"/>
              </w:rPr>
            </w:pPr>
            <w:r>
              <w:rPr>
                <w:rFonts w:eastAsia="仿宋_GB2312"/>
                <w:color w:val="auto"/>
                <w:sz w:val="18"/>
                <w:szCs w:val="18"/>
              </w:rPr>
              <w:t>202</w:t>
            </w:r>
            <w:r>
              <w:rPr>
                <w:rFonts w:hint="eastAsia" w:eastAsia="仿宋_GB2312"/>
                <w:color w:val="auto"/>
                <w:sz w:val="18"/>
                <w:szCs w:val="18"/>
                <w:lang w:val="en-US" w:eastAsia="zh-CN"/>
              </w:rPr>
              <w:t>3</w:t>
            </w:r>
            <w:r>
              <w:rPr>
                <w:rFonts w:eastAsia="仿宋_GB2312"/>
                <w:color w:val="auto"/>
                <w:sz w:val="18"/>
                <w:szCs w:val="18"/>
              </w:rPr>
              <w:t>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93" w:type="dxa"/>
            <w:vMerge w:val="continue"/>
            <w:vAlign w:val="center"/>
          </w:tcPr>
          <w:p>
            <w:pPr>
              <w:spacing w:line="240" w:lineRule="auto"/>
              <w:jc w:val="center"/>
              <w:rPr>
                <w:rFonts w:eastAsia="仿宋_GB2312"/>
                <w:color w:val="auto"/>
                <w:sz w:val="18"/>
                <w:szCs w:val="18"/>
              </w:rPr>
            </w:pPr>
          </w:p>
        </w:tc>
        <w:tc>
          <w:tcPr>
            <w:tcW w:w="2064" w:type="dxa"/>
            <w:vMerge w:val="continue"/>
            <w:vAlign w:val="center"/>
          </w:tcPr>
          <w:p>
            <w:pPr>
              <w:spacing w:line="240" w:lineRule="auto"/>
              <w:jc w:val="center"/>
              <w:rPr>
                <w:rFonts w:eastAsia="仿宋_GB2312"/>
                <w:color w:val="auto"/>
                <w:sz w:val="18"/>
                <w:szCs w:val="18"/>
              </w:rPr>
            </w:pPr>
          </w:p>
        </w:tc>
        <w:tc>
          <w:tcPr>
            <w:tcW w:w="496" w:type="dxa"/>
            <w:vAlign w:val="center"/>
          </w:tcPr>
          <w:p>
            <w:pPr>
              <w:spacing w:line="240" w:lineRule="auto"/>
              <w:jc w:val="center"/>
              <w:rPr>
                <w:rFonts w:eastAsia="仿宋_GB2312"/>
                <w:color w:val="auto"/>
                <w:sz w:val="18"/>
                <w:szCs w:val="18"/>
              </w:rPr>
            </w:pPr>
            <w:r>
              <w:rPr>
                <w:rFonts w:eastAsia="仿宋_GB2312"/>
                <w:color w:val="auto"/>
                <w:sz w:val="18"/>
                <w:szCs w:val="18"/>
              </w:rPr>
              <w:t>1</w:t>
            </w:r>
          </w:p>
        </w:tc>
        <w:tc>
          <w:tcPr>
            <w:tcW w:w="516" w:type="dxa"/>
            <w:vAlign w:val="center"/>
          </w:tcPr>
          <w:p>
            <w:pPr>
              <w:spacing w:line="240" w:lineRule="auto"/>
              <w:jc w:val="center"/>
              <w:rPr>
                <w:rFonts w:eastAsia="仿宋_GB2312"/>
                <w:color w:val="auto"/>
                <w:sz w:val="18"/>
                <w:szCs w:val="18"/>
              </w:rPr>
            </w:pPr>
            <w:r>
              <w:rPr>
                <w:rFonts w:eastAsia="仿宋_GB2312"/>
                <w:color w:val="auto"/>
                <w:sz w:val="18"/>
                <w:szCs w:val="18"/>
              </w:rPr>
              <w:t>2</w:t>
            </w:r>
          </w:p>
        </w:tc>
        <w:tc>
          <w:tcPr>
            <w:tcW w:w="567" w:type="dxa"/>
            <w:vAlign w:val="center"/>
          </w:tcPr>
          <w:p>
            <w:pPr>
              <w:spacing w:line="240" w:lineRule="auto"/>
              <w:jc w:val="center"/>
              <w:rPr>
                <w:rFonts w:eastAsia="仿宋_GB2312"/>
                <w:color w:val="auto"/>
                <w:sz w:val="18"/>
                <w:szCs w:val="18"/>
              </w:rPr>
            </w:pPr>
            <w:r>
              <w:rPr>
                <w:rFonts w:eastAsia="仿宋_GB2312"/>
                <w:color w:val="auto"/>
                <w:sz w:val="18"/>
                <w:szCs w:val="18"/>
              </w:rPr>
              <w:t>3</w:t>
            </w:r>
          </w:p>
        </w:tc>
        <w:tc>
          <w:tcPr>
            <w:tcW w:w="547" w:type="dxa"/>
            <w:vAlign w:val="center"/>
          </w:tcPr>
          <w:p>
            <w:pPr>
              <w:spacing w:line="240" w:lineRule="auto"/>
              <w:jc w:val="center"/>
              <w:rPr>
                <w:rFonts w:eastAsia="仿宋_GB2312"/>
                <w:color w:val="auto"/>
                <w:sz w:val="18"/>
                <w:szCs w:val="18"/>
              </w:rPr>
            </w:pPr>
            <w:r>
              <w:rPr>
                <w:rFonts w:eastAsia="仿宋_GB2312"/>
                <w:color w:val="auto"/>
                <w:sz w:val="18"/>
                <w:szCs w:val="18"/>
              </w:rPr>
              <w:t>4</w:t>
            </w:r>
          </w:p>
        </w:tc>
        <w:tc>
          <w:tcPr>
            <w:tcW w:w="530" w:type="dxa"/>
            <w:vAlign w:val="center"/>
          </w:tcPr>
          <w:p>
            <w:pPr>
              <w:spacing w:line="240" w:lineRule="auto"/>
              <w:jc w:val="center"/>
              <w:rPr>
                <w:rFonts w:eastAsia="仿宋_GB2312"/>
                <w:color w:val="auto"/>
                <w:sz w:val="18"/>
                <w:szCs w:val="18"/>
              </w:rPr>
            </w:pPr>
            <w:r>
              <w:rPr>
                <w:rFonts w:eastAsia="仿宋_GB2312"/>
                <w:color w:val="auto"/>
                <w:sz w:val="18"/>
                <w:szCs w:val="18"/>
              </w:rPr>
              <w:t>5</w:t>
            </w:r>
          </w:p>
        </w:tc>
        <w:tc>
          <w:tcPr>
            <w:tcW w:w="527" w:type="dxa"/>
            <w:vAlign w:val="center"/>
          </w:tcPr>
          <w:p>
            <w:pPr>
              <w:spacing w:line="240" w:lineRule="auto"/>
              <w:jc w:val="center"/>
              <w:rPr>
                <w:rFonts w:eastAsia="仿宋_GB2312"/>
                <w:color w:val="auto"/>
                <w:sz w:val="18"/>
                <w:szCs w:val="18"/>
              </w:rPr>
            </w:pPr>
            <w:r>
              <w:rPr>
                <w:rFonts w:eastAsia="仿宋_GB2312"/>
                <w:color w:val="auto"/>
                <w:sz w:val="18"/>
                <w:szCs w:val="18"/>
              </w:rPr>
              <w:t>6</w:t>
            </w:r>
          </w:p>
        </w:tc>
        <w:tc>
          <w:tcPr>
            <w:tcW w:w="516" w:type="dxa"/>
            <w:vAlign w:val="center"/>
          </w:tcPr>
          <w:p>
            <w:pPr>
              <w:spacing w:line="240" w:lineRule="auto"/>
              <w:jc w:val="center"/>
              <w:rPr>
                <w:rFonts w:eastAsia="仿宋_GB2312"/>
                <w:color w:val="auto"/>
                <w:sz w:val="18"/>
                <w:szCs w:val="18"/>
              </w:rPr>
            </w:pPr>
            <w:r>
              <w:rPr>
                <w:rFonts w:eastAsia="仿宋_GB2312"/>
                <w:color w:val="auto"/>
                <w:sz w:val="18"/>
                <w:szCs w:val="18"/>
              </w:rPr>
              <w:t>7</w:t>
            </w:r>
          </w:p>
        </w:tc>
        <w:tc>
          <w:tcPr>
            <w:tcW w:w="508" w:type="dxa"/>
            <w:vAlign w:val="center"/>
          </w:tcPr>
          <w:p>
            <w:pPr>
              <w:spacing w:line="240" w:lineRule="auto"/>
              <w:jc w:val="center"/>
              <w:rPr>
                <w:rFonts w:eastAsia="仿宋_GB2312"/>
                <w:color w:val="auto"/>
                <w:sz w:val="18"/>
                <w:szCs w:val="18"/>
              </w:rPr>
            </w:pPr>
            <w:r>
              <w:rPr>
                <w:rFonts w:eastAsia="仿宋_GB2312"/>
                <w:color w:val="auto"/>
                <w:sz w:val="18"/>
                <w:szCs w:val="18"/>
              </w:rPr>
              <w:t>8</w:t>
            </w:r>
          </w:p>
        </w:tc>
        <w:tc>
          <w:tcPr>
            <w:tcW w:w="508" w:type="dxa"/>
            <w:vAlign w:val="center"/>
          </w:tcPr>
          <w:p>
            <w:pPr>
              <w:spacing w:line="240" w:lineRule="auto"/>
              <w:jc w:val="center"/>
              <w:rPr>
                <w:rFonts w:eastAsia="仿宋_GB2312"/>
                <w:color w:val="auto"/>
                <w:sz w:val="18"/>
                <w:szCs w:val="18"/>
              </w:rPr>
            </w:pPr>
            <w:r>
              <w:rPr>
                <w:rFonts w:eastAsia="仿宋_GB2312"/>
                <w:color w:val="auto"/>
                <w:sz w:val="18"/>
                <w:szCs w:val="18"/>
              </w:rPr>
              <w:t>9</w:t>
            </w:r>
          </w:p>
        </w:tc>
        <w:tc>
          <w:tcPr>
            <w:tcW w:w="499" w:type="dxa"/>
            <w:vAlign w:val="center"/>
          </w:tcPr>
          <w:p>
            <w:pPr>
              <w:spacing w:line="240" w:lineRule="auto"/>
              <w:jc w:val="center"/>
              <w:rPr>
                <w:rFonts w:eastAsia="仿宋_GB2312"/>
                <w:color w:val="auto"/>
                <w:sz w:val="18"/>
                <w:szCs w:val="18"/>
              </w:rPr>
            </w:pPr>
            <w:r>
              <w:rPr>
                <w:rFonts w:eastAsia="仿宋_GB2312"/>
                <w:color w:val="auto"/>
                <w:sz w:val="18"/>
                <w:szCs w:val="18"/>
              </w:rPr>
              <w:t>10</w:t>
            </w:r>
          </w:p>
        </w:tc>
        <w:tc>
          <w:tcPr>
            <w:tcW w:w="496" w:type="dxa"/>
            <w:vAlign w:val="center"/>
          </w:tcPr>
          <w:p>
            <w:pPr>
              <w:spacing w:line="240" w:lineRule="auto"/>
              <w:jc w:val="center"/>
              <w:rPr>
                <w:rFonts w:eastAsia="仿宋_GB2312"/>
                <w:color w:val="auto"/>
                <w:sz w:val="18"/>
                <w:szCs w:val="18"/>
              </w:rPr>
            </w:pPr>
            <w:r>
              <w:rPr>
                <w:rFonts w:eastAsia="仿宋_GB2312"/>
                <w:color w:val="auto"/>
                <w:sz w:val="18"/>
                <w:szCs w:val="18"/>
              </w:rPr>
              <w:t>11</w:t>
            </w:r>
          </w:p>
        </w:tc>
        <w:tc>
          <w:tcPr>
            <w:tcW w:w="525" w:type="dxa"/>
            <w:vAlign w:val="center"/>
          </w:tcPr>
          <w:p>
            <w:pPr>
              <w:spacing w:line="240" w:lineRule="auto"/>
              <w:jc w:val="center"/>
              <w:rPr>
                <w:rFonts w:eastAsia="仿宋_GB2312"/>
                <w:color w:val="auto"/>
                <w:sz w:val="18"/>
                <w:szCs w:val="18"/>
              </w:rPr>
            </w:pPr>
            <w:r>
              <w:rPr>
                <w:rFonts w:eastAsia="仿宋_GB2312"/>
                <w:color w:val="auto"/>
                <w:sz w:val="18"/>
                <w:szCs w:val="18"/>
              </w:rPr>
              <w:t>12</w:t>
            </w:r>
          </w:p>
        </w:tc>
        <w:tc>
          <w:tcPr>
            <w:tcW w:w="468" w:type="dxa"/>
            <w:vAlign w:val="center"/>
          </w:tcPr>
          <w:p>
            <w:pPr>
              <w:spacing w:line="240" w:lineRule="auto"/>
              <w:jc w:val="center"/>
              <w:rPr>
                <w:rFonts w:eastAsia="仿宋_GB2312"/>
                <w:color w:val="auto"/>
                <w:sz w:val="18"/>
                <w:szCs w:val="18"/>
              </w:rPr>
            </w:pPr>
            <w:r>
              <w:rPr>
                <w:rFonts w:eastAsia="仿宋_GB2312"/>
                <w:color w:val="auto"/>
                <w:sz w:val="18"/>
                <w:szCs w:val="18"/>
              </w:rPr>
              <w:t>1</w:t>
            </w:r>
          </w:p>
        </w:tc>
        <w:tc>
          <w:tcPr>
            <w:tcW w:w="474" w:type="dxa"/>
            <w:vAlign w:val="center"/>
          </w:tcPr>
          <w:p>
            <w:pPr>
              <w:spacing w:line="240" w:lineRule="auto"/>
              <w:jc w:val="center"/>
              <w:rPr>
                <w:rFonts w:eastAsia="仿宋_GB2312"/>
                <w:color w:val="auto"/>
                <w:sz w:val="18"/>
                <w:szCs w:val="18"/>
              </w:rPr>
            </w:pPr>
            <w:r>
              <w:rPr>
                <w:rFonts w:eastAsia="仿宋_GB2312"/>
                <w:color w:val="auto"/>
                <w:sz w:val="18"/>
                <w:szCs w:val="18"/>
              </w:rPr>
              <w:t>2</w:t>
            </w:r>
          </w:p>
        </w:tc>
        <w:tc>
          <w:tcPr>
            <w:tcW w:w="465" w:type="dxa"/>
            <w:vAlign w:val="center"/>
          </w:tcPr>
          <w:p>
            <w:pPr>
              <w:spacing w:line="240" w:lineRule="auto"/>
              <w:jc w:val="center"/>
              <w:rPr>
                <w:rFonts w:eastAsia="仿宋_GB2312"/>
                <w:color w:val="auto"/>
                <w:sz w:val="18"/>
                <w:szCs w:val="18"/>
              </w:rPr>
            </w:pPr>
            <w:r>
              <w:rPr>
                <w:rFonts w:eastAsia="仿宋_GB2312"/>
                <w:color w:val="auto"/>
                <w:sz w:val="18"/>
                <w:szCs w:val="18"/>
              </w:rPr>
              <w:t>3</w:t>
            </w:r>
          </w:p>
        </w:tc>
        <w:tc>
          <w:tcPr>
            <w:tcW w:w="445" w:type="dxa"/>
            <w:vAlign w:val="center"/>
          </w:tcPr>
          <w:p>
            <w:pPr>
              <w:spacing w:line="240" w:lineRule="auto"/>
              <w:jc w:val="center"/>
              <w:rPr>
                <w:rFonts w:eastAsia="仿宋_GB2312"/>
                <w:color w:val="auto"/>
                <w:sz w:val="18"/>
                <w:szCs w:val="18"/>
              </w:rPr>
            </w:pPr>
            <w:r>
              <w:rPr>
                <w:rFonts w:eastAsia="仿宋_GB2312"/>
                <w:color w:val="auto"/>
                <w:sz w:val="18"/>
                <w:szCs w:val="18"/>
              </w:rPr>
              <w:t>4</w:t>
            </w:r>
          </w:p>
        </w:tc>
        <w:tc>
          <w:tcPr>
            <w:tcW w:w="442" w:type="dxa"/>
            <w:vAlign w:val="center"/>
          </w:tcPr>
          <w:p>
            <w:pPr>
              <w:spacing w:line="240" w:lineRule="auto"/>
              <w:jc w:val="center"/>
              <w:rPr>
                <w:rFonts w:eastAsia="仿宋_GB2312"/>
                <w:color w:val="auto"/>
                <w:sz w:val="18"/>
                <w:szCs w:val="18"/>
              </w:rPr>
            </w:pPr>
            <w:r>
              <w:rPr>
                <w:rFonts w:eastAsia="仿宋_GB2312"/>
                <w:color w:val="auto"/>
                <w:sz w:val="18"/>
                <w:szCs w:val="18"/>
              </w:rPr>
              <w:t>5</w:t>
            </w:r>
          </w:p>
        </w:tc>
        <w:tc>
          <w:tcPr>
            <w:tcW w:w="442" w:type="dxa"/>
            <w:vAlign w:val="center"/>
          </w:tcPr>
          <w:p>
            <w:pPr>
              <w:spacing w:line="240" w:lineRule="auto"/>
              <w:jc w:val="center"/>
              <w:rPr>
                <w:rFonts w:eastAsia="仿宋_GB2312"/>
                <w:color w:val="auto"/>
                <w:sz w:val="18"/>
                <w:szCs w:val="18"/>
              </w:rPr>
            </w:pPr>
            <w:r>
              <w:rPr>
                <w:rFonts w:eastAsia="仿宋_GB2312"/>
                <w:color w:val="auto"/>
                <w:sz w:val="18"/>
                <w:szCs w:val="18"/>
              </w:rPr>
              <w:t>6</w:t>
            </w:r>
          </w:p>
        </w:tc>
        <w:tc>
          <w:tcPr>
            <w:tcW w:w="439" w:type="dxa"/>
            <w:vAlign w:val="center"/>
          </w:tcPr>
          <w:p>
            <w:pPr>
              <w:spacing w:line="240" w:lineRule="auto"/>
              <w:jc w:val="center"/>
              <w:rPr>
                <w:rFonts w:eastAsia="仿宋_GB2312"/>
                <w:color w:val="auto"/>
                <w:sz w:val="18"/>
                <w:szCs w:val="18"/>
              </w:rPr>
            </w:pPr>
            <w:r>
              <w:rPr>
                <w:rFonts w:eastAsia="仿宋_GB2312"/>
                <w:color w:val="auto"/>
                <w:sz w:val="18"/>
                <w:szCs w:val="18"/>
              </w:rPr>
              <w:t>7</w:t>
            </w:r>
          </w:p>
        </w:tc>
        <w:tc>
          <w:tcPr>
            <w:tcW w:w="431" w:type="dxa"/>
            <w:vAlign w:val="center"/>
          </w:tcPr>
          <w:p>
            <w:pPr>
              <w:spacing w:line="240" w:lineRule="auto"/>
              <w:jc w:val="center"/>
              <w:rPr>
                <w:rFonts w:eastAsia="仿宋_GB2312"/>
                <w:color w:val="auto"/>
                <w:sz w:val="18"/>
                <w:szCs w:val="18"/>
              </w:rPr>
            </w:pPr>
            <w:r>
              <w:rPr>
                <w:rFonts w:eastAsia="仿宋_GB2312"/>
                <w:color w:val="auto"/>
                <w:sz w:val="18"/>
                <w:szCs w:val="18"/>
              </w:rPr>
              <w:t>8</w:t>
            </w:r>
          </w:p>
        </w:tc>
        <w:tc>
          <w:tcPr>
            <w:tcW w:w="422" w:type="dxa"/>
            <w:vAlign w:val="center"/>
          </w:tcPr>
          <w:p>
            <w:pPr>
              <w:spacing w:line="240" w:lineRule="auto"/>
              <w:jc w:val="center"/>
              <w:rPr>
                <w:rFonts w:eastAsia="仿宋_GB2312"/>
                <w:color w:val="auto"/>
                <w:sz w:val="18"/>
                <w:szCs w:val="18"/>
              </w:rPr>
            </w:pPr>
            <w:r>
              <w:rPr>
                <w:rFonts w:eastAsia="仿宋_GB2312"/>
                <w:color w:val="auto"/>
                <w:sz w:val="18"/>
                <w:szCs w:val="18"/>
              </w:rPr>
              <w:t>9</w:t>
            </w:r>
          </w:p>
        </w:tc>
        <w:tc>
          <w:tcPr>
            <w:tcW w:w="414" w:type="dxa"/>
            <w:vAlign w:val="center"/>
          </w:tcPr>
          <w:p>
            <w:pPr>
              <w:spacing w:line="240" w:lineRule="auto"/>
              <w:jc w:val="center"/>
              <w:rPr>
                <w:rFonts w:eastAsia="仿宋_GB2312"/>
                <w:color w:val="auto"/>
                <w:sz w:val="18"/>
                <w:szCs w:val="18"/>
              </w:rPr>
            </w:pPr>
            <w:r>
              <w:rPr>
                <w:rFonts w:eastAsia="仿宋_GB2312"/>
                <w:color w:val="auto"/>
                <w:sz w:val="18"/>
                <w:szCs w:val="18"/>
              </w:rPr>
              <w:t>10</w:t>
            </w:r>
          </w:p>
        </w:tc>
        <w:tc>
          <w:tcPr>
            <w:tcW w:w="409" w:type="dxa"/>
            <w:vAlign w:val="center"/>
          </w:tcPr>
          <w:p>
            <w:pPr>
              <w:spacing w:line="240" w:lineRule="auto"/>
              <w:jc w:val="center"/>
              <w:rPr>
                <w:rFonts w:eastAsia="仿宋_GB2312"/>
                <w:color w:val="auto"/>
                <w:sz w:val="18"/>
                <w:szCs w:val="18"/>
              </w:rPr>
            </w:pPr>
            <w:r>
              <w:rPr>
                <w:rFonts w:eastAsia="仿宋_GB2312"/>
                <w:color w:val="auto"/>
                <w:sz w:val="18"/>
                <w:szCs w:val="18"/>
              </w:rPr>
              <w:t>11</w:t>
            </w:r>
          </w:p>
        </w:tc>
        <w:tc>
          <w:tcPr>
            <w:tcW w:w="528" w:type="dxa"/>
            <w:vAlign w:val="center"/>
          </w:tcPr>
          <w:p>
            <w:pPr>
              <w:spacing w:line="240" w:lineRule="auto"/>
              <w:jc w:val="center"/>
              <w:rPr>
                <w:rFonts w:eastAsia="仿宋_GB2312"/>
                <w:color w:val="auto"/>
                <w:sz w:val="18"/>
                <w:szCs w:val="18"/>
              </w:rPr>
            </w:pPr>
            <w:r>
              <w:rPr>
                <w:rFonts w:eastAsia="仿宋_GB2312"/>
                <w:color w:val="auto"/>
                <w:sz w:val="18"/>
                <w:szCs w:val="18"/>
              </w:rPr>
              <w:t>12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cantSplit/>
          <w:trHeight w:val="425" w:hRule="atLeast"/>
          <w:jc w:val="center"/>
        </w:trPr>
        <w:tc>
          <w:tcPr>
            <w:tcW w:w="493" w:type="dxa"/>
            <w:vMerge w:val="restart"/>
            <w:vAlign w:val="center"/>
          </w:tcPr>
          <w:p>
            <w:pPr>
              <w:spacing w:line="240" w:lineRule="auto"/>
              <w:jc w:val="center"/>
              <w:rPr>
                <w:rFonts w:eastAsia="仿宋_GB2312"/>
                <w:color w:val="auto"/>
                <w:sz w:val="18"/>
                <w:szCs w:val="18"/>
                <w:lang w:val="zh-CN"/>
              </w:rPr>
            </w:pPr>
            <w:r>
              <w:rPr>
                <w:rFonts w:eastAsia="仿宋_GB2312"/>
                <w:color w:val="auto"/>
                <w:sz w:val="18"/>
                <w:szCs w:val="18"/>
                <w:lang w:val="zh-CN"/>
              </w:rPr>
              <w:t>工程建设区</w:t>
            </w:r>
          </w:p>
        </w:tc>
        <w:tc>
          <w:tcPr>
            <w:tcW w:w="2064" w:type="dxa"/>
            <w:vAlign w:val="center"/>
          </w:tcPr>
          <w:p>
            <w:pPr>
              <w:spacing w:line="240" w:lineRule="auto"/>
              <w:jc w:val="center"/>
              <w:rPr>
                <w:rFonts w:eastAsia="仿宋_GB2312"/>
                <w:color w:val="auto"/>
                <w:sz w:val="18"/>
                <w:szCs w:val="18"/>
              </w:rPr>
            </w:pPr>
            <w:r>
              <w:rPr>
                <w:rFonts w:eastAsia="仿宋_GB2312"/>
                <w:color w:val="auto"/>
                <w:sz w:val="18"/>
                <w:szCs w:val="18"/>
              </w:rPr>
              <w:t>建筑物施工</w:t>
            </w:r>
          </w:p>
        </w:tc>
        <w:tc>
          <w:tcPr>
            <w:tcW w:w="496" w:type="dxa"/>
            <w:vAlign w:val="center"/>
          </w:tcPr>
          <w:p>
            <w:pPr>
              <w:spacing w:line="240" w:lineRule="auto"/>
              <w:jc w:val="center"/>
              <w:rPr>
                <w:rFonts w:eastAsia="仿宋_GB2312"/>
                <w:color w:val="auto"/>
                <w:sz w:val="18"/>
                <w:szCs w:val="18"/>
              </w:rPr>
            </w:pPr>
          </w:p>
        </w:tc>
        <w:tc>
          <w:tcPr>
            <w:tcW w:w="516" w:type="dxa"/>
            <w:vAlign w:val="center"/>
          </w:tcPr>
          <w:p>
            <w:pPr>
              <w:spacing w:line="240" w:lineRule="auto"/>
              <w:jc w:val="center"/>
              <w:rPr>
                <w:rFonts w:eastAsia="仿宋_GB2312"/>
                <w:color w:val="auto"/>
                <w:sz w:val="18"/>
                <w:szCs w:val="18"/>
              </w:rPr>
            </w:pPr>
          </w:p>
        </w:tc>
        <w:tc>
          <w:tcPr>
            <w:tcW w:w="567" w:type="dxa"/>
            <w:vAlign w:val="center"/>
          </w:tcPr>
          <w:p>
            <w:pPr>
              <w:spacing w:line="240" w:lineRule="auto"/>
              <w:jc w:val="center"/>
              <w:rPr>
                <w:rFonts w:eastAsia="仿宋_GB2312"/>
                <w:color w:val="auto"/>
                <w:sz w:val="18"/>
                <w:szCs w:val="18"/>
              </w:rPr>
            </w:pPr>
          </w:p>
        </w:tc>
        <w:tc>
          <w:tcPr>
            <w:tcW w:w="547" w:type="dxa"/>
            <w:vAlign w:val="center"/>
          </w:tcPr>
          <w:p>
            <w:pPr>
              <w:spacing w:line="240" w:lineRule="auto"/>
              <w:jc w:val="center"/>
              <w:rPr>
                <w:rFonts w:eastAsia="仿宋_GB2312"/>
                <w:color w:val="auto"/>
                <w:sz w:val="18"/>
                <w:szCs w:val="18"/>
              </w:rPr>
            </w:pPr>
          </w:p>
        </w:tc>
        <w:tc>
          <w:tcPr>
            <w:tcW w:w="530" w:type="dxa"/>
            <w:vAlign w:val="center"/>
          </w:tcPr>
          <w:p>
            <w:pPr>
              <w:spacing w:line="240" w:lineRule="auto"/>
              <w:jc w:val="center"/>
              <w:rPr>
                <w:rFonts w:eastAsia="仿宋_GB2312"/>
                <w:color w:val="auto"/>
                <w:sz w:val="18"/>
                <w:szCs w:val="18"/>
              </w:rPr>
            </w:pPr>
          </w:p>
        </w:tc>
        <w:tc>
          <w:tcPr>
            <w:tcW w:w="527" w:type="dxa"/>
            <w:vAlign w:val="center"/>
          </w:tcPr>
          <w:p>
            <w:pPr>
              <w:spacing w:line="240" w:lineRule="auto"/>
              <w:jc w:val="center"/>
              <w:rPr>
                <w:rFonts w:eastAsia="仿宋_GB2312"/>
                <w:color w:val="auto"/>
                <w:sz w:val="18"/>
                <w:szCs w:val="18"/>
              </w:rPr>
            </w:pPr>
          </w:p>
        </w:tc>
        <w:tc>
          <w:tcPr>
            <w:tcW w:w="516" w:type="dxa"/>
            <w:vAlign w:val="center"/>
          </w:tcPr>
          <w:p>
            <w:pPr>
              <w:spacing w:line="240" w:lineRule="auto"/>
              <w:jc w:val="center"/>
              <w:rPr>
                <w:rFonts w:eastAsia="仿宋_GB2312"/>
                <w:color w:val="auto"/>
                <w:sz w:val="18"/>
                <w:szCs w:val="18"/>
              </w:rPr>
            </w:pPr>
          </w:p>
        </w:tc>
        <w:tc>
          <w:tcPr>
            <w:tcW w:w="508" w:type="dxa"/>
            <w:vAlign w:val="center"/>
          </w:tcPr>
          <w:p>
            <w:pPr>
              <w:spacing w:line="240" w:lineRule="auto"/>
              <w:jc w:val="center"/>
              <w:rPr>
                <w:rFonts w:eastAsia="仿宋_GB2312"/>
                <w:color w:val="auto"/>
                <w:sz w:val="18"/>
                <w:szCs w:val="18"/>
              </w:rPr>
            </w:pPr>
            <w:r>
              <w:rPr>
                <w:rFonts w:eastAsia="仿宋_GB2312"/>
                <w:color w:val="auto"/>
                <w:sz w:val="18"/>
                <w:szCs w:val="18"/>
              </w:rPr>
              <mc:AlternateContent>
                <mc:Choice Requires="wps">
                  <w:drawing>
                    <wp:anchor distT="0" distB="0" distL="114300" distR="114300" simplePos="0" relativeHeight="251670528" behindDoc="0" locked="0" layoutInCell="1" allowOverlap="1">
                      <wp:simplePos x="0" y="0"/>
                      <wp:positionH relativeFrom="column">
                        <wp:posOffset>-50800</wp:posOffset>
                      </wp:positionH>
                      <wp:positionV relativeFrom="paragraph">
                        <wp:posOffset>148590</wp:posOffset>
                      </wp:positionV>
                      <wp:extent cx="938530" cy="3175"/>
                      <wp:effectExtent l="0" t="38100" r="1270" b="47625"/>
                      <wp:wrapNone/>
                      <wp:docPr id="88" name="直线 10"/>
                      <wp:cNvGraphicFramePr/>
                      <a:graphic xmlns:a="http://schemas.openxmlformats.org/drawingml/2006/main">
                        <a:graphicData uri="http://schemas.microsoft.com/office/word/2010/wordprocessingShape">
                          <wps:wsp>
                            <wps:cNvCnPr/>
                            <wps:spPr>
                              <a:xfrm flipV="1">
                                <a:off x="0" y="0"/>
                                <a:ext cx="938530" cy="3175"/>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flip:y;margin-left:-4pt;margin-top:11.7pt;height:0.25pt;width:73.9pt;z-index:251670528;mso-width-relative:page;mso-height-relative:page;" filled="f" stroked="t" coordsize="21600,21600" o:gfxdata="UEsDBAoAAAAAAIdO4kAAAAAAAAAAAAAAAAAEAAAAZHJzL1BLAwQUAAAACACHTuJA7LT959gAAAAI&#10;AQAADwAAAGRycy9kb3ducmV2LnhtbE2Py26DMBBF95X6D9ZU6i4xhD4SgomiSF21Ik3oIkuDp4CK&#10;x8g2Sfr3Nat0OXNHd87JNlfdszNa1xkSEM8jYEi1UR01Ar7Kt9kSmPOSlOwNoYBfdLDJ7+8ymSpz&#10;oQOej75hoYRcKgW03g8p565uUUs3NwNSyL6N1dKH0TZcWXkJ5brniyh64Vp2FD60csBdi/XPcdQC&#10;9sVh/3HajsVr/FyWxbv93FXJVojHhzhaA/N49bdjmPADOuSBqTIjKcd6AbNlUPECFskTsClPVkGl&#10;mhYr4HnG/wvkf1BLAwQUAAAACACHTuJA+saG1fIBAADqAwAADgAAAGRycy9lMm9Eb2MueG1srVPN&#10;bhMxEL4j8Q6W72STRm3DKpseGsoFQSQK94nX3rXkP3mcbPIsvAYnLjxOX4OxN6RQLjmwh9XYM/48&#10;3zefl3cHa9heRtTeNXw2mXImnfCtdl3Dvzw+vFlwhglcC8Y72fCjRH63ev1qOYRaXvnem1ZGRiAO&#10;6yE0vE8p1FWFopcWcOKDdJRUPlpItIxd1UYYCN2a6mo6vakGH9sQvZCItLsek/yEGC8B9EppIdde&#10;7Kx0aUSN0kAiStjrgHxVulVKivRJKZSJmYYT01T+dAnF2/yvVkuouwih1+LUAlzSwgtOFrSjS89Q&#10;a0jAdlH/A2W1iB69ShPhbTUSKYoQi9n0hTafewiycCGpMZxFx/8HKz7uN5HptuELmrsDSxN/+vb9&#10;6cdPNivqDAFrKrp3m0ha5RWGTcxUDypapowOX8lGhTzRYYei7fGsrTwkJmjz7XxxPSfVBaXms9vr&#10;rHw1gmSwEDG9l96yHDTcaJeJQw37D5jG0t8leds4NjT89oYMRZBANlQ0fgptICrounIYvdHtgzYm&#10;H8HYbe9NZHvIVijfqYe/yvIta8B+rCup0SS9hPada1k6BtLI0dvguQcrW86MpKeUo2KnBNpcUkn0&#10;jSMVnkXN0da3RxrJLkTd9STFrHSZM2SBotnJrtljf64L0vMTXf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LT959gAAAAIAQAADwAAAAAAAAABACAAAAAiAAAAZHJzL2Rvd25yZXYueG1sUEsBAhQA&#10;FAAAAAgAh07iQPrGhtXyAQAA6gMAAA4AAAAAAAAAAQAgAAAAJwEAAGRycy9lMm9Eb2MueG1sUEsF&#10;BgAAAAAGAAYAWQEAAIsFAAAAAA==&#10;">
                      <v:fill on="f" focussize="0,0"/>
                      <v:stroke weight="6pt" color="#000000" joinstyle="round"/>
                      <v:imagedata o:title=""/>
                      <o:lock v:ext="edit" aspectratio="f"/>
                    </v:line>
                  </w:pict>
                </mc:Fallback>
              </mc:AlternateContent>
            </w:r>
          </w:p>
        </w:tc>
        <w:tc>
          <w:tcPr>
            <w:tcW w:w="508" w:type="dxa"/>
            <w:vAlign w:val="center"/>
          </w:tcPr>
          <w:p>
            <w:pPr>
              <w:spacing w:line="240" w:lineRule="auto"/>
              <w:jc w:val="center"/>
              <w:rPr>
                <w:rFonts w:eastAsia="仿宋_GB2312"/>
                <w:color w:val="auto"/>
                <w:sz w:val="18"/>
                <w:szCs w:val="18"/>
              </w:rPr>
            </w:pPr>
          </w:p>
        </w:tc>
        <w:tc>
          <w:tcPr>
            <w:tcW w:w="499" w:type="dxa"/>
            <w:vAlign w:val="center"/>
          </w:tcPr>
          <w:p>
            <w:pPr>
              <w:spacing w:line="240" w:lineRule="auto"/>
              <w:jc w:val="center"/>
              <w:rPr>
                <w:rFonts w:eastAsia="仿宋_GB2312"/>
                <w:color w:val="auto"/>
                <w:sz w:val="18"/>
                <w:szCs w:val="18"/>
              </w:rPr>
            </w:pPr>
          </w:p>
        </w:tc>
        <w:tc>
          <w:tcPr>
            <w:tcW w:w="496" w:type="dxa"/>
            <w:vAlign w:val="center"/>
          </w:tcPr>
          <w:p>
            <w:pPr>
              <w:spacing w:line="240" w:lineRule="auto"/>
              <w:jc w:val="center"/>
              <w:rPr>
                <w:rFonts w:eastAsia="仿宋_GB2312"/>
                <w:color w:val="auto"/>
                <w:sz w:val="18"/>
                <w:szCs w:val="18"/>
              </w:rPr>
            </w:pPr>
          </w:p>
        </w:tc>
        <w:tc>
          <w:tcPr>
            <w:tcW w:w="525" w:type="dxa"/>
            <w:vAlign w:val="center"/>
          </w:tcPr>
          <w:p>
            <w:pPr>
              <w:spacing w:line="240" w:lineRule="auto"/>
              <w:jc w:val="center"/>
              <w:rPr>
                <w:rFonts w:eastAsia="仿宋_GB2312"/>
                <w:color w:val="auto"/>
                <w:sz w:val="18"/>
                <w:szCs w:val="18"/>
              </w:rPr>
            </w:pPr>
          </w:p>
        </w:tc>
        <w:tc>
          <w:tcPr>
            <w:tcW w:w="468" w:type="dxa"/>
            <w:vAlign w:val="center"/>
          </w:tcPr>
          <w:p>
            <w:pPr>
              <w:spacing w:line="240" w:lineRule="auto"/>
              <w:jc w:val="center"/>
              <w:rPr>
                <w:rFonts w:eastAsia="仿宋_GB2312"/>
                <w:color w:val="auto"/>
                <w:sz w:val="18"/>
                <w:szCs w:val="18"/>
              </w:rPr>
            </w:pPr>
          </w:p>
        </w:tc>
        <w:tc>
          <w:tcPr>
            <w:tcW w:w="474" w:type="dxa"/>
            <w:vAlign w:val="center"/>
          </w:tcPr>
          <w:p>
            <w:pPr>
              <w:spacing w:line="240" w:lineRule="auto"/>
              <w:jc w:val="center"/>
              <w:rPr>
                <w:rFonts w:eastAsia="仿宋_GB2312"/>
                <w:color w:val="auto"/>
                <w:sz w:val="18"/>
                <w:szCs w:val="18"/>
              </w:rPr>
            </w:pPr>
          </w:p>
        </w:tc>
        <w:tc>
          <w:tcPr>
            <w:tcW w:w="465" w:type="dxa"/>
            <w:vAlign w:val="center"/>
          </w:tcPr>
          <w:p>
            <w:pPr>
              <w:spacing w:line="240" w:lineRule="auto"/>
              <w:jc w:val="center"/>
              <w:rPr>
                <w:rFonts w:eastAsia="仿宋_GB2312"/>
                <w:color w:val="auto"/>
                <w:sz w:val="18"/>
                <w:szCs w:val="18"/>
              </w:rPr>
            </w:pPr>
          </w:p>
        </w:tc>
        <w:tc>
          <w:tcPr>
            <w:tcW w:w="445" w:type="dxa"/>
            <w:vAlign w:val="center"/>
          </w:tcPr>
          <w:p>
            <w:pPr>
              <w:spacing w:line="240" w:lineRule="auto"/>
              <w:jc w:val="center"/>
              <w:rPr>
                <w:rFonts w:eastAsia="仿宋_GB2312"/>
                <w:color w:val="auto"/>
                <w:sz w:val="18"/>
                <w:szCs w:val="18"/>
              </w:rPr>
            </w:pPr>
          </w:p>
        </w:tc>
        <w:tc>
          <w:tcPr>
            <w:tcW w:w="442" w:type="dxa"/>
            <w:vAlign w:val="center"/>
          </w:tcPr>
          <w:p>
            <w:pPr>
              <w:spacing w:line="240" w:lineRule="auto"/>
              <w:jc w:val="center"/>
              <w:rPr>
                <w:rFonts w:eastAsia="仿宋_GB2312"/>
                <w:color w:val="auto"/>
                <w:sz w:val="18"/>
                <w:szCs w:val="18"/>
              </w:rPr>
            </w:pPr>
          </w:p>
        </w:tc>
        <w:tc>
          <w:tcPr>
            <w:tcW w:w="442" w:type="dxa"/>
            <w:vAlign w:val="center"/>
          </w:tcPr>
          <w:p>
            <w:pPr>
              <w:spacing w:line="240" w:lineRule="auto"/>
              <w:jc w:val="center"/>
              <w:rPr>
                <w:rFonts w:eastAsia="仿宋_GB2312"/>
                <w:color w:val="auto"/>
                <w:sz w:val="18"/>
                <w:szCs w:val="18"/>
              </w:rPr>
            </w:pPr>
          </w:p>
        </w:tc>
        <w:tc>
          <w:tcPr>
            <w:tcW w:w="439" w:type="dxa"/>
            <w:vAlign w:val="center"/>
          </w:tcPr>
          <w:p>
            <w:pPr>
              <w:spacing w:line="240" w:lineRule="auto"/>
              <w:jc w:val="center"/>
              <w:rPr>
                <w:rFonts w:eastAsia="仿宋_GB2312"/>
                <w:color w:val="auto"/>
                <w:sz w:val="18"/>
                <w:szCs w:val="18"/>
              </w:rPr>
            </w:pPr>
          </w:p>
        </w:tc>
        <w:tc>
          <w:tcPr>
            <w:tcW w:w="431" w:type="dxa"/>
            <w:vAlign w:val="center"/>
          </w:tcPr>
          <w:p>
            <w:pPr>
              <w:spacing w:line="240" w:lineRule="auto"/>
              <w:jc w:val="center"/>
              <w:rPr>
                <w:rFonts w:eastAsia="仿宋_GB2312"/>
                <w:color w:val="auto"/>
                <w:sz w:val="18"/>
                <w:szCs w:val="18"/>
              </w:rPr>
            </w:pPr>
          </w:p>
        </w:tc>
        <w:tc>
          <w:tcPr>
            <w:tcW w:w="422" w:type="dxa"/>
            <w:vAlign w:val="center"/>
          </w:tcPr>
          <w:p>
            <w:pPr>
              <w:spacing w:line="240" w:lineRule="auto"/>
              <w:jc w:val="center"/>
              <w:rPr>
                <w:rFonts w:eastAsia="仿宋_GB2312"/>
                <w:color w:val="auto"/>
                <w:sz w:val="18"/>
                <w:szCs w:val="18"/>
              </w:rPr>
            </w:pPr>
          </w:p>
        </w:tc>
        <w:tc>
          <w:tcPr>
            <w:tcW w:w="414" w:type="dxa"/>
            <w:vAlign w:val="center"/>
          </w:tcPr>
          <w:p>
            <w:pPr>
              <w:spacing w:line="240" w:lineRule="auto"/>
              <w:jc w:val="center"/>
              <w:rPr>
                <w:rFonts w:eastAsia="仿宋_GB2312"/>
                <w:color w:val="auto"/>
                <w:sz w:val="18"/>
                <w:szCs w:val="18"/>
              </w:rPr>
            </w:pPr>
          </w:p>
        </w:tc>
        <w:tc>
          <w:tcPr>
            <w:tcW w:w="409" w:type="dxa"/>
            <w:vAlign w:val="center"/>
          </w:tcPr>
          <w:p>
            <w:pPr>
              <w:spacing w:line="240" w:lineRule="auto"/>
              <w:jc w:val="center"/>
              <w:rPr>
                <w:rFonts w:eastAsia="仿宋_GB2312"/>
                <w:color w:val="auto"/>
                <w:sz w:val="18"/>
                <w:szCs w:val="18"/>
              </w:rPr>
            </w:pPr>
          </w:p>
        </w:tc>
        <w:tc>
          <w:tcPr>
            <w:tcW w:w="528" w:type="dxa"/>
            <w:vAlign w:val="center"/>
          </w:tcPr>
          <w:p>
            <w:pPr>
              <w:spacing w:line="240" w:lineRule="auto"/>
              <w:jc w:val="center"/>
              <w:rPr>
                <w:rFonts w:eastAsia="仿宋_GB2312"/>
                <w:color w:val="auto"/>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93" w:type="dxa"/>
            <w:vMerge w:val="continue"/>
            <w:vAlign w:val="center"/>
          </w:tcPr>
          <w:p>
            <w:pPr>
              <w:spacing w:line="240" w:lineRule="auto"/>
              <w:jc w:val="center"/>
              <w:rPr>
                <w:rFonts w:eastAsia="仿宋_GB2312"/>
                <w:color w:val="auto"/>
                <w:sz w:val="18"/>
                <w:szCs w:val="18"/>
                <w:lang w:val="zh-CN"/>
              </w:rPr>
            </w:pPr>
          </w:p>
        </w:tc>
        <w:tc>
          <w:tcPr>
            <w:tcW w:w="2064" w:type="dxa"/>
            <w:vAlign w:val="center"/>
          </w:tcPr>
          <w:p>
            <w:pPr>
              <w:spacing w:line="240" w:lineRule="auto"/>
              <w:jc w:val="center"/>
              <w:rPr>
                <w:rFonts w:eastAsia="仿宋_GB2312"/>
                <w:color w:val="auto"/>
                <w:sz w:val="18"/>
                <w:szCs w:val="18"/>
              </w:rPr>
            </w:pPr>
            <w:r>
              <w:rPr>
                <w:rFonts w:eastAsia="仿宋_GB2312"/>
                <w:color w:val="auto"/>
                <w:sz w:val="18"/>
                <w:szCs w:val="18"/>
              </w:rPr>
              <w:t>道路及硬化区域施工</w:t>
            </w:r>
          </w:p>
        </w:tc>
        <w:tc>
          <w:tcPr>
            <w:tcW w:w="496" w:type="dxa"/>
            <w:vAlign w:val="center"/>
          </w:tcPr>
          <w:p>
            <w:pPr>
              <w:spacing w:line="240" w:lineRule="auto"/>
              <w:jc w:val="center"/>
              <w:rPr>
                <w:rFonts w:eastAsia="仿宋_GB2312"/>
                <w:color w:val="auto"/>
                <w:sz w:val="18"/>
                <w:szCs w:val="18"/>
              </w:rPr>
            </w:pPr>
          </w:p>
        </w:tc>
        <w:tc>
          <w:tcPr>
            <w:tcW w:w="516" w:type="dxa"/>
            <w:vAlign w:val="center"/>
          </w:tcPr>
          <w:p>
            <w:pPr>
              <w:spacing w:line="240" w:lineRule="auto"/>
              <w:jc w:val="center"/>
              <w:rPr>
                <w:rFonts w:eastAsia="仿宋_GB2312"/>
                <w:color w:val="auto"/>
                <w:sz w:val="18"/>
                <w:szCs w:val="18"/>
              </w:rPr>
            </w:pPr>
          </w:p>
        </w:tc>
        <w:tc>
          <w:tcPr>
            <w:tcW w:w="567" w:type="dxa"/>
            <w:vAlign w:val="center"/>
          </w:tcPr>
          <w:p>
            <w:pPr>
              <w:spacing w:line="240" w:lineRule="auto"/>
              <w:jc w:val="center"/>
              <w:rPr>
                <w:rFonts w:eastAsia="仿宋_GB2312"/>
                <w:color w:val="auto"/>
                <w:sz w:val="18"/>
                <w:szCs w:val="18"/>
              </w:rPr>
            </w:pPr>
          </w:p>
        </w:tc>
        <w:tc>
          <w:tcPr>
            <w:tcW w:w="547" w:type="dxa"/>
            <w:vAlign w:val="center"/>
          </w:tcPr>
          <w:p>
            <w:pPr>
              <w:spacing w:line="240" w:lineRule="auto"/>
              <w:jc w:val="center"/>
              <w:rPr>
                <w:rFonts w:eastAsia="仿宋_GB2312"/>
                <w:color w:val="auto"/>
                <w:sz w:val="18"/>
                <w:szCs w:val="18"/>
              </w:rPr>
            </w:pPr>
          </w:p>
        </w:tc>
        <w:tc>
          <w:tcPr>
            <w:tcW w:w="530" w:type="dxa"/>
            <w:vAlign w:val="center"/>
          </w:tcPr>
          <w:p>
            <w:pPr>
              <w:spacing w:line="240" w:lineRule="auto"/>
              <w:jc w:val="center"/>
              <w:rPr>
                <w:rFonts w:eastAsia="仿宋_GB2312"/>
                <w:color w:val="auto"/>
                <w:sz w:val="18"/>
                <w:szCs w:val="18"/>
              </w:rPr>
            </w:pPr>
          </w:p>
        </w:tc>
        <w:tc>
          <w:tcPr>
            <w:tcW w:w="527" w:type="dxa"/>
            <w:vAlign w:val="center"/>
          </w:tcPr>
          <w:p>
            <w:pPr>
              <w:spacing w:line="240" w:lineRule="auto"/>
              <w:jc w:val="center"/>
              <w:rPr>
                <w:rFonts w:eastAsia="仿宋_GB2312"/>
                <w:color w:val="auto"/>
                <w:sz w:val="18"/>
                <w:szCs w:val="18"/>
              </w:rPr>
            </w:pPr>
          </w:p>
        </w:tc>
        <w:tc>
          <w:tcPr>
            <w:tcW w:w="516" w:type="dxa"/>
            <w:vAlign w:val="center"/>
          </w:tcPr>
          <w:p>
            <w:pPr>
              <w:spacing w:line="240" w:lineRule="auto"/>
              <w:jc w:val="center"/>
              <w:rPr>
                <w:rFonts w:eastAsia="仿宋_GB2312"/>
                <w:color w:val="auto"/>
                <w:sz w:val="18"/>
                <w:szCs w:val="18"/>
              </w:rPr>
            </w:pPr>
          </w:p>
        </w:tc>
        <w:tc>
          <w:tcPr>
            <w:tcW w:w="508" w:type="dxa"/>
            <w:vAlign w:val="center"/>
          </w:tcPr>
          <w:p>
            <w:pPr>
              <w:spacing w:line="240" w:lineRule="auto"/>
              <w:jc w:val="center"/>
              <w:rPr>
                <w:rFonts w:eastAsia="仿宋_GB2312"/>
                <w:color w:val="auto"/>
                <w:sz w:val="18"/>
                <w:szCs w:val="18"/>
              </w:rPr>
            </w:pPr>
          </w:p>
        </w:tc>
        <w:tc>
          <w:tcPr>
            <w:tcW w:w="508" w:type="dxa"/>
            <w:vAlign w:val="center"/>
          </w:tcPr>
          <w:p>
            <w:pPr>
              <w:spacing w:line="240" w:lineRule="auto"/>
              <w:jc w:val="center"/>
              <w:rPr>
                <w:rFonts w:eastAsia="仿宋_GB2312"/>
                <w:color w:val="auto"/>
                <w:sz w:val="18"/>
                <w:szCs w:val="18"/>
              </w:rPr>
            </w:pPr>
          </w:p>
        </w:tc>
        <w:tc>
          <w:tcPr>
            <w:tcW w:w="499" w:type="dxa"/>
            <w:vAlign w:val="center"/>
          </w:tcPr>
          <w:p>
            <w:pPr>
              <w:spacing w:line="240" w:lineRule="auto"/>
              <w:jc w:val="center"/>
              <w:rPr>
                <w:rFonts w:eastAsia="仿宋_GB2312"/>
                <w:color w:val="auto"/>
                <w:sz w:val="18"/>
                <w:szCs w:val="18"/>
              </w:rPr>
            </w:pPr>
          </w:p>
        </w:tc>
        <w:tc>
          <w:tcPr>
            <w:tcW w:w="496" w:type="dxa"/>
            <w:vAlign w:val="center"/>
          </w:tcPr>
          <w:p>
            <w:pPr>
              <w:spacing w:line="240" w:lineRule="auto"/>
              <w:jc w:val="center"/>
              <w:rPr>
                <w:rFonts w:eastAsia="仿宋_GB2312"/>
                <w:color w:val="auto"/>
                <w:sz w:val="18"/>
                <w:szCs w:val="18"/>
              </w:rPr>
            </w:pPr>
          </w:p>
        </w:tc>
        <w:tc>
          <w:tcPr>
            <w:tcW w:w="525" w:type="dxa"/>
            <w:vAlign w:val="center"/>
          </w:tcPr>
          <w:p>
            <w:pPr>
              <w:spacing w:line="240" w:lineRule="auto"/>
              <w:jc w:val="center"/>
              <w:rPr>
                <w:rFonts w:eastAsia="仿宋_GB2312"/>
                <w:color w:val="auto"/>
                <w:sz w:val="18"/>
                <w:szCs w:val="18"/>
              </w:rPr>
            </w:pPr>
          </w:p>
        </w:tc>
        <w:tc>
          <w:tcPr>
            <w:tcW w:w="468" w:type="dxa"/>
            <w:vAlign w:val="center"/>
          </w:tcPr>
          <w:p>
            <w:pPr>
              <w:spacing w:line="240" w:lineRule="auto"/>
              <w:jc w:val="center"/>
              <w:rPr>
                <w:rFonts w:eastAsia="仿宋_GB2312"/>
                <w:color w:val="auto"/>
                <w:sz w:val="18"/>
                <w:szCs w:val="18"/>
              </w:rPr>
            </w:pPr>
          </w:p>
        </w:tc>
        <w:tc>
          <w:tcPr>
            <w:tcW w:w="474" w:type="dxa"/>
            <w:vAlign w:val="center"/>
          </w:tcPr>
          <w:p>
            <w:pPr>
              <w:spacing w:line="240" w:lineRule="auto"/>
              <w:jc w:val="center"/>
              <w:rPr>
                <w:rFonts w:eastAsia="仿宋_GB2312"/>
                <w:color w:val="auto"/>
                <w:sz w:val="18"/>
                <w:szCs w:val="18"/>
              </w:rPr>
            </w:pPr>
          </w:p>
        </w:tc>
        <w:tc>
          <w:tcPr>
            <w:tcW w:w="465" w:type="dxa"/>
            <w:vAlign w:val="center"/>
          </w:tcPr>
          <w:p>
            <w:pPr>
              <w:spacing w:line="240" w:lineRule="auto"/>
              <w:jc w:val="center"/>
              <w:rPr>
                <w:rFonts w:eastAsia="仿宋_GB2312"/>
                <w:color w:val="auto"/>
                <w:sz w:val="18"/>
                <w:szCs w:val="18"/>
              </w:rPr>
            </w:pPr>
          </w:p>
        </w:tc>
        <w:tc>
          <w:tcPr>
            <w:tcW w:w="445" w:type="dxa"/>
            <w:vAlign w:val="center"/>
          </w:tcPr>
          <w:p>
            <w:pPr>
              <w:spacing w:line="240" w:lineRule="auto"/>
              <w:jc w:val="center"/>
              <w:rPr>
                <w:rFonts w:eastAsia="仿宋_GB2312"/>
                <w:color w:val="auto"/>
                <w:sz w:val="18"/>
                <w:szCs w:val="18"/>
              </w:rPr>
            </w:pPr>
            <w:r>
              <w:rPr>
                <w:rFonts w:eastAsia="仿宋_GB2312"/>
                <w:color w:val="auto"/>
                <w:sz w:val="18"/>
                <w:szCs w:val="18"/>
              </w:rPr>
              <mc:AlternateContent>
                <mc:Choice Requires="wps">
                  <w:drawing>
                    <wp:anchor distT="0" distB="0" distL="114300" distR="114300" simplePos="0" relativeHeight="251671552" behindDoc="0" locked="0" layoutInCell="1" allowOverlap="1">
                      <wp:simplePos x="0" y="0"/>
                      <wp:positionH relativeFrom="column">
                        <wp:posOffset>-59055</wp:posOffset>
                      </wp:positionH>
                      <wp:positionV relativeFrom="paragraph">
                        <wp:posOffset>215265</wp:posOffset>
                      </wp:positionV>
                      <wp:extent cx="285750" cy="1905"/>
                      <wp:effectExtent l="0" t="38100" r="6350" b="48895"/>
                      <wp:wrapNone/>
                      <wp:docPr id="89" name="直线 113"/>
                      <wp:cNvGraphicFramePr/>
                      <a:graphic xmlns:a="http://schemas.openxmlformats.org/drawingml/2006/main">
                        <a:graphicData uri="http://schemas.microsoft.com/office/word/2010/wordprocessingShape">
                          <wps:wsp>
                            <wps:cNvCnPr/>
                            <wps:spPr>
                              <a:xfrm>
                                <a:off x="0" y="0"/>
                                <a:ext cx="4483735" cy="9525"/>
                              </a:xfrm>
                              <a:prstGeom prst="line">
                                <a:avLst/>
                              </a:prstGeom>
                              <a:ln w="76200" cap="flat" cmpd="sng">
                                <a:solidFill>
                                  <a:srgbClr val="000000"/>
                                </a:solidFill>
                                <a:prstDash val="solid"/>
                                <a:headEnd type="none" w="med" len="med"/>
                                <a:tailEnd type="none" w="med" len="med"/>
                              </a:ln>
                              <a:effectLst/>
                            </wps:spPr>
                            <wps:bodyPr upright="1"/>
                          </wps:wsp>
                        </a:graphicData>
                      </a:graphic>
                    </wp:anchor>
                  </w:drawing>
                </mc:Choice>
                <mc:Fallback>
                  <w:pict>
                    <v:line id="直线 113" o:spid="_x0000_s1026" o:spt="20" style="position:absolute;left:0pt;margin-left:-4.65pt;margin-top:16.95pt;height:0.15pt;width:22.5pt;z-index:251671552;mso-width-relative:page;mso-height-relative:page;" filled="f" stroked="t" coordsize="21600,21600" o:gfxdata="UEsDBAoAAAAAAIdO4kAAAAAAAAAAAAAAAAAEAAAAZHJzL1BLAwQUAAAACACHTuJAEOIQctQAAAAH&#10;AQAADwAAAGRycy9kb3ducmV2LnhtbE2OwU7DMBBE70j8g7VI3FqnNYU2xOkhEidOFD7AiZfYYK9T&#10;220DX485wWk0mtHMa/azd+yMMdlAElbLChjSELSlUcLb69NiCyxlRVq5QCjhCxPs2+urRtU6XOgF&#10;z4c8sjJCqVYSTM5TzXkaDHqVlmFCKtl7iF7lYuPIdVSXMu4dX1fVPffKUnkwasLO4PB5OHkJG0sf&#10;fIqz657tLEzfbY/H7yTl7c2qegSWcc5/ZfjFL+jQFqY+nEgn5iQsdqI0JQixA1ZysXkA1he9WwNv&#10;G/6fv/0BUEsDBBQAAAAIAIdO4kCyuEr68wEAAPADAAAOAAAAZHJzL2Uyb0RvYy54bWytU0tu2zAQ&#10;3RfoHQjua/kTJ45gOYu46aZoA6Q9wJiiJAL8gUNb9ll6ja666XFyjQ4p1U3TjRfVghpyHh/nPQ7X&#10;d0ej2UEGVM5WfDaZciatcLWybcW/fnl4t+IMI9gatLOy4ieJ/G7z9s2696Wcu87pWgZGJBbL3le8&#10;i9GXRYGikwZw4ry0lGxcMBBpGtqiDtATu9HFfDq9LnoXah+ckIi0uh2SfGQMlxC6plFCbp3YG2nj&#10;wBqkhkiSsFMe+SZX2zRSxM9NgzIyXXFSGvNIh1C8S2OxWUPZBvCdEmMJcEkJrzQZUJYOPVNtIQLb&#10;B/UPlVEiOHRNnAhnikFIdoRUzKavvHnqwMushaxGfzYd/x+t+HR4DEzVFV/dcmbB0I0/f/v+/OMn&#10;m80WyZ7eY0moe/sYxhn6x5C0Hptg0p9UsGO29HS2VB4jE7R4dbVa3CyWnAnK3S7ny0RZ/NnrA8YP&#10;0hmWgoprZZNgKOHwEeMA/Q1Jy9qyvuI319RIRAnUfg1dO4XGkwS0bd6MTqv6QWmdtmBod/c6sAOk&#10;FsjfWMNfsHTKFrAbcDmVYFB2Eur3tmbx5MkbS2+CpxqMrDnTkp5QijIygtKXIEm+tola5gYdhSaf&#10;B2dTtHP1iS5m74NqOzJmlmtOGWqE7ODYtKnTXs4pfvlQN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OIQctQAAAAHAQAADwAAAAAAAAABACAAAAAiAAAAZHJzL2Rvd25yZXYueG1sUEsBAhQAFAAA&#10;AAgAh07iQLK4SvrzAQAA8AMAAA4AAAAAAAAAAQAgAAAAIwEAAGRycy9lMm9Eb2MueG1sUEsFBgAA&#10;AAAGAAYAWQEAAIgFAAAAAA==&#10;">
                      <v:fill on="f" focussize="0,0"/>
                      <v:stroke weight="6pt" color="#000000" joinstyle="round"/>
                      <v:imagedata o:title=""/>
                      <o:lock v:ext="edit" aspectratio="f"/>
                    </v:line>
                  </w:pict>
                </mc:Fallback>
              </mc:AlternateContent>
            </w:r>
          </w:p>
        </w:tc>
        <w:tc>
          <w:tcPr>
            <w:tcW w:w="442" w:type="dxa"/>
            <w:vAlign w:val="center"/>
          </w:tcPr>
          <w:p>
            <w:pPr>
              <w:spacing w:line="240" w:lineRule="auto"/>
              <w:jc w:val="center"/>
              <w:rPr>
                <w:rFonts w:eastAsia="仿宋_GB2312"/>
                <w:color w:val="auto"/>
                <w:sz w:val="18"/>
                <w:szCs w:val="18"/>
              </w:rPr>
            </w:pPr>
          </w:p>
        </w:tc>
        <w:tc>
          <w:tcPr>
            <w:tcW w:w="442" w:type="dxa"/>
            <w:vAlign w:val="center"/>
          </w:tcPr>
          <w:p>
            <w:pPr>
              <w:spacing w:line="240" w:lineRule="auto"/>
              <w:jc w:val="center"/>
              <w:rPr>
                <w:rFonts w:eastAsia="仿宋_GB2312"/>
                <w:color w:val="auto"/>
                <w:sz w:val="18"/>
                <w:szCs w:val="18"/>
              </w:rPr>
            </w:pPr>
          </w:p>
        </w:tc>
        <w:tc>
          <w:tcPr>
            <w:tcW w:w="439" w:type="dxa"/>
            <w:vAlign w:val="center"/>
          </w:tcPr>
          <w:p>
            <w:pPr>
              <w:spacing w:line="240" w:lineRule="auto"/>
              <w:jc w:val="center"/>
              <w:rPr>
                <w:rFonts w:eastAsia="仿宋_GB2312"/>
                <w:color w:val="auto"/>
                <w:sz w:val="18"/>
                <w:szCs w:val="18"/>
              </w:rPr>
            </w:pPr>
          </w:p>
        </w:tc>
        <w:tc>
          <w:tcPr>
            <w:tcW w:w="431" w:type="dxa"/>
            <w:vAlign w:val="center"/>
          </w:tcPr>
          <w:p>
            <w:pPr>
              <w:spacing w:line="240" w:lineRule="auto"/>
              <w:jc w:val="center"/>
              <w:rPr>
                <w:rFonts w:eastAsia="仿宋_GB2312"/>
                <w:color w:val="auto"/>
                <w:sz w:val="18"/>
                <w:szCs w:val="18"/>
              </w:rPr>
            </w:pPr>
          </w:p>
        </w:tc>
        <w:tc>
          <w:tcPr>
            <w:tcW w:w="422" w:type="dxa"/>
            <w:vAlign w:val="center"/>
          </w:tcPr>
          <w:p>
            <w:pPr>
              <w:spacing w:line="240" w:lineRule="auto"/>
              <w:jc w:val="center"/>
              <w:rPr>
                <w:rFonts w:eastAsia="仿宋_GB2312"/>
                <w:color w:val="auto"/>
                <w:sz w:val="18"/>
                <w:szCs w:val="18"/>
              </w:rPr>
            </w:pPr>
          </w:p>
        </w:tc>
        <w:tc>
          <w:tcPr>
            <w:tcW w:w="414" w:type="dxa"/>
            <w:vAlign w:val="center"/>
          </w:tcPr>
          <w:p>
            <w:pPr>
              <w:spacing w:line="240" w:lineRule="auto"/>
              <w:jc w:val="center"/>
              <w:rPr>
                <w:rFonts w:eastAsia="仿宋_GB2312"/>
                <w:color w:val="auto"/>
                <w:sz w:val="18"/>
                <w:szCs w:val="18"/>
              </w:rPr>
            </w:pPr>
          </w:p>
        </w:tc>
        <w:tc>
          <w:tcPr>
            <w:tcW w:w="409" w:type="dxa"/>
            <w:vAlign w:val="center"/>
          </w:tcPr>
          <w:p>
            <w:pPr>
              <w:spacing w:line="240" w:lineRule="auto"/>
              <w:jc w:val="center"/>
              <w:rPr>
                <w:rFonts w:eastAsia="仿宋_GB2312"/>
                <w:color w:val="auto"/>
                <w:sz w:val="18"/>
                <w:szCs w:val="18"/>
              </w:rPr>
            </w:pPr>
          </w:p>
        </w:tc>
        <w:tc>
          <w:tcPr>
            <w:tcW w:w="528" w:type="dxa"/>
            <w:vAlign w:val="center"/>
          </w:tcPr>
          <w:p>
            <w:pPr>
              <w:spacing w:line="240" w:lineRule="auto"/>
              <w:jc w:val="center"/>
              <w:rPr>
                <w:rFonts w:eastAsia="仿宋_GB2312"/>
                <w:color w:val="auto"/>
                <w:sz w:val="18"/>
                <w:szCs w:val="18"/>
              </w:rPr>
            </w:pPr>
          </w:p>
        </w:tc>
      </w:tr>
    </w:tbl>
    <w:p>
      <w:pPr>
        <w:rPr>
          <w:color w:val="auto"/>
        </w:rPr>
      </w:pPr>
    </w:p>
    <w:p>
      <w:pPr>
        <w:jc w:val="center"/>
        <w:rPr>
          <w:color w:val="auto"/>
        </w:rPr>
        <w:sectPr>
          <w:pgSz w:w="16838" w:h="11906" w:orient="landscape"/>
          <w:pgMar w:top="1797" w:right="1440" w:bottom="1797" w:left="1440" w:header="851" w:footer="992" w:gutter="0"/>
          <w:pgNumType w:fmt="decimal"/>
          <w:cols w:space="720" w:num="1"/>
          <w:docGrid w:linePitch="312" w:charSpace="0"/>
        </w:sectPr>
      </w:pPr>
      <w:r>
        <w:rPr>
          <w:rFonts w:eastAsia="仿宋_GB2312"/>
          <w:b/>
          <w:color w:val="auto"/>
          <w:szCs w:val="24"/>
        </w:rPr>
        <w:t>图2-2       施工进度图</w:t>
      </w:r>
    </w:p>
    <w:p>
      <w:pPr>
        <w:pStyle w:val="5"/>
        <w:spacing w:before="0" w:after="0" w:line="360" w:lineRule="auto"/>
        <w:rPr>
          <w:rFonts w:ascii="Times New Roman" w:hAnsi="Times New Roman" w:eastAsia="仿宋_GB2312"/>
          <w:color w:val="auto"/>
          <w:sz w:val="28"/>
          <w:szCs w:val="28"/>
        </w:rPr>
      </w:pPr>
      <w:bookmarkStart w:id="35" w:name="_Toc14915"/>
      <w:r>
        <w:rPr>
          <w:rFonts w:ascii="Times New Roman" w:hAnsi="Times New Roman" w:eastAsia="仿宋_GB2312"/>
          <w:color w:val="auto"/>
          <w:sz w:val="28"/>
          <w:szCs w:val="28"/>
        </w:rPr>
        <w:t>2.7自然概况</w:t>
      </w:r>
      <w:bookmarkEnd w:id="35"/>
    </w:p>
    <w:p>
      <w:pPr>
        <w:spacing w:line="360" w:lineRule="auto"/>
        <w:rPr>
          <w:rFonts w:eastAsia="仿宋_GB2312"/>
          <w:color w:val="auto"/>
        </w:rPr>
      </w:pPr>
      <w:r>
        <w:rPr>
          <w:rFonts w:eastAsia="仿宋_GB2312"/>
          <w:b/>
          <w:color w:val="auto"/>
          <w:szCs w:val="24"/>
        </w:rPr>
        <w:t>2.7.1地质</w:t>
      </w:r>
    </w:p>
    <w:p>
      <w:pPr>
        <w:spacing w:line="360" w:lineRule="auto"/>
        <w:ind w:firstLine="480" w:firstLineChars="200"/>
        <w:rPr>
          <w:rFonts w:eastAsia="仿宋_GB2312"/>
          <w:color w:val="auto"/>
          <w:szCs w:val="22"/>
        </w:rPr>
      </w:pPr>
      <w:r>
        <w:rPr>
          <w:rFonts w:eastAsia="仿宋_GB2312"/>
          <w:color w:val="auto"/>
          <w:szCs w:val="22"/>
        </w:rPr>
        <w:t xml:space="preserve">抚松县地处长白山腹部，地貌类型属长白山地貌区，山脉多东南至西北走 向，地势东南高西北低，最高峰为长白山白云峰 2691 米，最低点是兴参镇两江 口（头道松花江与二道松花江汇流处），海拔 307.9 米，全县平均海拔高为 618 米。本场地勘察显示的地层上部为杂填土，下部为第四纪沉积的粉质粘土层， 基岩为玄武岩。拟建场地内地下水主要埋藏在粉质黏土层下部，强风化玄武岩中，属于上层滞水类型，稳定水位 2.90m～5.00m。 </w:t>
      </w:r>
    </w:p>
    <w:p>
      <w:pPr>
        <w:spacing w:line="360" w:lineRule="auto"/>
        <w:ind w:firstLine="480" w:firstLineChars="200"/>
        <w:rPr>
          <w:rFonts w:eastAsia="仿宋_GB2312"/>
          <w:color w:val="auto"/>
          <w:szCs w:val="22"/>
        </w:rPr>
      </w:pPr>
      <w:r>
        <w:rPr>
          <w:rFonts w:eastAsia="仿宋_GB2312"/>
          <w:color w:val="auto"/>
          <w:szCs w:val="22"/>
        </w:rPr>
        <w:t>本工程地震烈度为Ⅵ度，本项目区无不良地质情况，不处于崩塌、滑坡危险区和泥石流易发区等。</w:t>
      </w:r>
    </w:p>
    <w:p>
      <w:pPr>
        <w:spacing w:line="360" w:lineRule="auto"/>
        <w:rPr>
          <w:rFonts w:eastAsia="仿宋_GB2312"/>
          <w:b/>
          <w:bCs/>
          <w:color w:val="auto"/>
          <w:szCs w:val="24"/>
        </w:rPr>
      </w:pPr>
      <w:r>
        <w:rPr>
          <w:rFonts w:eastAsia="仿宋_GB2312"/>
          <w:b/>
          <w:bCs/>
          <w:color w:val="auto"/>
          <w:szCs w:val="24"/>
        </w:rPr>
        <w:t>2.7.2地貌</w:t>
      </w:r>
    </w:p>
    <w:p>
      <w:pPr>
        <w:spacing w:line="360" w:lineRule="auto"/>
        <w:ind w:firstLine="480" w:firstLineChars="200"/>
        <w:jc w:val="both"/>
        <w:rPr>
          <w:rFonts w:eastAsia="仿宋_GB2312"/>
          <w:color w:val="auto"/>
          <w:szCs w:val="24"/>
        </w:rPr>
      </w:pPr>
      <w:r>
        <w:rPr>
          <w:rFonts w:eastAsia="仿宋_GB2312"/>
          <w:color w:val="auto"/>
          <w:szCs w:val="24"/>
        </w:rPr>
        <w:t xml:space="preserve">抚松县境内总地势是由东南向西北逐渐倾斜，最高峰在长白山的白云峰， 最低点是头道松花江与二道松花江汇流处，地貌类型为中低山区。地质大部分是长白山火山熔岩，并经过第四纪冰川作用，形成了不同类型的地貌区域。即长白山火山中山台地地貌、长白山熔岩台地地貌、老岭中低山河川地地貌和牡丹岭中低山地地貌。 </w:t>
      </w:r>
    </w:p>
    <w:p>
      <w:pPr>
        <w:spacing w:line="360" w:lineRule="auto"/>
        <w:ind w:firstLine="480" w:firstLineChars="200"/>
        <w:jc w:val="both"/>
        <w:rPr>
          <w:rFonts w:eastAsia="仿宋_GB2312"/>
          <w:color w:val="auto"/>
          <w:szCs w:val="24"/>
        </w:rPr>
      </w:pPr>
      <w:r>
        <w:rPr>
          <w:rFonts w:hint="default" w:ascii="Times New Roman" w:hAnsi="Times New Roman" w:eastAsia="仿宋_GB2312" w:cs="Times New Roman"/>
          <w:color w:val="auto"/>
          <w:sz w:val="24"/>
        </w:rPr>
        <w:t>工程区地势较平坦，</w:t>
      </w:r>
      <w:r>
        <w:rPr>
          <w:rFonts w:eastAsia="仿宋_GB2312"/>
          <w:color w:val="auto"/>
          <w:szCs w:val="24"/>
        </w:rPr>
        <w:t>原地面高程</w:t>
      </w:r>
      <w:r>
        <w:rPr>
          <w:rFonts w:hint="eastAsia" w:eastAsia="仿宋_GB2312"/>
          <w:color w:val="auto"/>
          <w:szCs w:val="24"/>
          <w:lang w:val="en-US" w:eastAsia="zh-CN"/>
        </w:rPr>
        <w:t>介于685.79-686.85之间</w:t>
      </w:r>
      <w:r>
        <w:rPr>
          <w:rFonts w:eastAsia="仿宋_GB2312"/>
          <w:color w:val="auto"/>
          <w:szCs w:val="24"/>
        </w:rPr>
        <w:t>。</w:t>
      </w:r>
    </w:p>
    <w:p>
      <w:pPr>
        <w:spacing w:line="360" w:lineRule="auto"/>
        <w:jc w:val="both"/>
        <w:rPr>
          <w:rFonts w:eastAsia="仿宋_GB2312"/>
          <w:b/>
          <w:color w:val="auto"/>
          <w:szCs w:val="24"/>
        </w:rPr>
      </w:pPr>
      <w:r>
        <w:rPr>
          <w:rFonts w:eastAsia="仿宋_GB2312"/>
          <w:b/>
          <w:color w:val="auto"/>
          <w:szCs w:val="24"/>
        </w:rPr>
        <w:t>2.7.3气象</w:t>
      </w:r>
    </w:p>
    <w:p>
      <w:pPr>
        <w:spacing w:line="360" w:lineRule="auto"/>
        <w:ind w:firstLine="480" w:firstLineChars="200"/>
        <w:jc w:val="both"/>
        <w:rPr>
          <w:rFonts w:eastAsia="仿宋_GB2312"/>
          <w:color w:val="auto"/>
          <w:szCs w:val="24"/>
        </w:rPr>
      </w:pPr>
      <w:r>
        <w:rPr>
          <w:rFonts w:eastAsia="仿宋_GB2312"/>
          <w:color w:val="auto"/>
          <w:szCs w:val="24"/>
        </w:rPr>
        <w:t>根据抚松县气象站资料（1988年-2018年统计资料），多年平均气温3.4℃， 历史极端最高气温达33.2℃，发生在1962年6月17日，历史极端最低气温为-40.5 ℃，发生在1970年1月4日，≥10℃活动积温（历年平均）为2950℃；多年平均日照时数2462.2h，日照百分率为53%。年日照时间最长为2833h，最少出为2021.1h；多年平均降水量为816.2mm，降雨多集中在6~9月份，占全年降水量65％，多年平均蒸发量为1202.2mm，年平均湿度65%，该区域大气降水为主要地下补给水源；多年平均风速为2.7m/s，历年最大风速为22m/s，风向为SSE，发生在1979 年12月29日；无霜期140天，最大冻土深度为1.80m。</w:t>
      </w:r>
    </w:p>
    <w:p>
      <w:pPr>
        <w:spacing w:line="360" w:lineRule="auto"/>
        <w:ind w:firstLine="480" w:firstLineChars="200"/>
        <w:jc w:val="both"/>
        <w:rPr>
          <w:rFonts w:eastAsia="仿宋_GB2312"/>
          <w:b/>
          <w:bCs/>
          <w:color w:val="auto"/>
          <w:szCs w:val="24"/>
        </w:rPr>
      </w:pPr>
      <w:r>
        <w:rPr>
          <w:rFonts w:eastAsia="仿宋_GB2312"/>
          <w:color w:val="auto"/>
          <w:szCs w:val="24"/>
        </w:rPr>
        <w:t>气象要素见表2-</w:t>
      </w:r>
      <w:r>
        <w:rPr>
          <w:rFonts w:hint="eastAsia" w:eastAsia="仿宋_GB2312"/>
          <w:color w:val="auto"/>
          <w:szCs w:val="24"/>
          <w:lang w:val="en-US" w:eastAsia="zh-CN"/>
        </w:rPr>
        <w:t>6</w:t>
      </w:r>
      <w:r>
        <w:rPr>
          <w:rFonts w:eastAsia="仿宋_GB2312"/>
          <w:color w:val="auto"/>
        </w:rPr>
        <w:t>。</w:t>
      </w:r>
    </w:p>
    <w:p>
      <w:pPr>
        <w:jc w:val="both"/>
        <w:rPr>
          <w:rFonts w:eastAsia="仿宋_GB2312"/>
          <w:b/>
          <w:bCs/>
          <w:color w:val="auto"/>
          <w:szCs w:val="24"/>
        </w:rPr>
      </w:pPr>
    </w:p>
    <w:p>
      <w:pPr>
        <w:jc w:val="both"/>
        <w:rPr>
          <w:rFonts w:eastAsia="仿宋_GB2312"/>
          <w:b/>
          <w:bCs/>
          <w:color w:val="auto"/>
          <w:szCs w:val="24"/>
        </w:rPr>
      </w:pPr>
    </w:p>
    <w:p>
      <w:pPr>
        <w:jc w:val="both"/>
        <w:rPr>
          <w:rFonts w:eastAsia="仿宋_GB2312"/>
          <w:b/>
          <w:bCs/>
          <w:color w:val="auto"/>
          <w:szCs w:val="24"/>
        </w:rPr>
      </w:pPr>
    </w:p>
    <w:p>
      <w:pPr>
        <w:jc w:val="center"/>
        <w:rPr>
          <w:rFonts w:eastAsia="仿宋_GB2312"/>
          <w:b/>
          <w:bCs/>
          <w:color w:val="auto"/>
          <w:sz w:val="18"/>
          <w:szCs w:val="18"/>
        </w:rPr>
      </w:pPr>
      <w:r>
        <w:rPr>
          <w:rFonts w:eastAsia="仿宋_GB2312"/>
          <w:b/>
          <w:bCs/>
          <w:color w:val="auto"/>
          <w:szCs w:val="24"/>
        </w:rPr>
        <w:t>表2-</w:t>
      </w:r>
      <w:r>
        <w:rPr>
          <w:rFonts w:hint="eastAsia" w:eastAsia="仿宋_GB2312"/>
          <w:b/>
          <w:bCs/>
          <w:color w:val="auto"/>
          <w:szCs w:val="24"/>
          <w:lang w:val="en-US" w:eastAsia="zh-CN"/>
        </w:rPr>
        <w:t>6</w:t>
      </w:r>
      <w:r>
        <w:rPr>
          <w:rFonts w:eastAsia="仿宋_GB2312"/>
          <w:b/>
          <w:bCs/>
          <w:color w:val="auto"/>
          <w:szCs w:val="24"/>
        </w:rPr>
        <w:t xml:space="preserve">    主要水文气象特征指标</w:t>
      </w:r>
      <w:r>
        <w:rPr>
          <w:rFonts w:eastAsia="仿宋_GB2312"/>
          <w:b/>
          <w:bCs/>
          <w:color w:val="auto"/>
          <w:sz w:val="18"/>
          <w:szCs w:val="18"/>
        </w:rPr>
        <w:t>（来源为</w:t>
      </w:r>
      <w:r>
        <w:rPr>
          <w:rFonts w:hint="eastAsia" w:eastAsia="仿宋_GB2312"/>
          <w:b/>
          <w:bCs/>
          <w:color w:val="auto"/>
          <w:sz w:val="18"/>
          <w:szCs w:val="18"/>
          <w:lang w:val="en-US" w:eastAsia="zh-CN"/>
        </w:rPr>
        <w:t>抚松县</w:t>
      </w:r>
      <w:r>
        <w:rPr>
          <w:rFonts w:eastAsia="仿宋_GB2312"/>
          <w:b/>
          <w:bCs/>
          <w:color w:val="auto"/>
          <w:sz w:val="18"/>
          <w:szCs w:val="18"/>
        </w:rPr>
        <w:t>市气象站198</w:t>
      </w:r>
      <w:r>
        <w:rPr>
          <w:rFonts w:hint="eastAsia" w:eastAsia="仿宋_GB2312"/>
          <w:b/>
          <w:bCs/>
          <w:color w:val="auto"/>
          <w:sz w:val="18"/>
          <w:szCs w:val="18"/>
          <w:lang w:val="en-US" w:eastAsia="zh-CN"/>
        </w:rPr>
        <w:t>8</w:t>
      </w:r>
      <w:r>
        <w:rPr>
          <w:rFonts w:eastAsia="仿宋_GB2312"/>
          <w:b/>
          <w:bCs/>
          <w:color w:val="auto"/>
          <w:sz w:val="18"/>
          <w:szCs w:val="18"/>
        </w:rPr>
        <w:t>年～2018年的统计资料）</w:t>
      </w:r>
    </w:p>
    <w:tbl>
      <w:tblPr>
        <w:tblStyle w:val="24"/>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544"/>
        <w:gridCol w:w="2125"/>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dxa"/>
            <w:vAlign w:val="center"/>
          </w:tcPr>
          <w:p>
            <w:pPr>
              <w:spacing w:line="240" w:lineRule="auto"/>
              <w:jc w:val="center"/>
              <w:rPr>
                <w:rFonts w:eastAsia="仿宋_GB2312"/>
                <w:color w:val="auto"/>
                <w:sz w:val="21"/>
                <w:szCs w:val="21"/>
              </w:rPr>
            </w:pPr>
            <w:r>
              <w:rPr>
                <w:rFonts w:eastAsia="仿宋_GB2312"/>
                <w:color w:val="auto"/>
                <w:sz w:val="21"/>
                <w:szCs w:val="21"/>
              </w:rPr>
              <w:t>序号</w:t>
            </w:r>
          </w:p>
        </w:tc>
        <w:tc>
          <w:tcPr>
            <w:tcW w:w="3544" w:type="dxa"/>
            <w:vAlign w:val="center"/>
          </w:tcPr>
          <w:p>
            <w:pPr>
              <w:spacing w:line="240" w:lineRule="auto"/>
              <w:jc w:val="center"/>
              <w:rPr>
                <w:rFonts w:eastAsia="仿宋_GB2312"/>
                <w:color w:val="auto"/>
                <w:sz w:val="21"/>
                <w:szCs w:val="21"/>
              </w:rPr>
            </w:pPr>
            <w:r>
              <w:rPr>
                <w:rFonts w:eastAsia="仿宋_GB2312"/>
                <w:color w:val="auto"/>
                <w:sz w:val="21"/>
                <w:szCs w:val="21"/>
              </w:rPr>
              <w:t>气象特征</w:t>
            </w:r>
          </w:p>
        </w:tc>
        <w:tc>
          <w:tcPr>
            <w:tcW w:w="2125" w:type="dxa"/>
            <w:vAlign w:val="center"/>
          </w:tcPr>
          <w:p>
            <w:pPr>
              <w:spacing w:line="240" w:lineRule="auto"/>
              <w:jc w:val="center"/>
              <w:rPr>
                <w:rFonts w:eastAsia="仿宋_GB2312"/>
                <w:color w:val="auto"/>
                <w:sz w:val="21"/>
                <w:szCs w:val="21"/>
              </w:rPr>
            </w:pPr>
            <w:r>
              <w:rPr>
                <w:rFonts w:eastAsia="仿宋_GB2312"/>
                <w:color w:val="auto"/>
                <w:sz w:val="21"/>
                <w:szCs w:val="21"/>
              </w:rPr>
              <w:t>单位</w:t>
            </w:r>
          </w:p>
        </w:tc>
        <w:tc>
          <w:tcPr>
            <w:tcW w:w="2127" w:type="dxa"/>
            <w:vAlign w:val="center"/>
          </w:tcPr>
          <w:p>
            <w:pPr>
              <w:spacing w:line="240" w:lineRule="auto"/>
              <w:jc w:val="center"/>
              <w:rPr>
                <w:rFonts w:eastAsia="仿宋_GB2312"/>
                <w:color w:val="auto"/>
                <w:sz w:val="21"/>
                <w:szCs w:val="21"/>
              </w:rPr>
            </w:pPr>
            <w:r>
              <w:rPr>
                <w:rFonts w:eastAsia="仿宋_GB2312"/>
                <w:color w:val="auto"/>
                <w:sz w:val="21"/>
                <w:szCs w:val="21"/>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dxa"/>
            <w:vAlign w:val="center"/>
          </w:tcPr>
          <w:p>
            <w:pPr>
              <w:spacing w:line="240" w:lineRule="auto"/>
              <w:jc w:val="center"/>
              <w:rPr>
                <w:rFonts w:eastAsia="仿宋_GB2312"/>
                <w:color w:val="auto"/>
                <w:sz w:val="21"/>
                <w:szCs w:val="21"/>
              </w:rPr>
            </w:pPr>
            <w:r>
              <w:rPr>
                <w:rFonts w:eastAsia="仿宋_GB2312"/>
                <w:color w:val="auto"/>
                <w:sz w:val="21"/>
                <w:szCs w:val="21"/>
              </w:rPr>
              <w:t>1</w:t>
            </w:r>
          </w:p>
        </w:tc>
        <w:tc>
          <w:tcPr>
            <w:tcW w:w="3544" w:type="dxa"/>
            <w:vAlign w:val="center"/>
          </w:tcPr>
          <w:p>
            <w:pPr>
              <w:spacing w:line="240" w:lineRule="auto"/>
              <w:jc w:val="center"/>
              <w:rPr>
                <w:rFonts w:eastAsia="仿宋_GB2312"/>
                <w:color w:val="auto"/>
                <w:sz w:val="21"/>
                <w:szCs w:val="21"/>
              </w:rPr>
            </w:pPr>
            <w:r>
              <w:rPr>
                <w:rFonts w:hint="eastAsia" w:eastAsia="仿宋_GB2312"/>
                <w:color w:val="auto"/>
                <w:sz w:val="21"/>
                <w:szCs w:val="21"/>
                <w:lang w:val="en-US" w:eastAsia="zh-CN"/>
              </w:rPr>
              <w:t>多</w:t>
            </w:r>
            <w:r>
              <w:rPr>
                <w:rFonts w:eastAsia="仿宋_GB2312"/>
                <w:color w:val="auto"/>
                <w:sz w:val="21"/>
                <w:szCs w:val="21"/>
              </w:rPr>
              <w:t>年平均气温</w:t>
            </w:r>
          </w:p>
        </w:tc>
        <w:tc>
          <w:tcPr>
            <w:tcW w:w="2125" w:type="dxa"/>
            <w:vAlign w:val="center"/>
          </w:tcPr>
          <w:p>
            <w:pPr>
              <w:spacing w:line="240" w:lineRule="auto"/>
              <w:jc w:val="center"/>
              <w:rPr>
                <w:rFonts w:eastAsia="仿宋_GB2312"/>
                <w:color w:val="auto"/>
                <w:sz w:val="21"/>
                <w:szCs w:val="21"/>
              </w:rPr>
            </w:pPr>
            <w:r>
              <w:rPr>
                <w:rFonts w:eastAsia="仿宋_GB2312"/>
                <w:color w:val="auto"/>
                <w:sz w:val="21"/>
                <w:szCs w:val="21"/>
              </w:rPr>
              <w:t>℃</w:t>
            </w:r>
          </w:p>
        </w:tc>
        <w:tc>
          <w:tcPr>
            <w:tcW w:w="2127"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dxa"/>
            <w:vAlign w:val="center"/>
          </w:tcPr>
          <w:p>
            <w:pPr>
              <w:spacing w:line="240" w:lineRule="auto"/>
              <w:jc w:val="center"/>
              <w:rPr>
                <w:rFonts w:ascii="Times New Roman" w:hAnsi="Times New Roman" w:eastAsia="仿宋_GB2312" w:cs="Times New Roman"/>
                <w:color w:val="auto"/>
                <w:sz w:val="21"/>
                <w:szCs w:val="21"/>
                <w:lang w:val="en-US" w:eastAsia="zh-CN" w:bidi="ar-SA"/>
              </w:rPr>
            </w:pPr>
            <w:r>
              <w:rPr>
                <w:rFonts w:eastAsia="仿宋_GB2312"/>
                <w:color w:val="auto"/>
                <w:sz w:val="21"/>
                <w:szCs w:val="21"/>
              </w:rPr>
              <w:t>2</w:t>
            </w:r>
          </w:p>
        </w:tc>
        <w:tc>
          <w:tcPr>
            <w:tcW w:w="3544" w:type="dxa"/>
            <w:vAlign w:val="center"/>
          </w:tcPr>
          <w:p>
            <w:pPr>
              <w:spacing w:line="240" w:lineRule="auto"/>
              <w:jc w:val="center"/>
              <w:rPr>
                <w:rFonts w:hint="eastAsia" w:eastAsia="仿宋_GB2312"/>
                <w:color w:val="auto"/>
                <w:sz w:val="21"/>
                <w:szCs w:val="21"/>
                <w:lang w:val="en-US" w:eastAsia="zh-CN"/>
              </w:rPr>
            </w:pPr>
            <w:r>
              <w:rPr>
                <w:rFonts w:eastAsia="仿宋_GB2312"/>
                <w:color w:val="auto"/>
                <w:sz w:val="21"/>
                <w:szCs w:val="21"/>
              </w:rPr>
              <w:t>历史极端最低气温</w:t>
            </w:r>
          </w:p>
        </w:tc>
        <w:tc>
          <w:tcPr>
            <w:tcW w:w="2125" w:type="dxa"/>
            <w:vAlign w:val="center"/>
          </w:tcPr>
          <w:p>
            <w:pPr>
              <w:spacing w:line="240" w:lineRule="auto"/>
              <w:jc w:val="center"/>
              <w:rPr>
                <w:rFonts w:eastAsia="仿宋_GB2312"/>
                <w:color w:val="auto"/>
                <w:sz w:val="21"/>
                <w:szCs w:val="21"/>
              </w:rPr>
            </w:pPr>
            <w:r>
              <w:rPr>
                <w:rFonts w:eastAsia="仿宋_GB2312"/>
                <w:color w:val="auto"/>
                <w:sz w:val="21"/>
                <w:szCs w:val="21"/>
              </w:rPr>
              <w:t>℃</w:t>
            </w:r>
          </w:p>
        </w:tc>
        <w:tc>
          <w:tcPr>
            <w:tcW w:w="2127"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dxa"/>
            <w:vAlign w:val="center"/>
          </w:tcPr>
          <w:p>
            <w:pPr>
              <w:spacing w:line="240" w:lineRule="auto"/>
              <w:jc w:val="center"/>
              <w:rPr>
                <w:rFonts w:ascii="Times New Roman" w:hAnsi="Times New Roman" w:eastAsia="仿宋_GB2312" w:cs="Times New Roman"/>
                <w:color w:val="auto"/>
                <w:sz w:val="21"/>
                <w:szCs w:val="21"/>
                <w:lang w:val="en-US" w:eastAsia="zh-CN" w:bidi="ar-SA"/>
              </w:rPr>
            </w:pPr>
            <w:r>
              <w:rPr>
                <w:rFonts w:eastAsia="仿宋_GB2312"/>
                <w:color w:val="auto"/>
                <w:sz w:val="21"/>
                <w:szCs w:val="21"/>
              </w:rPr>
              <w:t>3</w:t>
            </w:r>
          </w:p>
        </w:tc>
        <w:tc>
          <w:tcPr>
            <w:tcW w:w="3544" w:type="dxa"/>
            <w:vAlign w:val="center"/>
          </w:tcPr>
          <w:p>
            <w:pPr>
              <w:spacing w:line="240" w:lineRule="auto"/>
              <w:jc w:val="center"/>
              <w:rPr>
                <w:rFonts w:hint="eastAsia" w:eastAsia="仿宋_GB2312"/>
                <w:color w:val="auto"/>
                <w:sz w:val="21"/>
                <w:szCs w:val="21"/>
                <w:lang w:val="en-US" w:eastAsia="zh-CN"/>
              </w:rPr>
            </w:pPr>
            <w:r>
              <w:rPr>
                <w:rFonts w:eastAsia="仿宋_GB2312"/>
                <w:color w:val="auto"/>
                <w:sz w:val="21"/>
                <w:szCs w:val="21"/>
              </w:rPr>
              <w:t>历史极端最高气温</w:t>
            </w:r>
          </w:p>
        </w:tc>
        <w:tc>
          <w:tcPr>
            <w:tcW w:w="2125" w:type="dxa"/>
            <w:vAlign w:val="center"/>
          </w:tcPr>
          <w:p>
            <w:pPr>
              <w:spacing w:line="240" w:lineRule="auto"/>
              <w:jc w:val="center"/>
              <w:rPr>
                <w:rFonts w:eastAsia="仿宋_GB2312"/>
                <w:color w:val="auto"/>
                <w:sz w:val="21"/>
                <w:szCs w:val="21"/>
              </w:rPr>
            </w:pPr>
            <w:r>
              <w:rPr>
                <w:rFonts w:eastAsia="仿宋_GB2312"/>
                <w:color w:val="auto"/>
                <w:sz w:val="21"/>
                <w:szCs w:val="21"/>
              </w:rPr>
              <w:t>℃</w:t>
            </w:r>
          </w:p>
        </w:tc>
        <w:tc>
          <w:tcPr>
            <w:tcW w:w="2127"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dxa"/>
            <w:vAlign w:val="center"/>
          </w:tcPr>
          <w:p>
            <w:pPr>
              <w:spacing w:line="240" w:lineRule="auto"/>
              <w:jc w:val="center"/>
              <w:rPr>
                <w:rFonts w:ascii="Times New Roman" w:hAnsi="Times New Roman" w:eastAsia="仿宋_GB2312" w:cs="Times New Roman"/>
                <w:color w:val="auto"/>
                <w:sz w:val="21"/>
                <w:szCs w:val="21"/>
                <w:lang w:val="en-US" w:eastAsia="zh-CN" w:bidi="ar-SA"/>
              </w:rPr>
            </w:pPr>
            <w:r>
              <w:rPr>
                <w:rFonts w:eastAsia="仿宋_GB2312"/>
                <w:color w:val="auto"/>
                <w:sz w:val="21"/>
                <w:szCs w:val="21"/>
              </w:rPr>
              <w:t>4</w:t>
            </w:r>
          </w:p>
        </w:tc>
        <w:tc>
          <w:tcPr>
            <w:tcW w:w="3544" w:type="dxa"/>
            <w:vAlign w:val="center"/>
          </w:tcPr>
          <w:p>
            <w:pPr>
              <w:spacing w:line="240" w:lineRule="auto"/>
              <w:jc w:val="center"/>
              <w:rPr>
                <w:rFonts w:eastAsia="仿宋_GB2312"/>
                <w:color w:val="auto"/>
                <w:sz w:val="21"/>
                <w:szCs w:val="21"/>
              </w:rPr>
            </w:pPr>
            <w:r>
              <w:rPr>
                <w:rFonts w:eastAsia="仿宋_GB2312"/>
                <w:color w:val="auto"/>
                <w:sz w:val="21"/>
                <w:szCs w:val="21"/>
              </w:rPr>
              <w:t>多年平均日照时数</w:t>
            </w:r>
          </w:p>
        </w:tc>
        <w:tc>
          <w:tcPr>
            <w:tcW w:w="2125" w:type="dxa"/>
            <w:vAlign w:val="center"/>
          </w:tcPr>
          <w:p>
            <w:pPr>
              <w:spacing w:line="240" w:lineRule="auto"/>
              <w:jc w:val="center"/>
              <w:rPr>
                <w:rFonts w:hint="eastAsia" w:eastAsia="仿宋_GB2312"/>
                <w:color w:val="auto"/>
                <w:sz w:val="21"/>
                <w:szCs w:val="21"/>
                <w:lang w:val="en-US" w:eastAsia="zh-CN"/>
              </w:rPr>
            </w:pPr>
            <w:r>
              <w:rPr>
                <w:rFonts w:hint="eastAsia" w:eastAsia="仿宋_GB2312"/>
                <w:color w:val="auto"/>
                <w:sz w:val="21"/>
                <w:szCs w:val="21"/>
                <w:lang w:val="en-US" w:eastAsia="zh-CN"/>
              </w:rPr>
              <w:t>h</w:t>
            </w:r>
          </w:p>
        </w:tc>
        <w:tc>
          <w:tcPr>
            <w:tcW w:w="2127" w:type="dxa"/>
            <w:vAlign w:val="center"/>
          </w:tcPr>
          <w:p>
            <w:pPr>
              <w:spacing w:line="240" w:lineRule="auto"/>
              <w:jc w:val="center"/>
              <w:rPr>
                <w:rFonts w:hint="eastAsia" w:eastAsia="仿宋_GB2312"/>
                <w:color w:val="auto"/>
                <w:sz w:val="21"/>
                <w:szCs w:val="21"/>
                <w:lang w:val="en-US" w:eastAsia="zh-CN"/>
              </w:rPr>
            </w:pPr>
            <w:r>
              <w:rPr>
                <w:rFonts w:eastAsia="仿宋_GB2312"/>
                <w:color w:val="auto"/>
                <w:sz w:val="21"/>
                <w:szCs w:val="21"/>
              </w:rPr>
              <w:t>2462.2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dxa"/>
            <w:vAlign w:val="center"/>
          </w:tcPr>
          <w:p>
            <w:pPr>
              <w:spacing w:line="240" w:lineRule="auto"/>
              <w:jc w:val="center"/>
              <w:rPr>
                <w:rFonts w:ascii="Times New Roman" w:hAnsi="Times New Roman" w:eastAsia="仿宋_GB2312" w:cs="Times New Roman"/>
                <w:color w:val="auto"/>
                <w:sz w:val="21"/>
                <w:szCs w:val="21"/>
                <w:lang w:val="en-US" w:eastAsia="zh-CN" w:bidi="ar-SA"/>
              </w:rPr>
            </w:pPr>
            <w:r>
              <w:rPr>
                <w:rFonts w:eastAsia="仿宋_GB2312"/>
                <w:color w:val="auto"/>
                <w:sz w:val="21"/>
                <w:szCs w:val="21"/>
              </w:rPr>
              <w:t>5</w:t>
            </w:r>
          </w:p>
        </w:tc>
        <w:tc>
          <w:tcPr>
            <w:tcW w:w="3544" w:type="dxa"/>
            <w:vAlign w:val="center"/>
          </w:tcPr>
          <w:p>
            <w:pPr>
              <w:spacing w:line="240" w:lineRule="auto"/>
              <w:jc w:val="center"/>
              <w:rPr>
                <w:rFonts w:eastAsia="仿宋_GB2312"/>
                <w:color w:val="auto"/>
                <w:sz w:val="21"/>
                <w:szCs w:val="21"/>
              </w:rPr>
            </w:pPr>
            <w:r>
              <w:rPr>
                <w:rFonts w:eastAsia="仿宋_GB2312"/>
                <w:color w:val="auto"/>
                <w:sz w:val="21"/>
                <w:szCs w:val="21"/>
              </w:rPr>
              <w:t>无霜期</w:t>
            </w:r>
          </w:p>
        </w:tc>
        <w:tc>
          <w:tcPr>
            <w:tcW w:w="2125" w:type="dxa"/>
            <w:vAlign w:val="center"/>
          </w:tcPr>
          <w:p>
            <w:pPr>
              <w:spacing w:line="240" w:lineRule="auto"/>
              <w:jc w:val="center"/>
              <w:rPr>
                <w:rFonts w:eastAsia="仿宋_GB2312"/>
                <w:color w:val="auto"/>
                <w:sz w:val="21"/>
                <w:szCs w:val="21"/>
              </w:rPr>
            </w:pPr>
            <w:r>
              <w:rPr>
                <w:rFonts w:eastAsia="仿宋_GB2312"/>
                <w:color w:val="auto"/>
                <w:sz w:val="21"/>
                <w:szCs w:val="21"/>
              </w:rPr>
              <w:t>d</w:t>
            </w:r>
          </w:p>
        </w:tc>
        <w:tc>
          <w:tcPr>
            <w:tcW w:w="2127"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dxa"/>
            <w:vAlign w:val="center"/>
          </w:tcPr>
          <w:p>
            <w:pPr>
              <w:spacing w:line="240" w:lineRule="auto"/>
              <w:jc w:val="center"/>
              <w:rPr>
                <w:rFonts w:ascii="Times New Roman" w:hAnsi="Times New Roman" w:eastAsia="仿宋_GB2312" w:cs="Times New Roman"/>
                <w:color w:val="auto"/>
                <w:sz w:val="21"/>
                <w:szCs w:val="21"/>
                <w:lang w:val="en-US" w:eastAsia="zh-CN" w:bidi="ar-SA"/>
              </w:rPr>
            </w:pPr>
            <w:r>
              <w:rPr>
                <w:rFonts w:eastAsia="仿宋_GB2312"/>
                <w:color w:val="auto"/>
                <w:sz w:val="21"/>
                <w:szCs w:val="21"/>
              </w:rPr>
              <w:t>6</w:t>
            </w:r>
          </w:p>
        </w:tc>
        <w:tc>
          <w:tcPr>
            <w:tcW w:w="3544" w:type="dxa"/>
            <w:vAlign w:val="center"/>
          </w:tcPr>
          <w:p>
            <w:pPr>
              <w:spacing w:line="240" w:lineRule="auto"/>
              <w:jc w:val="center"/>
              <w:rPr>
                <w:rFonts w:eastAsia="仿宋_GB2312"/>
                <w:color w:val="auto"/>
                <w:sz w:val="21"/>
                <w:szCs w:val="21"/>
              </w:rPr>
            </w:pPr>
            <w:r>
              <w:rPr>
                <w:rFonts w:hint="eastAsia" w:eastAsia="仿宋_GB2312"/>
                <w:color w:val="auto"/>
                <w:sz w:val="21"/>
                <w:szCs w:val="21"/>
                <w:lang w:val="en-US" w:eastAsia="zh-CN"/>
              </w:rPr>
              <w:t>多</w:t>
            </w:r>
            <w:r>
              <w:rPr>
                <w:rFonts w:eastAsia="仿宋_GB2312"/>
                <w:color w:val="auto"/>
                <w:sz w:val="21"/>
                <w:szCs w:val="21"/>
              </w:rPr>
              <w:t>年平均降水量</w:t>
            </w:r>
          </w:p>
        </w:tc>
        <w:tc>
          <w:tcPr>
            <w:tcW w:w="2125" w:type="dxa"/>
            <w:vAlign w:val="center"/>
          </w:tcPr>
          <w:p>
            <w:pPr>
              <w:spacing w:line="240" w:lineRule="auto"/>
              <w:jc w:val="center"/>
              <w:rPr>
                <w:rFonts w:eastAsia="仿宋_GB2312"/>
                <w:color w:val="auto"/>
                <w:sz w:val="21"/>
                <w:szCs w:val="21"/>
              </w:rPr>
            </w:pPr>
            <w:r>
              <w:rPr>
                <w:rFonts w:eastAsia="仿宋_GB2312"/>
                <w:color w:val="auto"/>
                <w:sz w:val="21"/>
                <w:szCs w:val="21"/>
              </w:rPr>
              <w:t>mm</w:t>
            </w:r>
          </w:p>
        </w:tc>
        <w:tc>
          <w:tcPr>
            <w:tcW w:w="2127"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816.2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dxa"/>
            <w:vAlign w:val="center"/>
          </w:tcPr>
          <w:p>
            <w:pPr>
              <w:spacing w:line="240" w:lineRule="auto"/>
              <w:jc w:val="center"/>
              <w:rPr>
                <w:rFonts w:ascii="Times New Roman" w:hAnsi="Times New Roman" w:eastAsia="仿宋_GB2312" w:cs="Times New Roman"/>
                <w:color w:val="auto"/>
                <w:sz w:val="21"/>
                <w:szCs w:val="21"/>
                <w:lang w:val="en-US" w:eastAsia="zh-CN" w:bidi="ar-SA"/>
              </w:rPr>
            </w:pPr>
            <w:r>
              <w:rPr>
                <w:rFonts w:eastAsia="仿宋_GB2312"/>
                <w:color w:val="auto"/>
                <w:sz w:val="21"/>
                <w:szCs w:val="21"/>
              </w:rPr>
              <w:t>7</w:t>
            </w:r>
          </w:p>
        </w:tc>
        <w:tc>
          <w:tcPr>
            <w:tcW w:w="3544" w:type="dxa"/>
            <w:vAlign w:val="center"/>
          </w:tcPr>
          <w:p>
            <w:pPr>
              <w:spacing w:line="240" w:lineRule="auto"/>
              <w:jc w:val="center"/>
              <w:rPr>
                <w:rFonts w:eastAsia="仿宋_GB2312"/>
                <w:color w:val="auto"/>
                <w:sz w:val="21"/>
                <w:szCs w:val="21"/>
              </w:rPr>
            </w:pPr>
            <w:r>
              <w:rPr>
                <w:rFonts w:hint="eastAsia" w:eastAsia="仿宋_GB2312"/>
                <w:color w:val="auto"/>
                <w:sz w:val="21"/>
                <w:szCs w:val="21"/>
                <w:lang w:val="en-US" w:eastAsia="zh-CN"/>
              </w:rPr>
              <w:t>多</w:t>
            </w:r>
            <w:r>
              <w:rPr>
                <w:rFonts w:eastAsia="仿宋_GB2312"/>
                <w:color w:val="auto"/>
                <w:sz w:val="21"/>
                <w:szCs w:val="21"/>
              </w:rPr>
              <w:t>年平均蒸发量</w:t>
            </w:r>
          </w:p>
        </w:tc>
        <w:tc>
          <w:tcPr>
            <w:tcW w:w="2125" w:type="dxa"/>
            <w:vAlign w:val="center"/>
          </w:tcPr>
          <w:p>
            <w:pPr>
              <w:spacing w:line="240" w:lineRule="auto"/>
              <w:jc w:val="center"/>
              <w:rPr>
                <w:rFonts w:eastAsia="仿宋_GB2312"/>
                <w:color w:val="auto"/>
                <w:sz w:val="21"/>
                <w:szCs w:val="21"/>
              </w:rPr>
            </w:pPr>
            <w:r>
              <w:rPr>
                <w:rFonts w:eastAsia="仿宋_GB2312"/>
                <w:color w:val="auto"/>
                <w:sz w:val="21"/>
                <w:szCs w:val="21"/>
              </w:rPr>
              <w:t>mm</w:t>
            </w:r>
          </w:p>
        </w:tc>
        <w:tc>
          <w:tcPr>
            <w:tcW w:w="2127"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dxa"/>
            <w:vAlign w:val="center"/>
          </w:tcPr>
          <w:p>
            <w:pPr>
              <w:spacing w:line="240" w:lineRule="auto"/>
              <w:jc w:val="center"/>
              <w:rPr>
                <w:rFonts w:hint="eastAsia" w:eastAsia="仿宋_GB2312"/>
                <w:color w:val="auto"/>
                <w:sz w:val="21"/>
                <w:szCs w:val="21"/>
                <w:lang w:val="en-US" w:eastAsia="zh-CN"/>
              </w:rPr>
            </w:pPr>
            <w:r>
              <w:rPr>
                <w:rFonts w:hint="eastAsia" w:eastAsia="仿宋_GB2312"/>
                <w:color w:val="auto"/>
                <w:sz w:val="21"/>
                <w:szCs w:val="21"/>
                <w:lang w:val="en-US" w:eastAsia="zh-CN"/>
              </w:rPr>
              <w:t>8</w:t>
            </w:r>
          </w:p>
        </w:tc>
        <w:tc>
          <w:tcPr>
            <w:tcW w:w="3544" w:type="dxa"/>
            <w:vAlign w:val="center"/>
          </w:tcPr>
          <w:p>
            <w:pPr>
              <w:spacing w:line="240" w:lineRule="auto"/>
              <w:jc w:val="center"/>
              <w:rPr>
                <w:rFonts w:eastAsia="仿宋_GB2312"/>
                <w:color w:val="auto"/>
                <w:sz w:val="21"/>
                <w:szCs w:val="21"/>
              </w:rPr>
            </w:pPr>
            <w:r>
              <w:rPr>
                <w:rFonts w:eastAsia="仿宋_GB2312"/>
                <w:color w:val="auto"/>
                <w:sz w:val="21"/>
                <w:szCs w:val="21"/>
              </w:rPr>
              <w:t>最大冻土深度</w:t>
            </w:r>
          </w:p>
        </w:tc>
        <w:tc>
          <w:tcPr>
            <w:tcW w:w="2125" w:type="dxa"/>
            <w:vAlign w:val="center"/>
          </w:tcPr>
          <w:p>
            <w:pPr>
              <w:spacing w:line="240" w:lineRule="auto"/>
              <w:jc w:val="center"/>
              <w:rPr>
                <w:rFonts w:eastAsia="仿宋_GB2312"/>
                <w:color w:val="auto"/>
                <w:sz w:val="21"/>
                <w:szCs w:val="21"/>
              </w:rPr>
            </w:pPr>
            <w:r>
              <w:rPr>
                <w:rFonts w:eastAsia="仿宋_GB2312"/>
                <w:color w:val="auto"/>
                <w:sz w:val="21"/>
                <w:szCs w:val="21"/>
              </w:rPr>
              <w:t>m</w:t>
            </w:r>
          </w:p>
        </w:tc>
        <w:tc>
          <w:tcPr>
            <w:tcW w:w="2127"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dxa"/>
            <w:vAlign w:val="center"/>
          </w:tcPr>
          <w:p>
            <w:pPr>
              <w:spacing w:line="240" w:lineRule="auto"/>
              <w:jc w:val="center"/>
              <w:rPr>
                <w:rFonts w:hint="eastAsia" w:eastAsia="仿宋_GB2312"/>
                <w:color w:val="auto"/>
                <w:sz w:val="21"/>
                <w:szCs w:val="21"/>
                <w:lang w:val="en-US" w:eastAsia="zh-CN"/>
              </w:rPr>
            </w:pPr>
            <w:r>
              <w:rPr>
                <w:rFonts w:hint="eastAsia" w:eastAsia="仿宋_GB2312"/>
                <w:color w:val="auto"/>
                <w:sz w:val="21"/>
                <w:szCs w:val="21"/>
                <w:lang w:val="en-US" w:eastAsia="zh-CN"/>
              </w:rPr>
              <w:t>9</w:t>
            </w:r>
          </w:p>
        </w:tc>
        <w:tc>
          <w:tcPr>
            <w:tcW w:w="3544" w:type="dxa"/>
            <w:vAlign w:val="center"/>
          </w:tcPr>
          <w:p>
            <w:pPr>
              <w:spacing w:line="240" w:lineRule="auto"/>
              <w:jc w:val="center"/>
              <w:rPr>
                <w:rFonts w:eastAsia="仿宋_GB2312"/>
                <w:color w:val="auto"/>
                <w:sz w:val="21"/>
                <w:szCs w:val="21"/>
              </w:rPr>
            </w:pPr>
            <w:r>
              <w:rPr>
                <w:rFonts w:eastAsia="仿宋_GB2312"/>
                <w:color w:val="auto"/>
                <w:sz w:val="21"/>
                <w:szCs w:val="21"/>
              </w:rPr>
              <w:t>≥10℃积温</w:t>
            </w:r>
          </w:p>
        </w:tc>
        <w:tc>
          <w:tcPr>
            <w:tcW w:w="2125" w:type="dxa"/>
            <w:vAlign w:val="center"/>
          </w:tcPr>
          <w:p>
            <w:pPr>
              <w:spacing w:line="240" w:lineRule="auto"/>
              <w:jc w:val="center"/>
              <w:rPr>
                <w:rFonts w:eastAsia="仿宋_GB2312"/>
                <w:color w:val="auto"/>
                <w:sz w:val="21"/>
                <w:szCs w:val="21"/>
              </w:rPr>
            </w:pPr>
            <w:r>
              <w:rPr>
                <w:rFonts w:eastAsia="仿宋_GB2312"/>
                <w:color w:val="auto"/>
                <w:sz w:val="21"/>
                <w:szCs w:val="21"/>
              </w:rPr>
              <w:t>℃</w:t>
            </w:r>
          </w:p>
        </w:tc>
        <w:tc>
          <w:tcPr>
            <w:tcW w:w="2127"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2950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10</w:t>
            </w:r>
          </w:p>
        </w:tc>
        <w:tc>
          <w:tcPr>
            <w:tcW w:w="3544" w:type="dxa"/>
            <w:vAlign w:val="center"/>
          </w:tcPr>
          <w:p>
            <w:pPr>
              <w:spacing w:line="240" w:lineRule="auto"/>
              <w:jc w:val="center"/>
              <w:rPr>
                <w:rFonts w:eastAsia="仿宋_GB2312"/>
                <w:color w:val="auto"/>
                <w:sz w:val="21"/>
                <w:szCs w:val="21"/>
              </w:rPr>
            </w:pPr>
            <w:r>
              <w:rPr>
                <w:rFonts w:eastAsia="仿宋_GB2312"/>
                <w:color w:val="auto"/>
                <w:sz w:val="21"/>
                <w:szCs w:val="21"/>
              </w:rPr>
              <w:t>平均风速</w:t>
            </w:r>
          </w:p>
        </w:tc>
        <w:tc>
          <w:tcPr>
            <w:tcW w:w="2125" w:type="dxa"/>
            <w:vAlign w:val="center"/>
          </w:tcPr>
          <w:p>
            <w:pPr>
              <w:spacing w:line="240" w:lineRule="auto"/>
              <w:jc w:val="center"/>
              <w:rPr>
                <w:rFonts w:eastAsia="仿宋_GB2312"/>
                <w:color w:val="auto"/>
                <w:sz w:val="21"/>
                <w:szCs w:val="21"/>
              </w:rPr>
            </w:pPr>
            <w:r>
              <w:rPr>
                <w:rFonts w:eastAsia="仿宋_GB2312"/>
                <w:color w:val="auto"/>
                <w:sz w:val="21"/>
                <w:szCs w:val="21"/>
              </w:rPr>
              <w:t>m/s</w:t>
            </w:r>
          </w:p>
        </w:tc>
        <w:tc>
          <w:tcPr>
            <w:tcW w:w="2127"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2.7</w:t>
            </w:r>
          </w:p>
        </w:tc>
      </w:tr>
    </w:tbl>
    <w:p>
      <w:pPr>
        <w:spacing w:line="360" w:lineRule="auto"/>
        <w:jc w:val="both"/>
        <w:rPr>
          <w:rFonts w:eastAsia="仿宋_GB2312"/>
          <w:b/>
          <w:color w:val="auto"/>
          <w:szCs w:val="24"/>
        </w:rPr>
      </w:pPr>
      <w:r>
        <w:rPr>
          <w:rFonts w:eastAsia="仿宋_GB2312"/>
          <w:b/>
          <w:color w:val="auto"/>
          <w:szCs w:val="24"/>
        </w:rPr>
        <w:t>2.7.4水文</w:t>
      </w:r>
    </w:p>
    <w:p>
      <w:pPr>
        <w:snapToGrid w:val="0"/>
        <w:spacing w:line="360" w:lineRule="auto"/>
        <w:ind w:firstLine="480" w:firstLineChars="200"/>
        <w:rPr>
          <w:rFonts w:eastAsia="仿宋_GB2312"/>
          <w:color w:val="auto"/>
        </w:rPr>
      </w:pPr>
      <w:r>
        <w:rPr>
          <w:rFonts w:eastAsia="仿宋_GB2312"/>
          <w:color w:val="auto"/>
          <w:szCs w:val="24"/>
        </w:rPr>
        <w:t xml:space="preserve">抚松境内 10 公里以上的大小江河有 66 条，分属头道松花江、二道松花江水系。因地势东南高西北低，所以大部分江河都流向西北。项目区附近无河流。详见项目区水系图。 </w:t>
      </w:r>
    </w:p>
    <w:p>
      <w:pPr>
        <w:spacing w:line="360" w:lineRule="auto"/>
        <w:jc w:val="both"/>
        <w:rPr>
          <w:rFonts w:eastAsia="仿宋_GB2312"/>
          <w:b/>
          <w:color w:val="auto"/>
          <w:szCs w:val="24"/>
        </w:rPr>
      </w:pPr>
      <w:r>
        <w:rPr>
          <w:rFonts w:eastAsia="仿宋_GB2312"/>
          <w:b/>
          <w:color w:val="auto"/>
          <w:szCs w:val="24"/>
        </w:rPr>
        <w:t>2.7.5土壤</w:t>
      </w:r>
    </w:p>
    <w:p>
      <w:pPr>
        <w:spacing w:line="360" w:lineRule="auto"/>
        <w:ind w:firstLine="480" w:firstLineChars="200"/>
        <w:rPr>
          <w:rFonts w:eastAsia="仿宋_GB2312"/>
          <w:bCs/>
          <w:iCs/>
          <w:color w:val="auto"/>
          <w:szCs w:val="22"/>
        </w:rPr>
      </w:pPr>
      <w:r>
        <w:rPr>
          <w:rFonts w:eastAsia="仿宋_GB2312"/>
          <w:bCs/>
          <w:iCs/>
          <w:color w:val="auto"/>
          <w:szCs w:val="22"/>
        </w:rPr>
        <w:t xml:space="preserve">抚松县所处区域土壤类型主要有暗棕壤土、棕壤土、草甸土及沼泽土等。 </w:t>
      </w:r>
    </w:p>
    <w:p>
      <w:pPr>
        <w:spacing w:line="360" w:lineRule="auto"/>
        <w:ind w:firstLine="480" w:firstLineChars="200"/>
        <w:rPr>
          <w:rFonts w:eastAsia="仿宋_GB2312"/>
          <w:b/>
          <w:bCs/>
          <w:color w:val="auto"/>
        </w:rPr>
      </w:pPr>
      <w:r>
        <w:rPr>
          <w:rFonts w:eastAsia="仿宋_GB2312"/>
          <w:bCs/>
          <w:iCs/>
          <w:color w:val="auto"/>
          <w:szCs w:val="22"/>
        </w:rPr>
        <w:t>工程区土壤类型主要为暗棕壤土，土层厚度 30~50cm，土壤质地为暗棕壤土，土壤抗侵蚀性一般。</w:t>
      </w:r>
      <w:r>
        <w:rPr>
          <w:rFonts w:hint="eastAsia" w:eastAsia="仿宋_GB2312"/>
          <w:bCs/>
          <w:iCs/>
          <w:color w:val="auto"/>
          <w:szCs w:val="22"/>
          <w:lang w:val="en-US" w:eastAsia="zh-CN"/>
        </w:rPr>
        <w:t>项目区为砂石地面</w:t>
      </w:r>
      <w:r>
        <w:rPr>
          <w:rFonts w:eastAsia="仿宋_GB2312"/>
          <w:bCs/>
          <w:iCs/>
          <w:color w:val="auto"/>
          <w:szCs w:val="22"/>
        </w:rPr>
        <w:t>，</w:t>
      </w:r>
      <w:r>
        <w:rPr>
          <w:rFonts w:hint="eastAsia" w:eastAsia="仿宋_GB2312"/>
          <w:bCs/>
          <w:iCs/>
          <w:color w:val="auto"/>
          <w:szCs w:val="22"/>
          <w:lang w:val="en-US" w:eastAsia="zh-CN"/>
        </w:rPr>
        <w:t>无植被，</w:t>
      </w:r>
      <w:r>
        <w:rPr>
          <w:rFonts w:eastAsia="仿宋_GB2312"/>
          <w:bCs/>
          <w:iCs/>
          <w:color w:val="auto"/>
          <w:szCs w:val="22"/>
        </w:rPr>
        <w:t>无可剥离表土。</w:t>
      </w:r>
    </w:p>
    <w:p>
      <w:pPr>
        <w:spacing w:line="360" w:lineRule="auto"/>
        <w:jc w:val="both"/>
        <w:rPr>
          <w:rFonts w:eastAsia="仿宋_GB2312"/>
          <w:b/>
          <w:color w:val="auto"/>
          <w:szCs w:val="24"/>
        </w:rPr>
      </w:pPr>
      <w:r>
        <w:rPr>
          <w:rFonts w:eastAsia="仿宋_GB2312"/>
          <w:b/>
          <w:color w:val="auto"/>
          <w:szCs w:val="24"/>
        </w:rPr>
        <w:t>2.7.6植被</w:t>
      </w:r>
      <w:r>
        <w:rPr>
          <w:rFonts w:hint="eastAsia" w:eastAsia="仿宋_GB2312"/>
          <w:b/>
          <w:color w:val="auto"/>
          <w:szCs w:val="24"/>
        </w:rPr>
        <w:t>类型</w:t>
      </w:r>
    </w:p>
    <w:p>
      <w:pPr>
        <w:spacing w:line="360" w:lineRule="auto"/>
        <w:ind w:firstLine="480" w:firstLineChars="200"/>
        <w:jc w:val="both"/>
        <w:rPr>
          <w:rFonts w:eastAsia="仿宋_GB2312"/>
          <w:color w:val="auto"/>
          <w:szCs w:val="24"/>
        </w:rPr>
      </w:pPr>
      <w:r>
        <w:rPr>
          <w:rFonts w:eastAsia="仿宋_GB2312"/>
          <w:color w:val="auto"/>
          <w:szCs w:val="24"/>
        </w:rPr>
        <w:t>该区属于</w:t>
      </w:r>
      <w:r>
        <w:rPr>
          <w:rFonts w:eastAsia="仿宋_GB2312"/>
          <w:color w:val="auto"/>
          <w:szCs w:val="24"/>
        </w:rPr>
        <w:t>长白植物区系</w:t>
      </w:r>
      <w:r>
        <w:rPr>
          <w:rFonts w:eastAsia="仿宋_GB2312"/>
          <w:color w:val="auto"/>
          <w:szCs w:val="24"/>
        </w:rPr>
        <w:t>，植物资源丰富，区域属温带针、阔混交林区域。针叶树种以红松、沙冷杉等为主，阔叶树以水曲柳、山杨、白桦等为主。</w:t>
      </w:r>
    </w:p>
    <w:p>
      <w:pPr>
        <w:spacing w:line="360" w:lineRule="auto"/>
        <w:ind w:firstLine="480" w:firstLineChars="200"/>
        <w:jc w:val="both"/>
        <w:rPr>
          <w:rFonts w:hint="eastAsia" w:eastAsia="仿宋_GB2312"/>
          <w:color w:val="auto"/>
          <w:szCs w:val="24"/>
          <w:lang w:val="en-US" w:eastAsia="zh-CN"/>
        </w:rPr>
      </w:pPr>
      <w:r>
        <w:rPr>
          <w:rFonts w:hint="eastAsia" w:eastAsia="仿宋_GB2312"/>
          <w:color w:val="auto"/>
          <w:szCs w:val="24"/>
          <w:lang w:val="en-US" w:eastAsia="zh-CN"/>
        </w:rPr>
        <w:t>工程建设区租用</w:t>
      </w:r>
      <w:r>
        <w:rPr>
          <w:rFonts w:hint="default" w:eastAsia="仿宋_GB2312"/>
          <w:color w:val="auto"/>
          <w:szCs w:val="24"/>
          <w:highlight w:val="none"/>
          <w:lang w:eastAsia="zh-CN"/>
        </w:rPr>
        <w:t>原民富砖瓦陶瓷厂空地</w:t>
      </w:r>
      <w:r>
        <w:rPr>
          <w:rFonts w:hint="eastAsia" w:eastAsia="仿宋_GB2312"/>
          <w:color w:val="auto"/>
          <w:szCs w:val="24"/>
          <w:highlight w:val="none"/>
          <w:lang w:eastAsia="zh-CN"/>
        </w:rPr>
        <w:t>，</w:t>
      </w:r>
      <w:r>
        <w:rPr>
          <w:rFonts w:hint="eastAsia" w:eastAsia="仿宋_GB2312"/>
          <w:color w:val="auto"/>
          <w:szCs w:val="24"/>
          <w:highlight w:val="none"/>
          <w:lang w:val="en-US" w:eastAsia="zh-CN"/>
        </w:rPr>
        <w:t>无</w:t>
      </w:r>
      <w:r>
        <w:rPr>
          <w:rFonts w:hint="default" w:ascii="Times New Roman" w:hAnsi="Times New Roman" w:eastAsia="仿宋_GB2312" w:cs="Times New Roman"/>
          <w:color w:val="auto"/>
          <w:sz w:val="24"/>
          <w:highlight w:val="none"/>
        </w:rPr>
        <w:t>林草植被覆盖</w:t>
      </w:r>
      <w:r>
        <w:rPr>
          <w:rFonts w:hint="eastAsia" w:eastAsia="仿宋_GB2312" w:cs="Times New Roman"/>
          <w:color w:val="auto"/>
          <w:sz w:val="24"/>
          <w:highlight w:val="none"/>
          <w:lang w:eastAsia="zh-CN"/>
        </w:rPr>
        <w:t>。</w:t>
      </w:r>
    </w:p>
    <w:p>
      <w:pPr>
        <w:spacing w:line="360" w:lineRule="auto"/>
        <w:jc w:val="both"/>
        <w:rPr>
          <w:rFonts w:eastAsia="仿宋_GB2312"/>
          <w:b/>
          <w:color w:val="auto"/>
          <w:szCs w:val="24"/>
        </w:rPr>
      </w:pPr>
      <w:r>
        <w:rPr>
          <w:rFonts w:eastAsia="仿宋_GB2312"/>
          <w:b/>
          <w:color w:val="auto"/>
          <w:szCs w:val="24"/>
        </w:rPr>
        <w:t>2.7.7水土保持敏感区</w:t>
      </w:r>
    </w:p>
    <w:p>
      <w:pPr>
        <w:spacing w:line="360" w:lineRule="auto"/>
        <w:ind w:firstLine="480" w:firstLineChars="200"/>
        <w:jc w:val="both"/>
        <w:rPr>
          <w:rFonts w:eastAsia="仿宋_GB2312"/>
          <w:color w:val="auto"/>
        </w:rPr>
      </w:pPr>
      <w:r>
        <w:rPr>
          <w:rFonts w:eastAsia="仿宋_GB2312"/>
          <w:color w:val="auto"/>
        </w:rPr>
        <w:t>项目区位于</w:t>
      </w:r>
      <w:r>
        <w:rPr>
          <w:rFonts w:hint="eastAsia" w:eastAsia="仿宋_GB2312"/>
          <w:color w:val="auto"/>
          <w:lang w:val="en-US" w:eastAsia="zh-CN"/>
        </w:rPr>
        <w:t>抚松县境内</w:t>
      </w:r>
      <w:r>
        <w:rPr>
          <w:rFonts w:eastAsia="仿宋_GB2312"/>
          <w:color w:val="auto"/>
        </w:rPr>
        <w:t>，根据《吉林省水土保持规划》（2016-2030 年），项目区属于长白山国家级水土流失重点预防区，项目区不涉及饮用水水源保护区、水功能一级区的保护区和保留区、自然保护区、世界文化和自然遗产地、风景名胜区、地质公园、森林公园、重要湿地等</w:t>
      </w:r>
      <w:r>
        <w:rPr>
          <w:rFonts w:hint="eastAsia" w:eastAsia="仿宋_GB2312"/>
          <w:color w:val="auto"/>
          <w:lang w:eastAsia="zh-CN"/>
        </w:rPr>
        <w:t>，</w:t>
      </w:r>
      <w:r>
        <w:rPr>
          <w:rFonts w:hint="default" w:ascii="Times New Roman" w:hAnsi="Times New Roman" w:eastAsia="仿宋_GB2312" w:cs="Times New Roman"/>
          <w:snapToGrid w:val="0"/>
          <w:color w:val="auto"/>
          <w:sz w:val="24"/>
        </w:rPr>
        <w:t>不涉及其它水土保持敏感区</w:t>
      </w:r>
      <w:r>
        <w:rPr>
          <w:rFonts w:eastAsia="仿宋_GB2312"/>
          <w:color w:val="auto"/>
        </w:rPr>
        <w:t>。</w:t>
      </w:r>
    </w:p>
    <w:p>
      <w:pPr>
        <w:spacing w:line="360" w:lineRule="auto"/>
        <w:ind w:firstLine="480" w:firstLineChars="200"/>
        <w:jc w:val="both"/>
        <w:rPr>
          <w:rFonts w:eastAsia="仿宋_GB2312"/>
          <w:color w:val="auto"/>
        </w:rPr>
      </w:pPr>
    </w:p>
    <w:p>
      <w:pPr>
        <w:spacing w:line="360" w:lineRule="auto"/>
        <w:ind w:firstLine="480" w:firstLineChars="200"/>
        <w:jc w:val="both"/>
        <w:rPr>
          <w:rFonts w:eastAsia="仿宋_GB2312"/>
          <w:color w:val="auto"/>
        </w:rPr>
      </w:pPr>
    </w:p>
    <w:p>
      <w:pPr>
        <w:spacing w:line="360" w:lineRule="auto"/>
        <w:ind w:firstLine="480" w:firstLineChars="200"/>
        <w:jc w:val="both"/>
        <w:rPr>
          <w:rFonts w:eastAsia="仿宋_GB2312"/>
          <w:color w:val="auto"/>
        </w:rPr>
        <w:sectPr>
          <w:pgSz w:w="11906" w:h="16838"/>
          <w:pgMar w:top="1440" w:right="1797" w:bottom="1440" w:left="1797" w:header="851" w:footer="992" w:gutter="0"/>
          <w:pgNumType w:fmt="decimal"/>
          <w:cols w:space="720" w:num="1"/>
          <w:docGrid w:linePitch="312" w:charSpace="0"/>
        </w:sectPr>
      </w:pPr>
    </w:p>
    <w:p>
      <w:pPr>
        <w:pStyle w:val="4"/>
        <w:spacing w:before="0" w:after="0" w:line="360" w:lineRule="auto"/>
        <w:rPr>
          <w:rFonts w:eastAsia="仿宋_GB2312"/>
          <w:color w:val="auto"/>
          <w:sz w:val="28"/>
          <w:szCs w:val="28"/>
        </w:rPr>
      </w:pPr>
      <w:bookmarkStart w:id="36" w:name="_Toc29591"/>
      <w:r>
        <w:rPr>
          <w:rFonts w:eastAsia="仿宋_GB2312"/>
          <w:color w:val="auto"/>
          <w:sz w:val="28"/>
          <w:szCs w:val="28"/>
        </w:rPr>
        <w:t>3.项目水土保持评价</w:t>
      </w:r>
      <w:bookmarkEnd w:id="36"/>
    </w:p>
    <w:p>
      <w:pPr>
        <w:pStyle w:val="5"/>
        <w:spacing w:before="0" w:after="0" w:line="360" w:lineRule="auto"/>
        <w:rPr>
          <w:rFonts w:ascii="Times New Roman" w:hAnsi="Times New Roman" w:eastAsia="仿宋_GB2312"/>
          <w:color w:val="auto"/>
          <w:sz w:val="28"/>
          <w:szCs w:val="28"/>
        </w:rPr>
      </w:pPr>
      <w:bookmarkStart w:id="37" w:name="_Toc23088"/>
      <w:r>
        <w:rPr>
          <w:rFonts w:ascii="Times New Roman" w:hAnsi="Times New Roman" w:eastAsia="仿宋_GB2312"/>
          <w:color w:val="auto"/>
          <w:sz w:val="28"/>
          <w:szCs w:val="28"/>
        </w:rPr>
        <w:t>3.1主体工程选址水土保持评价</w:t>
      </w:r>
      <w:bookmarkEnd w:id="37"/>
    </w:p>
    <w:p>
      <w:pPr>
        <w:pStyle w:val="48"/>
        <w:ind w:firstLine="480"/>
        <w:rPr>
          <w:rFonts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rPr>
        <w:t>结合《中华人民共和国水土保持法》及《生产建设项目水土保持技术标准》（GB50433-2018）对工程选址水土保持制约因素进行分析和评价</w:t>
      </w:r>
      <w:r>
        <w:rPr>
          <w:rFonts w:hint="eastAsia" w:ascii="Times New Roman" w:hAnsi="Times New Roman" w:eastAsia="仿宋_GB2312" w:cs="Times New Roman"/>
          <w:color w:val="auto"/>
          <w:sz w:val="24"/>
          <w:lang w:eastAsia="zh-CN"/>
        </w:rPr>
        <w:t>，</w:t>
      </w:r>
      <w:r>
        <w:rPr>
          <w:rFonts w:ascii="Times New Roman" w:hAnsi="Times New Roman" w:eastAsia="仿宋_GB2312" w:cs="Times New Roman"/>
          <w:color w:val="auto"/>
          <w:sz w:val="24"/>
          <w:szCs w:val="24"/>
        </w:rPr>
        <w:t>评价结果见表3-1。</w:t>
      </w:r>
    </w:p>
    <w:p>
      <w:pPr>
        <w:jc w:val="center"/>
        <w:rPr>
          <w:rFonts w:eastAsia="仿宋_GB2312"/>
          <w:b/>
          <w:bCs/>
          <w:color w:val="auto"/>
        </w:rPr>
      </w:pPr>
      <w:r>
        <w:rPr>
          <w:rFonts w:eastAsia="仿宋_GB2312"/>
          <w:b/>
          <w:bCs/>
          <w:color w:val="auto"/>
        </w:rPr>
        <w:t>表3-1  主体工程选址制约性因素对照分析表</w:t>
      </w:r>
    </w:p>
    <w:tbl>
      <w:tblPr>
        <w:tblStyle w:val="24"/>
        <w:tblW w:w="833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3083"/>
        <w:gridCol w:w="3149"/>
        <w:gridCol w:w="14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序号</w:t>
            </w:r>
          </w:p>
        </w:tc>
        <w:tc>
          <w:tcPr>
            <w:tcW w:w="3083"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约束性条件</w:t>
            </w:r>
          </w:p>
        </w:tc>
        <w:tc>
          <w:tcPr>
            <w:tcW w:w="3149"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主体工程情况</w:t>
            </w:r>
          </w:p>
        </w:tc>
        <w:tc>
          <w:tcPr>
            <w:tcW w:w="1423"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符合性规定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3083" w:type="dxa"/>
            <w:noWrap w:val="0"/>
            <w:vAlign w:val="top"/>
          </w:tcPr>
          <w:p>
            <w:pPr>
              <w:ind w:firstLine="360" w:firstLineChars="200"/>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是否避让水土流失重点预防保护区和重点治理区。对涉及和影响到饮水安全、防洪安全、水资源安全等的项目必须严格避让；对无法避让的重要基础设施建设、重要民生工程、国防工程等项目，应提高防治标准，严格控制扰动地表和植被损坏范围、减少工程占地、加强工程管理、优化施工工艺的要求。</w:t>
            </w:r>
          </w:p>
        </w:tc>
        <w:tc>
          <w:tcPr>
            <w:tcW w:w="3149" w:type="dxa"/>
            <w:noWrap w:val="0"/>
            <w:vAlign w:val="top"/>
          </w:tcPr>
          <w:p>
            <w:pPr>
              <w:ind w:firstLine="360" w:firstLineChars="200"/>
              <w:jc w:val="left"/>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项目区属于</w:t>
            </w:r>
            <w:r>
              <w:rPr>
                <w:rFonts w:hint="eastAsia" w:eastAsia="仿宋_GB2312" w:cs="Times New Roman"/>
                <w:color w:val="auto"/>
                <w:sz w:val="18"/>
                <w:szCs w:val="18"/>
                <w:highlight w:val="none"/>
                <w:lang w:eastAsia="zh-CN"/>
              </w:rPr>
              <w:t>长白山国家级水土流失重点预防区</w:t>
            </w:r>
            <w:r>
              <w:rPr>
                <w:rFonts w:hint="default" w:ascii="Times New Roman" w:hAnsi="Times New Roman" w:eastAsia="仿宋_GB2312" w:cs="Times New Roman"/>
                <w:snapToGrid w:val="0"/>
                <w:color w:val="auto"/>
                <w:sz w:val="18"/>
                <w:szCs w:val="18"/>
              </w:rPr>
              <w:t>。本项目提高了防治标准，工程施工优化了施工工艺，减少扰动和植被损坏范围，有效控制可能造成的水土流失；工程未涉及和影响到饮水安全、防洪安全、水资源安全；工程未占用重要基础设施建设、重要民生工程、国防工程。</w:t>
            </w:r>
          </w:p>
        </w:tc>
        <w:tc>
          <w:tcPr>
            <w:tcW w:w="1423"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基本符合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3083" w:type="dxa"/>
            <w:noWrap w:val="0"/>
            <w:vAlign w:val="top"/>
          </w:tcPr>
          <w:p>
            <w:pPr>
              <w:ind w:firstLine="360" w:firstLineChars="20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是否处于水土流失严重、生态脆弱的地区。</w:t>
            </w:r>
          </w:p>
        </w:tc>
        <w:tc>
          <w:tcPr>
            <w:tcW w:w="3149" w:type="dxa"/>
            <w:noWrap w:val="0"/>
            <w:vAlign w:val="top"/>
          </w:tcPr>
          <w:p>
            <w:pPr>
              <w:ind w:firstLine="360" w:firstLineChars="200"/>
              <w:jc w:val="left"/>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本项目不属于水土流失严重、生态脆弱的地区。</w:t>
            </w:r>
          </w:p>
        </w:tc>
        <w:tc>
          <w:tcPr>
            <w:tcW w:w="1423"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3083" w:type="dxa"/>
            <w:noWrap w:val="0"/>
            <w:vAlign w:val="top"/>
          </w:tcPr>
          <w:p>
            <w:pPr>
              <w:ind w:firstLine="360" w:firstLineChars="20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是否避让了泥石流易发区、崩塌滑坡危险区以及易引起严重水土流失和生态恶化的地区。</w:t>
            </w:r>
          </w:p>
        </w:tc>
        <w:tc>
          <w:tcPr>
            <w:tcW w:w="3149" w:type="dxa"/>
            <w:noWrap w:val="0"/>
            <w:vAlign w:val="top"/>
          </w:tcPr>
          <w:p>
            <w:pPr>
              <w:ind w:firstLine="360" w:firstLineChars="200"/>
              <w:jc w:val="left"/>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本工程不在泥石流易发区、崩塌滑坡危险区以及易引起严重水土流失和生态恶化的地区。</w:t>
            </w:r>
          </w:p>
        </w:tc>
        <w:tc>
          <w:tcPr>
            <w:tcW w:w="1423"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w:t>
            </w:r>
          </w:p>
        </w:tc>
        <w:tc>
          <w:tcPr>
            <w:tcW w:w="3083" w:type="dxa"/>
            <w:noWrap w:val="0"/>
            <w:vAlign w:val="top"/>
          </w:tcPr>
          <w:p>
            <w:pPr>
              <w:ind w:firstLine="360" w:firstLineChars="20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是否避开了全国水土保持监测网络中的水土保持监测站点、重点试验区，是否占用了国家确定的水土保持长期定位观测站。</w:t>
            </w:r>
          </w:p>
        </w:tc>
        <w:tc>
          <w:tcPr>
            <w:tcW w:w="3149" w:type="dxa"/>
            <w:noWrap w:val="0"/>
            <w:vAlign w:val="top"/>
          </w:tcPr>
          <w:p>
            <w:pPr>
              <w:ind w:firstLine="360" w:firstLineChars="200"/>
              <w:jc w:val="left"/>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本工程不在全国水土保持监测网络中的水土保持监测站点、重点试验区，未占用国家确定的水土保持长期定位观测站。</w:t>
            </w:r>
          </w:p>
        </w:tc>
        <w:tc>
          <w:tcPr>
            <w:tcW w:w="1423"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w:t>
            </w:r>
          </w:p>
        </w:tc>
        <w:tc>
          <w:tcPr>
            <w:tcW w:w="3083" w:type="dxa"/>
            <w:noWrap w:val="0"/>
            <w:vAlign w:val="top"/>
          </w:tcPr>
          <w:p>
            <w:pPr>
              <w:ind w:firstLine="360" w:firstLineChars="20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是否处于河流两岸、湖泊和水库周边的植物保护带。</w:t>
            </w:r>
          </w:p>
        </w:tc>
        <w:tc>
          <w:tcPr>
            <w:tcW w:w="3149" w:type="dxa"/>
            <w:noWrap w:val="0"/>
            <w:vAlign w:val="top"/>
          </w:tcPr>
          <w:p>
            <w:pPr>
              <w:ind w:firstLine="360" w:firstLineChars="200"/>
              <w:jc w:val="left"/>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项目区不在河流两岸、湖泊和水库周边的植物保护带内。</w:t>
            </w:r>
          </w:p>
        </w:tc>
        <w:tc>
          <w:tcPr>
            <w:tcW w:w="1423" w:type="dxa"/>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w:t>
            </w:r>
          </w:p>
        </w:tc>
      </w:tr>
    </w:tbl>
    <w:p>
      <w:pPr>
        <w:pStyle w:val="2"/>
        <w:spacing w:line="240" w:lineRule="auto"/>
        <w:ind w:left="0" w:leftChars="0" w:firstLine="480" w:firstLineChars="200"/>
        <w:rPr>
          <w:rFonts w:hint="default" w:eastAsia="仿宋_GB2312"/>
          <w:b w:val="0"/>
          <w:bCs w:val="0"/>
          <w:color w:val="auto"/>
          <w:sz w:val="24"/>
          <w:szCs w:val="24"/>
        </w:rPr>
      </w:pPr>
    </w:p>
    <w:p>
      <w:pPr>
        <w:pStyle w:val="2"/>
        <w:spacing w:line="360" w:lineRule="auto"/>
        <w:ind w:left="0" w:leftChars="0" w:firstLine="480" w:firstLineChars="200"/>
        <w:rPr>
          <w:rFonts w:eastAsia="仿宋_GB2312"/>
          <w:b w:val="0"/>
          <w:bCs w:val="0"/>
          <w:color w:val="auto"/>
          <w:sz w:val="24"/>
          <w:szCs w:val="24"/>
        </w:rPr>
      </w:pPr>
      <w:r>
        <w:rPr>
          <w:rFonts w:hint="default" w:eastAsia="仿宋_GB2312"/>
          <w:b w:val="0"/>
          <w:bCs w:val="0"/>
          <w:color w:val="auto"/>
          <w:sz w:val="24"/>
          <w:szCs w:val="24"/>
        </w:rPr>
        <w:t>综上，本方案根据《中华人民共和国水土保持法》及《生产建设项目水土保持技术标准》（GB50433-2018）对水土保持制约因素作了一一排查，本项目选址不位于河流两岸、湖泊和水库周边的植物保护带；不位于全国水土保持监测网络中的水土保持监测站点、重点试验区及国家确定的水土保持长期定位观测点，项目未能避开</w:t>
      </w:r>
      <w:r>
        <w:rPr>
          <w:rFonts w:hint="eastAsia" w:eastAsia="仿宋_GB2312"/>
          <w:b w:val="0"/>
          <w:bCs w:val="0"/>
          <w:color w:val="auto"/>
          <w:sz w:val="24"/>
          <w:szCs w:val="24"/>
          <w:lang w:eastAsia="zh-CN"/>
        </w:rPr>
        <w:t>长白山国家级水土流失重点预防区</w:t>
      </w:r>
      <w:r>
        <w:rPr>
          <w:rFonts w:hint="default" w:eastAsia="仿宋_GB2312"/>
          <w:b w:val="0"/>
          <w:bCs w:val="0"/>
          <w:color w:val="auto"/>
          <w:sz w:val="24"/>
          <w:szCs w:val="24"/>
        </w:rPr>
        <w:t>，符合水土保持约束性规定，主体工程选址方案可行。</w:t>
      </w:r>
    </w:p>
    <w:p>
      <w:pPr>
        <w:pStyle w:val="5"/>
        <w:spacing w:before="0" w:after="0" w:line="360" w:lineRule="auto"/>
        <w:rPr>
          <w:rFonts w:ascii="Times New Roman" w:hAnsi="Times New Roman" w:eastAsia="仿宋_GB2312"/>
          <w:color w:val="auto"/>
          <w:sz w:val="28"/>
          <w:szCs w:val="28"/>
        </w:rPr>
      </w:pPr>
      <w:bookmarkStart w:id="38" w:name="_Toc9366"/>
      <w:r>
        <w:rPr>
          <w:rFonts w:ascii="Times New Roman" w:hAnsi="Times New Roman" w:eastAsia="仿宋_GB2312"/>
          <w:color w:val="auto"/>
          <w:sz w:val="28"/>
          <w:szCs w:val="28"/>
        </w:rPr>
        <w:t>3.2建设方案与布局水土保持评价</w:t>
      </w:r>
      <w:bookmarkEnd w:id="38"/>
    </w:p>
    <w:p>
      <w:pPr>
        <w:spacing w:line="360" w:lineRule="auto"/>
        <w:jc w:val="both"/>
        <w:rPr>
          <w:rFonts w:eastAsia="仿宋_GB2312"/>
          <w:b/>
          <w:color w:val="auto"/>
          <w:szCs w:val="24"/>
        </w:rPr>
      </w:pPr>
      <w:r>
        <w:rPr>
          <w:rFonts w:eastAsia="仿宋_GB2312"/>
          <w:b/>
          <w:color w:val="auto"/>
          <w:szCs w:val="24"/>
        </w:rPr>
        <w:t>3.2.1建设方案评价</w:t>
      </w:r>
    </w:p>
    <w:p>
      <w:pPr>
        <w:spacing w:line="360" w:lineRule="auto"/>
        <w:ind w:firstLine="480" w:firstLineChars="200"/>
        <w:jc w:val="both"/>
        <w:rPr>
          <w:color w:val="auto"/>
          <w:lang w:val="zh-CN"/>
        </w:rPr>
      </w:pPr>
      <w:r>
        <w:rPr>
          <w:rFonts w:hint="default" w:ascii="Times New Roman" w:hAnsi="Times New Roman" w:eastAsia="仿宋_GB2312" w:cs="Times New Roman"/>
          <w:bCs/>
          <w:color w:val="auto"/>
        </w:rPr>
        <w:t>本项目涉及</w:t>
      </w:r>
      <w:r>
        <w:rPr>
          <w:rFonts w:hint="eastAsia" w:eastAsia="仿宋_GB2312"/>
          <w:b w:val="0"/>
          <w:bCs w:val="0"/>
          <w:color w:val="auto"/>
          <w:sz w:val="24"/>
          <w:szCs w:val="24"/>
          <w:lang w:eastAsia="zh-CN"/>
        </w:rPr>
        <w:t>长白山国家级水土流失重点预防区</w:t>
      </w:r>
      <w:r>
        <w:rPr>
          <w:rFonts w:hint="default" w:ascii="Times New Roman" w:hAnsi="Times New Roman" w:eastAsia="仿宋_GB2312" w:cs="Times New Roman"/>
          <w:bCs/>
          <w:color w:val="auto"/>
        </w:rPr>
        <w:t>，水土流失防治执行东北黑土区水土流失防治一级标准。</w:t>
      </w:r>
      <w:r>
        <w:rPr>
          <w:rFonts w:eastAsia="仿宋_GB2312"/>
          <w:color w:val="auto"/>
          <w:szCs w:val="24"/>
        </w:rPr>
        <w:t>本项目总平面布局合理紧凑，施工生产生活区及临时堆土场布置在工程建设区内；竖向布置采取平坡式布置方式，</w:t>
      </w:r>
      <w:r>
        <w:rPr>
          <w:rFonts w:hint="eastAsia" w:eastAsia="仿宋_GB2312"/>
          <w:color w:val="auto"/>
          <w:szCs w:val="24"/>
          <w:lang w:val="en-US" w:eastAsia="zh-CN"/>
        </w:rPr>
        <w:t>雨水采取散排方式；</w:t>
      </w:r>
      <w:r>
        <w:rPr>
          <w:rFonts w:eastAsia="仿宋_GB2312"/>
          <w:color w:val="auto"/>
          <w:szCs w:val="24"/>
        </w:rPr>
        <w:t>施工道路利用</w:t>
      </w:r>
      <w:r>
        <w:rPr>
          <w:rFonts w:hint="eastAsia" w:eastAsia="仿宋_GB2312"/>
          <w:color w:val="auto"/>
          <w:szCs w:val="24"/>
          <w:lang w:val="en-US" w:eastAsia="zh-CN"/>
        </w:rPr>
        <w:t>既有</w:t>
      </w:r>
      <w:r>
        <w:rPr>
          <w:rFonts w:eastAsia="仿宋_GB2312"/>
          <w:color w:val="auto"/>
          <w:szCs w:val="24"/>
        </w:rPr>
        <w:t>道路，工程建设方案总体布局在充分利用现有条件的前提下，尽量满足工程布局合理、交通运输方便、节约国土资源、减少土石方量的要求，本项目位于</w:t>
      </w:r>
      <w:r>
        <w:rPr>
          <w:rFonts w:hint="eastAsia" w:eastAsia="仿宋_GB2312"/>
          <w:color w:val="auto"/>
          <w:szCs w:val="24"/>
          <w:lang w:val="en-US" w:eastAsia="zh-CN"/>
        </w:rPr>
        <w:t>农村地区，主体工程未设计绿化</w:t>
      </w:r>
      <w:r>
        <w:rPr>
          <w:rFonts w:eastAsia="仿宋_GB2312"/>
          <w:color w:val="auto"/>
          <w:szCs w:val="24"/>
        </w:rPr>
        <w:t>。</w:t>
      </w:r>
    </w:p>
    <w:p>
      <w:pPr>
        <w:spacing w:line="360" w:lineRule="auto"/>
        <w:jc w:val="both"/>
        <w:rPr>
          <w:rFonts w:eastAsia="仿宋_GB2312"/>
          <w:b/>
          <w:color w:val="auto"/>
          <w:szCs w:val="24"/>
        </w:rPr>
      </w:pPr>
      <w:r>
        <w:rPr>
          <w:rFonts w:eastAsia="仿宋_GB2312"/>
          <w:b/>
          <w:color w:val="auto"/>
          <w:szCs w:val="24"/>
        </w:rPr>
        <w:t>3.2.2工程占地评价</w:t>
      </w:r>
    </w:p>
    <w:p>
      <w:pPr>
        <w:spacing w:line="360" w:lineRule="auto"/>
        <w:ind w:firstLine="480" w:firstLineChars="200"/>
        <w:rPr>
          <w:rFonts w:eastAsia="仿宋_GB2312"/>
          <w:color w:val="auto"/>
          <w:szCs w:val="24"/>
        </w:rPr>
      </w:pPr>
      <w:r>
        <w:rPr>
          <w:rFonts w:hint="default" w:ascii="Times New Roman" w:hAnsi="Times New Roman" w:eastAsia="仿宋_GB2312" w:cs="Times New Roman"/>
          <w:color w:val="auto"/>
        </w:rPr>
        <w:t xml:space="preserve">本项目占地面积为 </w:t>
      </w:r>
      <w:r>
        <w:rPr>
          <w:rFonts w:hint="eastAsia" w:ascii="Times New Roman" w:hAnsi="Times New Roman" w:eastAsia="仿宋_GB2312" w:cs="Times New Roman"/>
          <w:color w:val="auto"/>
          <w:lang w:val="en-US" w:eastAsia="zh-CN"/>
        </w:rPr>
        <w:t>0.67</w:t>
      </w:r>
      <w:r>
        <w:rPr>
          <w:rFonts w:hint="default" w:ascii="Times New Roman" w:hAnsi="Times New Roman" w:eastAsia="仿宋_GB2312" w:cs="Times New Roman"/>
          <w:color w:val="auto"/>
        </w:rPr>
        <w:t>hm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，占地性质为永久占地，占地类型为</w:t>
      </w:r>
      <w:r>
        <w:rPr>
          <w:rFonts w:hint="eastAsia" w:ascii="Times New Roman" w:hAnsi="Times New Roman" w:eastAsia="仿宋_GB2312" w:cs="Times New Roman"/>
          <w:color w:val="auto"/>
          <w:sz w:val="24"/>
          <w:highlight w:val="none"/>
          <w:lang w:val="en-US" w:eastAsia="zh-CN"/>
        </w:rPr>
        <w:t>工矿仓储用地</w:t>
      </w:r>
      <w:r>
        <w:rPr>
          <w:rFonts w:hint="eastAsia" w:eastAsia="仿宋_GB2312" w:cs="Times New Roman"/>
          <w:color w:val="auto"/>
          <w:sz w:val="24"/>
          <w:highlight w:val="none"/>
          <w:lang w:val="en-US" w:eastAsia="zh-CN"/>
        </w:rPr>
        <w:t>，项目占地类型符合建设用地规划要求</w:t>
      </w:r>
      <w:r>
        <w:rPr>
          <w:rFonts w:hint="default" w:ascii="Times New Roman" w:hAnsi="Times New Roman" w:eastAsia="仿宋_GB2312" w:cs="Times New Roman"/>
          <w:color w:val="auto"/>
        </w:rPr>
        <w:t>。通过对项目占地类型、占地性质和工程布局的分析，工程不占用水浇地、水田及基本农田，对当地土地生产力及土地承载力无影响，对自然植被的破坏程度较小，符合水土保持要求。</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工程施工期间的活动、材料及设备运输充分利用场外既有道路，项目区内道路</w:t>
      </w:r>
      <w:r>
        <w:rPr>
          <w:rFonts w:hint="eastAsia" w:ascii="Times New Roman" w:hAnsi="Times New Roman" w:eastAsia="仿宋_GB2312" w:cs="Times New Roman"/>
          <w:color w:val="auto"/>
          <w:sz w:val="24"/>
          <w:lang w:val="en-US" w:eastAsia="zh-CN"/>
        </w:rPr>
        <w:t>采用砂石路面，满足施工运输要求</w:t>
      </w:r>
      <w:r>
        <w:rPr>
          <w:rFonts w:hint="default" w:ascii="Times New Roman" w:hAnsi="Times New Roman" w:eastAsia="仿宋_GB2312" w:cs="Times New Roman"/>
          <w:color w:val="auto"/>
          <w:sz w:val="24"/>
        </w:rPr>
        <w:t>。施工生产生活区位于项目占地范围内，不在永久征地范围外另行设置临时道路，减少扰动地表面积。根据现场调查和查阅施工资料，从主体工程来看，项目各项组成部分占地明确，不存在漏项，设施齐全。</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项目总平面布置在满足主体工程要求的基础上尽可能少占地，施工过程中尽可能减少占地范围，从而减少新增水土流失的可能性，从水土保持角度分析，该项工程占地是合理的。</w:t>
      </w:r>
    </w:p>
    <w:p>
      <w:pPr>
        <w:spacing w:line="360" w:lineRule="auto"/>
        <w:jc w:val="both"/>
        <w:rPr>
          <w:rFonts w:eastAsia="仿宋_GB2312"/>
          <w:b/>
          <w:color w:val="auto"/>
          <w:szCs w:val="24"/>
        </w:rPr>
      </w:pPr>
      <w:r>
        <w:rPr>
          <w:rFonts w:eastAsia="仿宋_GB2312"/>
          <w:b/>
          <w:color w:val="auto"/>
          <w:szCs w:val="24"/>
        </w:rPr>
        <w:t>3.2.3土石方平衡评价</w:t>
      </w:r>
    </w:p>
    <w:p>
      <w:pPr>
        <w:pStyle w:val="99"/>
        <w:spacing w:line="360" w:lineRule="auto"/>
        <w:ind w:firstLine="480"/>
        <w:rPr>
          <w:rFonts w:eastAsia="仿宋_GB2312"/>
          <w:color w:val="auto"/>
        </w:rPr>
      </w:pPr>
      <w:r>
        <w:rPr>
          <w:rFonts w:eastAsia="仿宋_GB2312"/>
          <w:color w:val="auto"/>
          <w:kern w:val="0"/>
          <w:szCs w:val="20"/>
        </w:rPr>
        <w:t>（1）表土分析评价</w:t>
      </w:r>
    </w:p>
    <w:p>
      <w:pPr>
        <w:spacing w:line="360" w:lineRule="auto"/>
        <w:ind w:firstLine="480" w:firstLineChars="200"/>
        <w:jc w:val="both"/>
        <w:rPr>
          <w:rFonts w:eastAsia="仿宋_GB2312"/>
          <w:color w:val="auto"/>
        </w:rPr>
      </w:pPr>
      <w:r>
        <w:rPr>
          <w:rFonts w:eastAsia="仿宋_GB2312"/>
          <w:color w:val="auto"/>
        </w:rPr>
        <w:t>本项目</w:t>
      </w:r>
      <w:r>
        <w:rPr>
          <w:rFonts w:hint="default" w:eastAsia="仿宋_GB2312"/>
          <w:color w:val="auto"/>
          <w:szCs w:val="24"/>
          <w:highlight w:val="none"/>
          <w:lang w:eastAsia="zh-CN"/>
        </w:rPr>
        <w:t>租赁原民富砖瓦陶瓷厂空地</w:t>
      </w:r>
      <w:r>
        <w:rPr>
          <w:rFonts w:hint="eastAsia" w:eastAsia="仿宋_GB2312"/>
          <w:color w:val="auto"/>
          <w:szCs w:val="24"/>
          <w:highlight w:val="none"/>
          <w:lang w:eastAsia="zh-CN"/>
        </w:rPr>
        <w:t>，</w:t>
      </w:r>
      <w:r>
        <w:rPr>
          <w:rFonts w:hint="eastAsia" w:eastAsia="仿宋_GB2312"/>
          <w:color w:val="auto"/>
          <w:szCs w:val="24"/>
          <w:highlight w:val="none"/>
          <w:lang w:val="en-US" w:eastAsia="zh-CN"/>
        </w:rPr>
        <w:t>地表无植被，无需进行表土剥离</w:t>
      </w:r>
      <w:r>
        <w:rPr>
          <w:rFonts w:eastAsia="仿宋_GB2312"/>
          <w:color w:val="auto"/>
        </w:rPr>
        <w:t>。</w:t>
      </w:r>
    </w:p>
    <w:p>
      <w:pPr>
        <w:spacing w:line="360" w:lineRule="auto"/>
        <w:ind w:firstLine="480" w:firstLineChars="200"/>
        <w:jc w:val="both"/>
        <w:rPr>
          <w:rFonts w:eastAsia="仿宋_GB2312"/>
          <w:snapToGrid w:val="0"/>
          <w:color w:val="auto"/>
          <w:highlight w:val="none"/>
        </w:rPr>
      </w:pPr>
      <w:r>
        <w:rPr>
          <w:rFonts w:eastAsia="仿宋_GB2312"/>
          <w:snapToGrid w:val="0"/>
          <w:color w:val="auto"/>
          <w:highlight w:val="none"/>
        </w:rPr>
        <w:t>（2）土石方分析评价</w:t>
      </w:r>
    </w:p>
    <w:p>
      <w:pPr>
        <w:spacing w:line="360" w:lineRule="auto"/>
        <w:ind w:firstLine="480" w:firstLineChars="200"/>
        <w:rPr>
          <w:rFonts w:hint="eastAsia" w:eastAsia="仿宋_GB2312"/>
          <w:color w:val="auto"/>
          <w:szCs w:val="24"/>
          <w:highlight w:val="none"/>
        </w:rPr>
      </w:pPr>
      <w:r>
        <w:rPr>
          <w:rFonts w:hint="eastAsia" w:eastAsia="仿宋_GB2312"/>
          <w:color w:val="auto"/>
          <w:szCs w:val="24"/>
          <w:highlight w:val="none"/>
        </w:rPr>
        <w:t>本项目</w:t>
      </w:r>
      <w:r>
        <w:rPr>
          <w:rFonts w:hint="eastAsia" w:ascii="Times New Roman" w:hAnsi="Times New Roman" w:eastAsia="仿宋_GB2312" w:cs="Times New Roman"/>
          <w:b w:val="0"/>
          <w:bCs/>
          <w:color w:val="auto"/>
          <w:sz w:val="24"/>
          <w:szCs w:val="24"/>
          <w:highlight w:val="none"/>
          <w:lang w:val="en-US" w:eastAsia="zh-CN"/>
        </w:rPr>
        <w:t>土方共计开挖0.</w:t>
      </w:r>
      <w:r>
        <w:rPr>
          <w:rFonts w:hint="eastAsia" w:eastAsia="仿宋_GB2312" w:cs="Times New Roman"/>
          <w:b w:val="0"/>
          <w:bCs/>
          <w:color w:val="auto"/>
          <w:sz w:val="24"/>
          <w:szCs w:val="24"/>
          <w:highlight w:val="none"/>
          <w:lang w:val="en-US" w:eastAsia="zh-CN"/>
        </w:rPr>
        <w:t>10</w:t>
      </w:r>
      <w:r>
        <w:rPr>
          <w:rFonts w:hint="eastAsia" w:eastAsia="仿宋_GB2312"/>
          <w:color w:val="auto"/>
          <w:sz w:val="24"/>
          <w:szCs w:val="24"/>
          <w:highlight w:val="none"/>
          <w:lang w:val="en-US" w:eastAsia="zh-CN"/>
        </w:rPr>
        <w:t>万m</w:t>
      </w:r>
      <w:r>
        <w:rPr>
          <w:rFonts w:hint="eastAsia" w:eastAsia="仿宋_GB2312"/>
          <w:color w:val="auto"/>
          <w:sz w:val="24"/>
          <w:szCs w:val="24"/>
          <w:highlight w:val="none"/>
          <w:vertAlign w:val="superscript"/>
          <w:lang w:val="en-US" w:eastAsia="zh-CN"/>
        </w:rPr>
        <w:t>3</w:t>
      </w:r>
      <w:r>
        <w:rPr>
          <w:rFonts w:hint="eastAsia" w:eastAsia="仿宋_GB2312"/>
          <w:color w:val="auto"/>
          <w:sz w:val="24"/>
          <w:szCs w:val="24"/>
          <w:highlight w:val="none"/>
          <w:lang w:val="en-US" w:eastAsia="zh-CN"/>
        </w:rPr>
        <w:t>，填方量0.10万m</w:t>
      </w:r>
      <w:r>
        <w:rPr>
          <w:rFonts w:hint="eastAsia" w:eastAsia="仿宋_GB2312"/>
          <w:color w:val="auto"/>
          <w:sz w:val="24"/>
          <w:szCs w:val="24"/>
          <w:highlight w:val="none"/>
          <w:vertAlign w:val="superscript"/>
          <w:lang w:val="en-US" w:eastAsia="zh-CN"/>
        </w:rPr>
        <w:t>3</w:t>
      </w:r>
      <w:r>
        <w:rPr>
          <w:rFonts w:hint="eastAsia" w:eastAsia="仿宋_GB2312"/>
          <w:color w:val="auto"/>
          <w:sz w:val="24"/>
          <w:szCs w:val="24"/>
          <w:highlight w:val="none"/>
          <w:lang w:val="en-US" w:eastAsia="zh-CN"/>
        </w:rPr>
        <w:t>，土石方平衡，无剩余土方。</w:t>
      </w:r>
    </w:p>
    <w:p>
      <w:pPr>
        <w:spacing w:line="360" w:lineRule="auto"/>
        <w:ind w:firstLine="480" w:firstLineChars="200"/>
        <w:rPr>
          <w:rFonts w:hint="default" w:eastAsia="仿宋_GB2312"/>
          <w:color w:val="auto"/>
          <w:szCs w:val="24"/>
          <w:highlight w:val="none"/>
          <w:lang w:val="en-US" w:eastAsia="zh-CN"/>
        </w:rPr>
      </w:pPr>
      <w:r>
        <w:rPr>
          <w:rFonts w:hint="eastAsia" w:eastAsia="仿宋_GB2312"/>
          <w:color w:val="auto"/>
          <w:szCs w:val="24"/>
          <w:highlight w:val="none"/>
          <w:lang w:val="en-US" w:eastAsia="zh-CN"/>
        </w:rPr>
        <w:t>分析评价：</w:t>
      </w:r>
      <w:r>
        <w:rPr>
          <w:rFonts w:hint="default" w:ascii="Times New Roman" w:hAnsi="Times New Roman" w:eastAsia="仿宋_GB2312" w:cs="Times New Roman"/>
          <w:color w:val="auto"/>
          <w:sz w:val="24"/>
          <w:highlight w:val="none"/>
          <w:lang w:val="en-US" w:eastAsia="zh-CN"/>
        </w:rPr>
        <w:t>本项目土石方量来源及去向明确，土石方挖填数量符合最优化原则，</w:t>
      </w:r>
      <w:r>
        <w:rPr>
          <w:rFonts w:hint="eastAsia" w:ascii="Times New Roman" w:hAnsi="Times New Roman" w:eastAsia="仿宋_GB2312" w:cs="Times New Roman"/>
          <w:color w:val="auto"/>
          <w:sz w:val="24"/>
          <w:highlight w:val="none"/>
          <w:shd w:val="clear" w:color="auto" w:fill="auto"/>
          <w:lang w:val="en-US" w:eastAsia="zh-CN"/>
        </w:rPr>
        <w:t>土石方平衡</w:t>
      </w:r>
      <w:r>
        <w:rPr>
          <w:rFonts w:hint="eastAsia" w:eastAsia="仿宋_GB2312" w:cs="Times New Roman"/>
          <w:color w:val="auto"/>
          <w:sz w:val="24"/>
          <w:highlight w:val="none"/>
          <w:shd w:val="clear" w:color="auto" w:fill="auto"/>
          <w:lang w:val="en-US" w:eastAsia="zh-CN"/>
        </w:rPr>
        <w:t>。</w:t>
      </w:r>
    </w:p>
    <w:p>
      <w:pPr>
        <w:spacing w:line="360" w:lineRule="auto"/>
        <w:ind w:firstLine="480" w:firstLineChars="200"/>
        <w:jc w:val="both"/>
        <w:rPr>
          <w:rFonts w:eastAsia="仿宋_GB2312"/>
          <w:snapToGrid w:val="0"/>
          <w:color w:val="auto"/>
          <w:highlight w:val="none"/>
        </w:rPr>
      </w:pPr>
      <w:r>
        <w:rPr>
          <w:rFonts w:eastAsia="仿宋_GB2312"/>
          <w:color w:val="auto"/>
          <w:szCs w:val="24"/>
          <w:highlight w:val="none"/>
        </w:rPr>
        <w:t>（3）</w:t>
      </w:r>
      <w:r>
        <w:rPr>
          <w:rFonts w:eastAsia="仿宋_GB2312"/>
          <w:color w:val="auto"/>
          <w:highlight w:val="none"/>
        </w:rPr>
        <w:t>临时堆土分析评价</w:t>
      </w:r>
    </w:p>
    <w:p>
      <w:pPr>
        <w:spacing w:line="360" w:lineRule="auto"/>
        <w:ind w:firstLine="480" w:firstLineChars="200"/>
        <w:jc w:val="both"/>
        <w:rPr>
          <w:rFonts w:hint="default" w:eastAsia="仿宋_GB2312"/>
          <w:color w:val="auto"/>
          <w:highlight w:val="none"/>
          <w:lang w:val="en-US" w:eastAsia="zh-CN"/>
        </w:rPr>
      </w:pPr>
      <w:r>
        <w:rPr>
          <w:rFonts w:hint="eastAsia" w:eastAsia="仿宋_GB2312"/>
          <w:color w:val="auto"/>
          <w:highlight w:val="none"/>
          <w:lang w:val="en-US" w:eastAsia="zh-CN"/>
        </w:rPr>
        <w:t>本项目0.03万m</w:t>
      </w:r>
      <w:r>
        <w:rPr>
          <w:rFonts w:hint="eastAsia" w:eastAsia="仿宋_GB2312"/>
          <w:color w:val="auto"/>
          <w:highlight w:val="none"/>
          <w:vertAlign w:val="superscript"/>
          <w:lang w:val="en-US" w:eastAsia="zh-CN"/>
        </w:rPr>
        <w:t>3</w:t>
      </w:r>
      <w:r>
        <w:rPr>
          <w:rFonts w:hint="eastAsia" w:eastAsia="仿宋_GB2312"/>
          <w:color w:val="auto"/>
          <w:highlight w:val="none"/>
          <w:lang w:val="en-US" w:eastAsia="zh-CN"/>
        </w:rPr>
        <w:t>土方用于基础回填，回填土方堆存于临时堆土场，堆土场位于厂区内空地，堆场面积为180m</w:t>
      </w:r>
      <w:r>
        <w:rPr>
          <w:rFonts w:hint="eastAsia" w:eastAsia="仿宋_GB2312"/>
          <w:color w:val="auto"/>
          <w:highlight w:val="none"/>
          <w:vertAlign w:val="superscript"/>
          <w:lang w:val="en-US" w:eastAsia="zh-CN"/>
        </w:rPr>
        <w:t>2</w:t>
      </w:r>
      <w:r>
        <w:rPr>
          <w:rFonts w:hint="eastAsia" w:eastAsia="仿宋_GB2312"/>
          <w:color w:val="auto"/>
          <w:highlight w:val="none"/>
          <w:lang w:val="en-US" w:eastAsia="zh-CN"/>
        </w:rPr>
        <w:t>，</w:t>
      </w:r>
      <w:r>
        <w:rPr>
          <w:rFonts w:hint="default" w:ascii="Times New Roman" w:hAnsi="Times New Roman" w:eastAsia="仿宋_GB2312" w:cs="Times New Roman"/>
          <w:color w:val="auto"/>
          <w:highlight w:val="none"/>
        </w:rPr>
        <w:t>堆土场长</w:t>
      </w:r>
      <w:r>
        <w:rPr>
          <w:rFonts w:hint="eastAsia" w:eastAsia="仿宋_GB2312" w:cs="Times New Roman"/>
          <w:color w:val="auto"/>
          <w:highlight w:val="none"/>
          <w:lang w:val="en-US" w:eastAsia="zh-CN"/>
        </w:rPr>
        <w:t>15</w:t>
      </w:r>
      <w:r>
        <w:rPr>
          <w:rFonts w:hint="default" w:ascii="Times New Roman" w:hAnsi="Times New Roman" w:eastAsia="仿宋_GB2312" w:cs="Times New Roman"/>
          <w:color w:val="auto"/>
          <w:highlight w:val="none"/>
        </w:rPr>
        <w:t>m、宽</w:t>
      </w:r>
      <w:r>
        <w:rPr>
          <w:rFonts w:hint="eastAsia" w:eastAsia="仿宋_GB2312" w:cs="Times New Roman"/>
          <w:color w:val="auto"/>
          <w:highlight w:val="none"/>
          <w:lang w:val="en-US" w:eastAsia="zh-CN"/>
        </w:rPr>
        <w:t>12</w:t>
      </w:r>
      <w:r>
        <w:rPr>
          <w:rFonts w:hint="default" w:ascii="Times New Roman" w:hAnsi="Times New Roman" w:eastAsia="仿宋_GB2312" w:cs="Times New Roman"/>
          <w:color w:val="auto"/>
          <w:highlight w:val="none"/>
        </w:rPr>
        <w:t>m、高</w:t>
      </w:r>
      <w:r>
        <w:rPr>
          <w:rFonts w:hint="eastAsia" w:eastAsia="仿宋_GB2312" w:cs="Times New Roman"/>
          <w:color w:val="auto"/>
          <w:highlight w:val="none"/>
          <w:lang w:val="en-US" w:eastAsia="zh-CN"/>
        </w:rPr>
        <w:t>3.5</w:t>
      </w:r>
      <w:r>
        <w:rPr>
          <w:rFonts w:hint="default" w:ascii="Times New Roman" w:hAnsi="Times New Roman" w:eastAsia="仿宋_GB2312" w:cs="Times New Roman"/>
          <w:color w:val="auto"/>
          <w:highlight w:val="none"/>
        </w:rPr>
        <w:t>m</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rPr>
        <w:t>边坡比1：1.</w:t>
      </w:r>
      <w:r>
        <w:rPr>
          <w:rFonts w:hint="default" w:ascii="Times New Roman" w:hAnsi="Times New Roman" w:eastAsia="仿宋_GB2312" w:cs="Times New Roman"/>
          <w:color w:val="auto"/>
          <w:highlight w:val="none"/>
          <w:lang w:val="en-US" w:eastAsia="zh-CN"/>
        </w:rPr>
        <w:t>5</w:t>
      </w:r>
      <w:r>
        <w:rPr>
          <w:rFonts w:hint="eastAsia" w:eastAsia="仿宋_GB2312" w:cs="Times New Roman"/>
          <w:color w:val="auto"/>
          <w:highlight w:val="none"/>
          <w:lang w:val="en-US" w:eastAsia="zh-CN"/>
        </w:rPr>
        <w:t>，堆土场可容土方0.04万m</w:t>
      </w:r>
      <w:r>
        <w:rPr>
          <w:rFonts w:hint="eastAsia" w:eastAsia="仿宋_GB2312" w:cs="Times New Roman"/>
          <w:color w:val="auto"/>
          <w:highlight w:val="none"/>
          <w:vertAlign w:val="superscript"/>
          <w:lang w:val="en-US" w:eastAsia="zh-CN"/>
        </w:rPr>
        <w:t>3</w:t>
      </w:r>
      <w:r>
        <w:rPr>
          <w:rFonts w:hint="eastAsia" w:eastAsia="仿宋_GB2312" w:cs="Times New Roman"/>
          <w:color w:val="auto"/>
          <w:highlight w:val="none"/>
          <w:lang w:val="en-US" w:eastAsia="zh-CN"/>
        </w:rPr>
        <w:t>，可以满足堆土要求，主体采取密目网苫盖措施对其进行防护。</w:t>
      </w:r>
    </w:p>
    <w:p>
      <w:pPr>
        <w:spacing w:line="360" w:lineRule="auto"/>
        <w:ind w:firstLine="480" w:firstLineChars="200"/>
        <w:jc w:val="both"/>
        <w:rPr>
          <w:rFonts w:hint="default" w:eastAsia="仿宋_GB2312"/>
          <w:color w:val="auto"/>
          <w:highlight w:val="none"/>
          <w:lang w:val="en-US" w:eastAsia="zh-CN"/>
        </w:rPr>
      </w:pPr>
      <w:r>
        <w:rPr>
          <w:rFonts w:hint="eastAsia" w:eastAsia="仿宋_GB2312"/>
          <w:color w:val="auto"/>
          <w:highlight w:val="none"/>
          <w:lang w:val="en-US" w:eastAsia="zh-CN"/>
        </w:rPr>
        <w:t>分析评价：本项目</w:t>
      </w:r>
      <w:r>
        <w:rPr>
          <w:rFonts w:hint="default" w:ascii="Times New Roman" w:hAnsi="Times New Roman" w:eastAsia="仿宋_GB2312" w:cs="Times New Roman"/>
          <w:color w:val="auto"/>
          <w:sz w:val="24"/>
          <w:highlight w:val="none"/>
          <w:lang w:val="en-US" w:eastAsia="zh-CN"/>
        </w:rPr>
        <w:t>临时堆土数量及位置明确可行，</w:t>
      </w:r>
      <w:r>
        <w:rPr>
          <w:rFonts w:hint="eastAsia" w:ascii="Times New Roman" w:hAnsi="Times New Roman" w:eastAsia="仿宋_GB2312" w:cs="Times New Roman"/>
          <w:color w:val="auto"/>
          <w:sz w:val="24"/>
          <w:highlight w:val="none"/>
          <w:shd w:val="clear" w:color="auto" w:fill="auto"/>
          <w:lang w:val="en-US" w:eastAsia="zh-CN"/>
        </w:rPr>
        <w:t>符合水土保持要求</w:t>
      </w:r>
      <w:r>
        <w:rPr>
          <w:rFonts w:hint="eastAsia" w:eastAsia="仿宋_GB2312" w:cs="Times New Roman"/>
          <w:color w:val="auto"/>
          <w:sz w:val="24"/>
          <w:highlight w:val="none"/>
          <w:shd w:val="clear" w:color="auto" w:fill="auto"/>
          <w:lang w:val="en-US" w:eastAsia="zh-CN"/>
        </w:rPr>
        <w:t>。</w:t>
      </w:r>
    </w:p>
    <w:p>
      <w:pPr>
        <w:spacing w:line="360" w:lineRule="auto"/>
        <w:ind w:firstLine="480" w:firstLineChars="200"/>
        <w:jc w:val="both"/>
        <w:rPr>
          <w:rFonts w:eastAsia="仿宋_GB2312"/>
          <w:snapToGrid w:val="0"/>
          <w:color w:val="auto"/>
        </w:rPr>
      </w:pPr>
      <w:r>
        <w:rPr>
          <w:rFonts w:eastAsia="仿宋_GB2312"/>
          <w:color w:val="auto"/>
        </w:rPr>
        <w:t>（4）</w:t>
      </w:r>
      <w:r>
        <w:rPr>
          <w:rFonts w:eastAsia="仿宋_GB2312"/>
          <w:snapToGrid w:val="0"/>
          <w:color w:val="auto"/>
        </w:rPr>
        <w:t>土方调运合理性分析</w:t>
      </w:r>
    </w:p>
    <w:p>
      <w:pPr>
        <w:pStyle w:val="48"/>
        <w:spacing w:line="360" w:lineRule="auto"/>
        <w:ind w:firstLine="48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项目基础开挖均按照设计尺寸进行开挖，开挖产生的土方临时堆存在临时堆土场，施工结束后用于基础回填。</w:t>
      </w:r>
    </w:p>
    <w:p>
      <w:pPr>
        <w:spacing w:line="360" w:lineRule="auto"/>
        <w:ind w:firstLine="480" w:firstLineChars="200"/>
        <w:rPr>
          <w:rFonts w:hint="eastAsia"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分析评价：土石方内部调运，项目土方调运合理，</w:t>
      </w:r>
      <w:r>
        <w:rPr>
          <w:rFonts w:hint="default" w:ascii="Times New Roman" w:hAnsi="Times New Roman" w:eastAsia="仿宋_GB2312" w:cs="Times New Roman"/>
          <w:color w:val="auto"/>
          <w:sz w:val="24"/>
          <w:highlight w:val="none"/>
          <w:lang w:val="en-US" w:eastAsia="zh-CN"/>
        </w:rPr>
        <w:t>土石方调运符合节点适宜、时序可行、运距合理原则，</w:t>
      </w:r>
      <w:r>
        <w:rPr>
          <w:rFonts w:hint="eastAsia" w:ascii="Times New Roman" w:hAnsi="Times New Roman" w:eastAsia="仿宋_GB2312" w:cs="Times New Roman"/>
          <w:color w:val="auto"/>
          <w:sz w:val="24"/>
          <w:szCs w:val="24"/>
          <w:highlight w:val="none"/>
          <w:lang w:val="en-US" w:eastAsia="zh-CN"/>
        </w:rPr>
        <w:t>符合水土保持要求</w:t>
      </w:r>
      <w:r>
        <w:rPr>
          <w:rFonts w:hint="eastAsia" w:eastAsia="仿宋_GB2312" w:cs="Times New Roman"/>
          <w:color w:val="auto"/>
          <w:sz w:val="24"/>
          <w:szCs w:val="24"/>
          <w:highlight w:val="none"/>
          <w:lang w:val="en-US" w:eastAsia="zh-CN"/>
        </w:rPr>
        <w:t>。</w:t>
      </w:r>
    </w:p>
    <w:p>
      <w:pPr>
        <w:spacing w:line="360" w:lineRule="auto"/>
        <w:ind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（5）</w:t>
      </w:r>
      <w:r>
        <w:rPr>
          <w:rFonts w:hint="eastAsia" w:ascii="Times New Roman" w:hAnsi="Times New Roman" w:eastAsia="仿宋_GB2312" w:cs="Times New Roman"/>
          <w:color w:val="auto"/>
          <w:sz w:val="24"/>
          <w:szCs w:val="24"/>
          <w:highlight w:val="none"/>
          <w:lang w:val="en-US" w:eastAsia="zh-CN"/>
        </w:rPr>
        <w:t>余方综合利用情况分析</w:t>
      </w:r>
    </w:p>
    <w:p>
      <w:pPr>
        <w:spacing w:line="360" w:lineRule="auto"/>
        <w:ind w:firstLine="480" w:firstLineChars="200"/>
        <w:rPr>
          <w:rFonts w:hint="default"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本项目土石方为内部调运，</w:t>
      </w:r>
      <w:r>
        <w:rPr>
          <w:rFonts w:hint="eastAsia" w:eastAsia="仿宋_GB2312" w:cs="Times New Roman"/>
          <w:color w:val="auto"/>
          <w:sz w:val="24"/>
          <w:szCs w:val="24"/>
          <w:highlight w:val="none"/>
          <w:lang w:val="en-US" w:eastAsia="zh-CN"/>
        </w:rPr>
        <w:t>无余方。</w:t>
      </w:r>
    </w:p>
    <w:p>
      <w:pPr>
        <w:pStyle w:val="48"/>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（6）借方利用情况分析</w:t>
      </w:r>
    </w:p>
    <w:p>
      <w:pPr>
        <w:spacing w:line="360" w:lineRule="auto"/>
        <w:ind w:firstLine="480" w:firstLineChars="200"/>
        <w:rPr>
          <w:rFonts w:hint="eastAsia"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本项目土石方为内部调运，无借方</w:t>
      </w:r>
      <w:r>
        <w:rPr>
          <w:rFonts w:hint="eastAsia" w:eastAsia="仿宋_GB2312" w:cs="Times New Roman"/>
          <w:color w:val="auto"/>
          <w:sz w:val="24"/>
          <w:szCs w:val="24"/>
          <w:highlight w:val="none"/>
          <w:lang w:val="en-US" w:eastAsia="zh-CN"/>
        </w:rPr>
        <w:t>。</w:t>
      </w:r>
    </w:p>
    <w:p>
      <w:pPr>
        <w:spacing w:line="360" w:lineRule="auto"/>
        <w:jc w:val="both"/>
        <w:rPr>
          <w:rFonts w:eastAsia="仿宋_GB2312"/>
          <w:b/>
          <w:color w:val="auto"/>
          <w:szCs w:val="24"/>
        </w:rPr>
      </w:pPr>
      <w:r>
        <w:rPr>
          <w:rFonts w:eastAsia="仿宋_GB2312"/>
          <w:b/>
          <w:color w:val="auto"/>
          <w:szCs w:val="24"/>
        </w:rPr>
        <w:t>3.2.4</w:t>
      </w:r>
      <w:r>
        <w:rPr>
          <w:rFonts w:hint="default" w:eastAsia="仿宋_GB2312"/>
          <w:b/>
          <w:color w:val="auto"/>
          <w:szCs w:val="24"/>
        </w:rPr>
        <w:t>取土（石、砂）场设置评价</w:t>
      </w:r>
    </w:p>
    <w:p>
      <w:pPr>
        <w:spacing w:line="360" w:lineRule="auto"/>
        <w:ind w:firstLine="480" w:firstLineChars="200"/>
        <w:rPr>
          <w:rFonts w:hint="eastAsia"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rPr>
        <w:t>本项目未设置取土（石、砂）场</w:t>
      </w:r>
      <w:r>
        <w:rPr>
          <w:rFonts w:hint="default" w:ascii="Times New Roman" w:hAnsi="Times New Roman" w:eastAsia="仿宋_GB2312" w:cs="Times New Roman"/>
          <w:bCs/>
          <w:color w:val="auto"/>
          <w:sz w:val="24"/>
        </w:rPr>
        <w:t>。</w:t>
      </w:r>
    </w:p>
    <w:p>
      <w:pPr>
        <w:spacing w:line="360" w:lineRule="auto"/>
        <w:jc w:val="both"/>
        <w:rPr>
          <w:rFonts w:eastAsia="仿宋_GB2312"/>
          <w:b/>
          <w:color w:val="auto"/>
          <w:szCs w:val="24"/>
        </w:rPr>
      </w:pPr>
      <w:r>
        <w:rPr>
          <w:rFonts w:eastAsia="仿宋_GB2312"/>
          <w:b/>
          <w:color w:val="auto"/>
          <w:szCs w:val="24"/>
        </w:rPr>
        <w:t>3.2.</w:t>
      </w:r>
      <w:r>
        <w:rPr>
          <w:rFonts w:hint="eastAsia" w:eastAsia="仿宋_GB2312"/>
          <w:b/>
          <w:color w:val="auto"/>
          <w:szCs w:val="24"/>
          <w:lang w:val="en-US" w:eastAsia="zh-CN"/>
        </w:rPr>
        <w:t>5弃土（石、渣、灰、矸石、尾矿）场设置评价</w:t>
      </w:r>
    </w:p>
    <w:p>
      <w:pPr>
        <w:spacing w:line="360" w:lineRule="auto"/>
        <w:ind w:firstLine="480" w:firstLineChars="200"/>
        <w:rPr>
          <w:rFonts w:hint="eastAsia" w:eastAsia="仿宋_GB2312" w:cs="Times New Roman"/>
          <w:color w:val="auto"/>
          <w:sz w:val="24"/>
          <w:szCs w:val="24"/>
          <w:highlight w:val="none"/>
          <w:lang w:val="en-US" w:eastAsia="zh-CN"/>
        </w:rPr>
      </w:pPr>
      <w:r>
        <w:rPr>
          <w:rFonts w:hint="default" w:ascii="Times New Roman" w:hAnsi="Times New Roman" w:eastAsia="仿宋_GB2312" w:cs="Times New Roman"/>
          <w:color w:val="auto"/>
          <w:szCs w:val="24"/>
        </w:rPr>
        <w:t>本项目未设置弃土（石、渣、灰、矸石、尾矿）场</w:t>
      </w:r>
      <w:r>
        <w:rPr>
          <w:rFonts w:hint="eastAsia" w:ascii="Times New Roman" w:hAnsi="Times New Roman" w:eastAsia="仿宋_GB2312" w:cs="Times New Roman"/>
          <w:color w:val="auto"/>
          <w:szCs w:val="24"/>
          <w:lang w:eastAsia="zh-CN"/>
        </w:rPr>
        <w:t>。</w:t>
      </w:r>
    </w:p>
    <w:p>
      <w:pPr>
        <w:spacing w:line="360" w:lineRule="auto"/>
        <w:jc w:val="both"/>
        <w:rPr>
          <w:rFonts w:eastAsia="仿宋_GB2312"/>
          <w:b/>
          <w:color w:val="auto"/>
          <w:szCs w:val="24"/>
        </w:rPr>
      </w:pPr>
      <w:r>
        <w:rPr>
          <w:rFonts w:eastAsia="仿宋_GB2312"/>
          <w:b/>
          <w:color w:val="auto"/>
          <w:szCs w:val="24"/>
        </w:rPr>
        <w:t>3.2.</w:t>
      </w:r>
      <w:r>
        <w:rPr>
          <w:rFonts w:hint="eastAsia" w:eastAsia="仿宋_GB2312"/>
          <w:b/>
          <w:color w:val="auto"/>
          <w:szCs w:val="24"/>
          <w:lang w:val="en-US" w:eastAsia="zh-CN"/>
        </w:rPr>
        <w:t>6</w:t>
      </w:r>
      <w:r>
        <w:rPr>
          <w:rFonts w:eastAsia="仿宋_GB2312"/>
          <w:b/>
          <w:color w:val="auto"/>
          <w:szCs w:val="24"/>
        </w:rPr>
        <w:t>施工方法与工艺评价</w:t>
      </w:r>
    </w:p>
    <w:p>
      <w:pPr>
        <w:spacing w:line="360" w:lineRule="auto"/>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3.2.</w:t>
      </w:r>
      <w:r>
        <w:rPr>
          <w:rFonts w:hint="default" w:ascii="Times New Roman" w:hAnsi="Times New Roman" w:eastAsia="仿宋_GB2312" w:cs="Times New Roman"/>
          <w:bCs/>
          <w:color w:val="auto"/>
          <w:sz w:val="24"/>
          <w:lang w:val="en-US" w:eastAsia="zh-CN"/>
        </w:rPr>
        <w:t>6</w:t>
      </w:r>
      <w:r>
        <w:rPr>
          <w:rFonts w:hint="default" w:ascii="Times New Roman" w:hAnsi="Times New Roman" w:eastAsia="仿宋_GB2312" w:cs="Times New Roman"/>
          <w:bCs/>
          <w:color w:val="auto"/>
          <w:sz w:val="24"/>
        </w:rPr>
        <w:t xml:space="preserve">.1 施工布置分析与评价 </w:t>
      </w:r>
    </w:p>
    <w:p>
      <w:pPr>
        <w:spacing w:line="360" w:lineRule="auto"/>
        <w:ind w:firstLine="480" w:firstLineChars="200"/>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 xml:space="preserve">本项目施工生产生活区布置在工程建设区红线范围内。施工道路均利用既有 道路。从水土保持角度分析，本项目施工布置紧凑，在满足主体工程施工要求的同时，充分利用既有资源，减少了工程占地，减少了工程建设扰动地表面积，降低了对自然环境的破坏，符合水土保持要求。 </w:t>
      </w:r>
    </w:p>
    <w:p>
      <w:pPr>
        <w:spacing w:line="360" w:lineRule="auto"/>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3.2.</w:t>
      </w:r>
      <w:r>
        <w:rPr>
          <w:rFonts w:hint="default" w:ascii="Times New Roman" w:hAnsi="Times New Roman" w:eastAsia="仿宋_GB2312" w:cs="Times New Roman"/>
          <w:bCs/>
          <w:color w:val="auto"/>
          <w:sz w:val="24"/>
          <w:lang w:val="en-US" w:eastAsia="zh-CN"/>
        </w:rPr>
        <w:t>6</w:t>
      </w:r>
      <w:r>
        <w:rPr>
          <w:rFonts w:hint="default" w:ascii="Times New Roman" w:hAnsi="Times New Roman" w:eastAsia="仿宋_GB2312" w:cs="Times New Roman"/>
          <w:bCs/>
          <w:color w:val="auto"/>
          <w:sz w:val="24"/>
        </w:rPr>
        <w:t xml:space="preserve">.2 施工工艺与时序分析与评价 </w:t>
      </w:r>
    </w:p>
    <w:p>
      <w:pPr>
        <w:snapToGrid w:val="0"/>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bCs/>
          <w:color w:val="auto"/>
          <w:sz w:val="24"/>
        </w:rPr>
        <w:t>根据该项目工程建设的特点，本工程的工程施工</w:t>
      </w:r>
      <w:r>
        <w:rPr>
          <w:rFonts w:hint="default" w:ascii="Times New Roman" w:hAnsi="Times New Roman" w:eastAsia="仿宋_GB2312" w:cs="Times New Roman"/>
          <w:color w:val="auto"/>
          <w:sz w:val="24"/>
        </w:rPr>
        <w:t>时序主要为场地平整、土石方开挖、建筑物施工、土方回填、路面硬化等。主体工程在工程总体布局的合理规划和施工时序的适当调整施工方法与工艺分析评价主要为：施工时序评价、施工方法与工艺评价等方面。</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（1）施工时序评价</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为避免二次开挖扰动，缩短建设工期，主体施工时先进行建筑物基础开挖， 开挖土石方就近集中堆存，达到设计埋深后进行基础施工，进行基础回填与场地平整。工程在满足工作建设进度需要的同时，尽量避开雨季进行施工，保证施工安全，有利于水土保持。</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（2）施工方法与工艺评价</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施工方法：根据该项目工程建设的特点，工程施工划分为场地平整、土方开挖及回填、基础。</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①场地平整</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场地平整尽量利用机械施工为主，人力施工为辅的方式，减少施工期限。</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分析与评价：由于本项目已经建设完成，根据资料分析及调查访问得知，场地平整施工时段为</w:t>
      </w:r>
      <w:r>
        <w:rPr>
          <w:rFonts w:hint="eastAsia" w:ascii="Times New Roman" w:hAnsi="Times New Roman" w:eastAsia="仿宋_GB2312" w:cs="Times New Roman"/>
          <w:color w:val="auto"/>
          <w:sz w:val="24"/>
          <w:lang w:val="en-US" w:eastAsia="zh-CN"/>
        </w:rPr>
        <w:t>秋</w:t>
      </w:r>
      <w:r>
        <w:rPr>
          <w:rFonts w:hint="default" w:ascii="Times New Roman" w:hAnsi="Times New Roman" w:eastAsia="仿宋_GB2312" w:cs="Times New Roman"/>
          <w:color w:val="auto"/>
          <w:sz w:val="24"/>
        </w:rPr>
        <w:t>季，主体避开了暴雨或大风天气，减少因项目建设造成的水土流失，符合水土保持要求。</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②基础</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主体工程基础形式</w:t>
      </w:r>
      <w:r>
        <w:rPr>
          <w:rFonts w:hint="eastAsia" w:ascii="Times New Roman" w:hAnsi="Times New Roman" w:eastAsia="仿宋_GB2312" w:cs="Times New Roman"/>
          <w:color w:val="auto"/>
          <w:sz w:val="24"/>
          <w:lang w:val="en-US" w:eastAsia="zh-CN"/>
        </w:rPr>
        <w:t>为</w:t>
      </w:r>
      <w:r>
        <w:rPr>
          <w:rFonts w:hint="default" w:ascii="Times New Roman" w:hAnsi="Times New Roman" w:eastAsia="仿宋_GB2312" w:cs="Times New Roman"/>
          <w:color w:val="auto"/>
          <w:sz w:val="24"/>
        </w:rPr>
        <w:t>独立基础。机械开挖为主，人工开挖为辅。</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分析与评价：本项目建筑物采用独立基础，机械施工，减少了土方的开挖及回填，减少了土石方量的产生，</w:t>
      </w:r>
      <w:r>
        <w:rPr>
          <w:rFonts w:hint="eastAsia" w:ascii="Times New Roman" w:hAnsi="Times New Roman" w:eastAsia="仿宋_GB2312" w:cs="Times New Roman"/>
          <w:color w:val="auto"/>
          <w:sz w:val="24"/>
          <w:lang w:val="en-US" w:eastAsia="zh-CN"/>
        </w:rPr>
        <w:t>缩短了施工时间，</w:t>
      </w:r>
      <w:r>
        <w:rPr>
          <w:rFonts w:hint="default" w:ascii="Times New Roman" w:hAnsi="Times New Roman" w:eastAsia="仿宋_GB2312" w:cs="Times New Roman"/>
          <w:color w:val="auto"/>
          <w:sz w:val="24"/>
        </w:rPr>
        <w:t>从而减少了水土流失，符合水土保持的要求。</w:t>
      </w:r>
    </w:p>
    <w:p>
      <w:pPr>
        <w:pStyle w:val="48"/>
        <w:spacing w:line="360" w:lineRule="auto"/>
        <w:ind w:firstLine="480"/>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③</w:t>
      </w:r>
      <w:r>
        <w:rPr>
          <w:rFonts w:hint="default" w:ascii="Times New Roman" w:hAnsi="Times New Roman" w:eastAsia="仿宋_GB2312" w:cs="Times New Roman"/>
          <w:color w:val="auto"/>
          <w:sz w:val="24"/>
          <w:lang w:eastAsia="zh-CN"/>
        </w:rPr>
        <w:t>道路工程</w:t>
      </w:r>
    </w:p>
    <w:p>
      <w:pPr>
        <w:spacing w:line="360" w:lineRule="auto"/>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道路修建时先平整压实，可形成砂石路基，再在路表层铺设碎石，即可满足施工期材料运输的要求，施工结束后铺设</w:t>
      </w:r>
      <w:r>
        <w:rPr>
          <w:rFonts w:hint="eastAsia" w:ascii="Times New Roman" w:hAnsi="Times New Roman" w:eastAsia="仿宋_GB2312" w:cs="Times New Roman"/>
          <w:color w:val="auto"/>
          <w:kern w:val="0"/>
          <w:sz w:val="24"/>
          <w:szCs w:val="24"/>
          <w:lang w:val="en-US" w:eastAsia="zh-CN"/>
        </w:rPr>
        <w:t>混凝土</w:t>
      </w:r>
      <w:r>
        <w:rPr>
          <w:rFonts w:hint="default" w:ascii="Times New Roman" w:hAnsi="Times New Roman" w:eastAsia="仿宋_GB2312" w:cs="Times New Roman"/>
          <w:color w:val="auto"/>
          <w:kern w:val="0"/>
          <w:sz w:val="24"/>
          <w:szCs w:val="24"/>
        </w:rPr>
        <w:t>路面。</w:t>
      </w:r>
    </w:p>
    <w:p>
      <w:pPr>
        <w:spacing w:line="360" w:lineRule="auto"/>
        <w:ind w:firstLine="480" w:firstLineChars="200"/>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kern w:val="0"/>
          <w:sz w:val="24"/>
          <w:szCs w:val="24"/>
        </w:rPr>
        <w:t>分析与评价：机械化施工快捷便利，减少地表裸露时间，遇大风天气应加强临时防护，风季填筑土石方时应随挖、随运、随填、随压。施工场地内设置施工临时道路来解决施工运输要求，设计符合实际情况，将施工临时道路严格控制在永久征地范围内，减少了施工扰动范围，降低了水土流失的发生面积，并在施工结束后进行永久硬化。查阅相关资料及调查访问，项目建筑基础开挖过程中开挖土方临时堆存在</w:t>
      </w:r>
      <w:r>
        <w:rPr>
          <w:rFonts w:hint="eastAsia" w:ascii="Times New Roman" w:hAnsi="Times New Roman" w:eastAsia="仿宋_GB2312" w:cs="Times New Roman"/>
          <w:color w:val="auto"/>
          <w:kern w:val="0"/>
          <w:sz w:val="24"/>
          <w:szCs w:val="24"/>
          <w:lang w:val="en-US" w:eastAsia="zh-CN"/>
        </w:rPr>
        <w:t>临时堆土场</w:t>
      </w:r>
      <w:r>
        <w:rPr>
          <w:rFonts w:hint="default" w:ascii="Times New Roman" w:hAnsi="Times New Roman" w:eastAsia="仿宋_GB2312" w:cs="Times New Roman"/>
          <w:color w:val="auto"/>
          <w:kern w:val="0"/>
          <w:sz w:val="24"/>
          <w:szCs w:val="24"/>
        </w:rPr>
        <w:t>，及时开挖及时回填，同时采取临时苫盖措施，未造成大的水土流失，符合水土保持要求。</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主体工程施工与水土保持密切相关的环节主要集中在：</w:t>
      </w:r>
      <w:r>
        <w:rPr>
          <w:rFonts w:hint="eastAsia" w:ascii="Times New Roman" w:hAnsi="Times New Roman" w:eastAsia="仿宋_GB2312" w:cs="Times New Roman"/>
          <w:color w:val="auto"/>
          <w:sz w:val="24"/>
          <w:lang w:val="en-US" w:eastAsia="zh-CN"/>
        </w:rPr>
        <w:t>基础</w:t>
      </w:r>
      <w:r>
        <w:rPr>
          <w:rFonts w:hint="default" w:ascii="Times New Roman" w:hAnsi="Times New Roman" w:eastAsia="仿宋_GB2312" w:cs="Times New Roman"/>
          <w:color w:val="auto"/>
          <w:sz w:val="24"/>
        </w:rPr>
        <w:t>开挖与回填、场</w:t>
      </w:r>
      <w:r>
        <w:rPr>
          <w:rFonts w:hint="default" w:ascii="Times New Roman" w:hAnsi="Times New Roman" w:eastAsia="仿宋_GB2312" w:cs="Times New Roman"/>
          <w:color w:val="auto"/>
          <w:sz w:val="24"/>
        </w:rPr>
        <w:t>地平整等环节。这类工程在施工方式上主要采取以机械施工为主的施工方式，以机械为主进行施工能大大缩短施工工期， 减少地表扰动次数和周边的扰动面积及扰动时间</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基本满足水土保持功能的要求。</w:t>
      </w:r>
    </w:p>
    <w:p>
      <w:pPr>
        <w:pStyle w:val="48"/>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从水土保持角度分析，施工进度安排比较紧凑合理，在满足工程施工需要的同时，施工场地布置紧凑，充分利用既有资源，减少了工程占地，减少了工程建设扰动地表面积，降低了对自然环境的破坏，符合水土保持要求。土石方平衡坚持就近调配，有效减少土方调运过程中的水土流失，实现挖填平衡，从而减少了占地和对地面的扰动及植被的破坏，缩短开挖土料的堆放时间，减少水力及风力侵蚀，有利于防治水土流失。</w:t>
      </w:r>
    </w:p>
    <w:p>
      <w:pPr>
        <w:snapToGrid w:val="0"/>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该工程施工生产区布置在项目区内，便于项目的施工，施工道路均利用既有道路。从水土保持角度分析，本项目施工布置紧凑，在满足主体工程施工要求的同时，充分利用既有资源，减少了工程占地，减少了工程建设扰动地表面积，降低了对自然环境的破坏，符合水土保持要求。</w:t>
      </w:r>
    </w:p>
    <w:p>
      <w:pPr>
        <w:spacing w:line="360" w:lineRule="auto"/>
        <w:jc w:val="both"/>
        <w:rPr>
          <w:rFonts w:eastAsia="仿宋_GB2312"/>
          <w:b/>
          <w:color w:val="auto"/>
          <w:szCs w:val="24"/>
        </w:rPr>
      </w:pPr>
      <w:r>
        <w:rPr>
          <w:rFonts w:eastAsia="仿宋_GB2312"/>
          <w:b/>
          <w:color w:val="auto"/>
          <w:szCs w:val="24"/>
        </w:rPr>
        <w:t>3.2.</w:t>
      </w:r>
      <w:r>
        <w:rPr>
          <w:rFonts w:hint="eastAsia" w:eastAsia="仿宋_GB2312"/>
          <w:b/>
          <w:color w:val="auto"/>
          <w:szCs w:val="24"/>
          <w:lang w:val="en-US" w:eastAsia="zh-CN"/>
        </w:rPr>
        <w:t>7</w:t>
      </w:r>
      <w:r>
        <w:rPr>
          <w:rFonts w:eastAsia="仿宋_GB2312"/>
          <w:b/>
          <w:color w:val="auto"/>
          <w:szCs w:val="24"/>
        </w:rPr>
        <w:t>主体工程设计中具有水土保持功能工程的评价</w:t>
      </w:r>
    </w:p>
    <w:p>
      <w:pPr>
        <w:spacing w:line="360" w:lineRule="auto"/>
        <w:ind w:firstLine="560"/>
        <w:rPr>
          <w:rFonts w:eastAsia="仿宋_GB2312"/>
          <w:color w:val="auto"/>
          <w:lang w:val="zh-CN"/>
        </w:rPr>
      </w:pPr>
      <w:r>
        <w:rPr>
          <w:rFonts w:eastAsia="仿宋_GB2312"/>
          <w:color w:val="auto"/>
          <w:lang w:val="zh-CN"/>
        </w:rPr>
        <w:t>根据水土保持技术标准，分析和评价主体工程具有水土保持功能的措施能否满足工程建设过程中的水土保持要求，是进行水土保持工程总体布局、合理制定防治措施体系的基础。本方案将对主体工程设计中以防治水土流失为主要目的的工程措施纳入到水土保持总体布局中。</w:t>
      </w:r>
    </w:p>
    <w:p>
      <w:pPr>
        <w:spacing w:line="360" w:lineRule="auto"/>
        <w:ind w:firstLine="480" w:firstLineChars="200"/>
        <w:rPr>
          <w:rFonts w:eastAsia="仿宋_GB2312"/>
          <w:color w:val="auto"/>
          <w:szCs w:val="24"/>
        </w:rPr>
      </w:pPr>
      <w:r>
        <w:rPr>
          <w:rFonts w:eastAsia="仿宋_GB2312"/>
          <w:color w:val="auto"/>
          <w:szCs w:val="24"/>
        </w:rPr>
        <w:t>主体工程设计</w:t>
      </w:r>
      <w:r>
        <w:rPr>
          <w:rFonts w:hint="eastAsia" w:eastAsia="仿宋_GB2312"/>
          <w:color w:val="auto"/>
          <w:szCs w:val="24"/>
          <w:lang w:val="en-US" w:eastAsia="zh-CN"/>
        </w:rPr>
        <w:t>临时堆土密目网苫盖措施、泥浆池措施均</w:t>
      </w:r>
      <w:r>
        <w:rPr>
          <w:rFonts w:eastAsia="仿宋_GB2312"/>
          <w:color w:val="auto"/>
          <w:szCs w:val="24"/>
        </w:rPr>
        <w:t>具有防治水土流失的功能，本方案</w:t>
      </w:r>
      <w:r>
        <w:rPr>
          <w:rFonts w:hint="eastAsia" w:eastAsia="仿宋_GB2312"/>
          <w:color w:val="auto"/>
          <w:szCs w:val="24"/>
          <w:lang w:val="en-US" w:eastAsia="zh-CN"/>
        </w:rPr>
        <w:t>将</w:t>
      </w:r>
      <w:r>
        <w:rPr>
          <w:rFonts w:eastAsia="仿宋_GB2312"/>
          <w:color w:val="auto"/>
          <w:szCs w:val="24"/>
        </w:rPr>
        <w:t>临时堆土防护</w:t>
      </w:r>
      <w:r>
        <w:rPr>
          <w:rFonts w:hint="eastAsia" w:eastAsia="仿宋_GB2312"/>
          <w:color w:val="auto"/>
          <w:szCs w:val="24"/>
          <w:lang w:val="en-US" w:eastAsia="zh-CN"/>
        </w:rPr>
        <w:t>及泥浆池</w:t>
      </w:r>
      <w:r>
        <w:rPr>
          <w:rFonts w:eastAsia="仿宋_GB2312"/>
          <w:color w:val="auto"/>
          <w:szCs w:val="24"/>
        </w:rPr>
        <w:t>界定为水土保持措施并计列投资。</w:t>
      </w:r>
    </w:p>
    <w:p>
      <w:pPr>
        <w:spacing w:line="360" w:lineRule="auto"/>
        <w:ind w:firstLine="480" w:firstLineChars="200"/>
        <w:rPr>
          <w:rFonts w:eastAsia="仿宋_GB2312"/>
          <w:color w:val="auto"/>
          <w:szCs w:val="24"/>
        </w:rPr>
      </w:pPr>
      <w:r>
        <w:rPr>
          <w:rFonts w:eastAsia="仿宋_GB2312"/>
          <w:color w:val="auto"/>
          <w:szCs w:val="24"/>
        </w:rPr>
        <w:t>主体工程设计水土保持措施如下：</w:t>
      </w:r>
    </w:p>
    <w:p>
      <w:pPr>
        <w:spacing w:line="360" w:lineRule="auto"/>
        <w:ind w:firstLine="480"/>
        <w:jc w:val="both"/>
        <w:rPr>
          <w:rFonts w:eastAsia="仿宋_GB2312"/>
          <w:b/>
          <w:color w:val="auto"/>
          <w:szCs w:val="24"/>
        </w:rPr>
      </w:pPr>
      <w:r>
        <w:rPr>
          <w:rFonts w:eastAsia="仿宋_GB2312"/>
          <w:color w:val="auto"/>
          <w:szCs w:val="24"/>
        </w:rPr>
        <w:t>（</w:t>
      </w:r>
      <w:r>
        <w:rPr>
          <w:rFonts w:hint="eastAsia" w:eastAsia="仿宋_GB2312"/>
          <w:color w:val="auto"/>
          <w:szCs w:val="24"/>
          <w:lang w:val="en-US" w:eastAsia="zh-CN"/>
        </w:rPr>
        <w:t>1</w:t>
      </w:r>
      <w:r>
        <w:rPr>
          <w:rFonts w:eastAsia="仿宋_GB2312"/>
          <w:color w:val="auto"/>
          <w:szCs w:val="24"/>
        </w:rPr>
        <w:t>）临时堆土防护</w:t>
      </w:r>
    </w:p>
    <w:p>
      <w:pPr>
        <w:spacing w:line="360" w:lineRule="auto"/>
        <w:ind w:firstLine="480" w:firstLineChars="200"/>
        <w:rPr>
          <w:rFonts w:eastAsia="仿宋_GB2312"/>
          <w:color w:val="auto"/>
          <w:szCs w:val="24"/>
        </w:rPr>
      </w:pPr>
      <w:r>
        <w:rPr>
          <w:rFonts w:eastAsia="仿宋_GB2312"/>
          <w:color w:val="auto"/>
        </w:rPr>
        <w:t>本项目土方临时堆放场位于项目区内空地，</w:t>
      </w:r>
      <w:r>
        <w:rPr>
          <w:rFonts w:hint="eastAsia" w:eastAsia="仿宋_GB2312"/>
          <w:color w:val="auto"/>
          <w:lang w:val="en-US" w:eastAsia="zh-CN"/>
        </w:rPr>
        <w:t>堆场面积为180m</w:t>
      </w:r>
      <w:r>
        <w:rPr>
          <w:rFonts w:hint="eastAsia" w:eastAsia="仿宋_GB2312"/>
          <w:color w:val="auto"/>
          <w:vertAlign w:val="superscript"/>
          <w:lang w:val="en-US" w:eastAsia="zh-CN"/>
        </w:rPr>
        <w:t>2</w:t>
      </w:r>
      <w:r>
        <w:rPr>
          <w:rFonts w:hint="eastAsia" w:eastAsia="仿宋_GB2312"/>
          <w:color w:val="auto"/>
          <w:lang w:val="en-US" w:eastAsia="zh-CN"/>
        </w:rPr>
        <w:t>，</w:t>
      </w:r>
      <w:r>
        <w:rPr>
          <w:rFonts w:hint="default" w:ascii="Times New Roman" w:hAnsi="Times New Roman" w:eastAsia="仿宋_GB2312" w:cs="Times New Roman"/>
          <w:color w:val="auto"/>
          <w:highlight w:val="none"/>
        </w:rPr>
        <w:t>堆土场长</w:t>
      </w:r>
      <w:r>
        <w:rPr>
          <w:rFonts w:hint="eastAsia" w:eastAsia="仿宋_GB2312" w:cs="Times New Roman"/>
          <w:color w:val="auto"/>
          <w:highlight w:val="none"/>
          <w:lang w:val="en-US" w:eastAsia="zh-CN"/>
        </w:rPr>
        <w:t>15</w:t>
      </w:r>
      <w:r>
        <w:rPr>
          <w:rFonts w:hint="default" w:ascii="Times New Roman" w:hAnsi="Times New Roman" w:eastAsia="仿宋_GB2312" w:cs="Times New Roman"/>
          <w:color w:val="auto"/>
          <w:highlight w:val="none"/>
        </w:rPr>
        <w:t>m、宽</w:t>
      </w:r>
      <w:r>
        <w:rPr>
          <w:rFonts w:hint="eastAsia" w:eastAsia="仿宋_GB2312" w:cs="Times New Roman"/>
          <w:color w:val="auto"/>
          <w:highlight w:val="none"/>
          <w:lang w:val="en-US" w:eastAsia="zh-CN"/>
        </w:rPr>
        <w:t>12</w:t>
      </w:r>
      <w:r>
        <w:rPr>
          <w:rFonts w:hint="default" w:ascii="Times New Roman" w:hAnsi="Times New Roman" w:eastAsia="仿宋_GB2312" w:cs="Times New Roman"/>
          <w:color w:val="auto"/>
          <w:highlight w:val="none"/>
        </w:rPr>
        <w:t>m、高</w:t>
      </w:r>
      <w:r>
        <w:rPr>
          <w:rFonts w:hint="eastAsia" w:eastAsia="仿宋_GB2312" w:cs="Times New Roman"/>
          <w:color w:val="auto"/>
          <w:highlight w:val="none"/>
          <w:lang w:val="en-US" w:eastAsia="zh-CN"/>
        </w:rPr>
        <w:t>3.5</w:t>
      </w:r>
      <w:r>
        <w:rPr>
          <w:rFonts w:hint="default" w:ascii="Times New Roman" w:hAnsi="Times New Roman" w:eastAsia="仿宋_GB2312" w:cs="Times New Roman"/>
          <w:color w:val="auto"/>
          <w:highlight w:val="none"/>
        </w:rPr>
        <w:t>m</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rPr>
        <w:t>边坡比1：1.</w:t>
      </w:r>
      <w:r>
        <w:rPr>
          <w:rFonts w:hint="default" w:ascii="Times New Roman" w:hAnsi="Times New Roman" w:eastAsia="仿宋_GB2312" w:cs="Times New Roman"/>
          <w:color w:val="auto"/>
          <w:highlight w:val="none"/>
          <w:lang w:val="en-US" w:eastAsia="zh-CN"/>
        </w:rPr>
        <w:t>5</w:t>
      </w:r>
      <w:r>
        <w:rPr>
          <w:rFonts w:hint="eastAsia" w:eastAsia="仿宋_GB2312" w:cs="Times New Roman"/>
          <w:color w:val="auto"/>
          <w:highlight w:val="none"/>
          <w:lang w:val="en-US" w:eastAsia="zh-CN"/>
        </w:rPr>
        <w:t>，堆土场可容土方0.04万m</w:t>
      </w:r>
      <w:r>
        <w:rPr>
          <w:rFonts w:hint="eastAsia" w:eastAsia="仿宋_GB2312" w:cs="Times New Roman"/>
          <w:color w:val="auto"/>
          <w:highlight w:val="none"/>
          <w:vertAlign w:val="superscript"/>
          <w:lang w:val="en-US" w:eastAsia="zh-CN"/>
        </w:rPr>
        <w:t>3</w:t>
      </w:r>
      <w:r>
        <w:rPr>
          <w:rFonts w:hint="eastAsia" w:eastAsia="仿宋_GB2312" w:cs="Times New Roman"/>
          <w:color w:val="auto"/>
          <w:highlight w:val="none"/>
          <w:lang w:val="en-US" w:eastAsia="zh-CN"/>
        </w:rPr>
        <w:t>，可以满足堆土要求。堆存时间较短，主体工程仅采取密目网苫盖措施，</w:t>
      </w:r>
      <w:r>
        <w:rPr>
          <w:rFonts w:eastAsia="仿宋_GB2312"/>
          <w:color w:val="auto"/>
          <w:szCs w:val="24"/>
        </w:rPr>
        <w:t>共需密目网覆盖</w:t>
      </w:r>
      <w:r>
        <w:rPr>
          <w:rFonts w:hint="eastAsia" w:eastAsia="仿宋_GB2312"/>
          <w:color w:val="auto"/>
          <w:szCs w:val="24"/>
          <w:lang w:val="en-US" w:eastAsia="zh-CN"/>
        </w:rPr>
        <w:t>300</w:t>
      </w:r>
      <w:r>
        <w:rPr>
          <w:rFonts w:eastAsia="仿宋_GB2312"/>
          <w:color w:val="auto"/>
          <w:szCs w:val="24"/>
        </w:rPr>
        <w:t>m</w:t>
      </w:r>
      <w:r>
        <w:rPr>
          <w:rFonts w:eastAsia="仿宋_GB2312"/>
          <w:color w:val="auto"/>
          <w:szCs w:val="24"/>
          <w:vertAlign w:val="superscript"/>
        </w:rPr>
        <w:t>2</w:t>
      </w:r>
      <w:r>
        <w:rPr>
          <w:rFonts w:eastAsia="仿宋_GB2312"/>
          <w:color w:val="auto"/>
          <w:szCs w:val="24"/>
        </w:rPr>
        <w:t>。</w:t>
      </w:r>
    </w:p>
    <w:p>
      <w:pPr>
        <w:spacing w:line="360" w:lineRule="auto"/>
        <w:ind w:firstLine="580"/>
        <w:rPr>
          <w:rFonts w:hint="default" w:eastAsia="仿宋_GB2312"/>
          <w:color w:val="auto"/>
          <w:szCs w:val="28"/>
          <w:lang w:val="en-US" w:eastAsia="zh-CN"/>
        </w:rPr>
      </w:pPr>
      <w:r>
        <w:rPr>
          <w:rFonts w:hint="eastAsia" w:eastAsia="仿宋_GB2312"/>
          <w:color w:val="auto"/>
          <w:szCs w:val="28"/>
          <w:lang w:eastAsia="zh-CN"/>
        </w:rPr>
        <w:t>（</w:t>
      </w:r>
      <w:r>
        <w:rPr>
          <w:rFonts w:hint="eastAsia" w:eastAsia="仿宋_GB2312"/>
          <w:color w:val="auto"/>
          <w:szCs w:val="28"/>
          <w:lang w:val="en-US" w:eastAsia="zh-CN"/>
        </w:rPr>
        <w:t>2</w:t>
      </w:r>
      <w:r>
        <w:rPr>
          <w:rFonts w:hint="eastAsia" w:eastAsia="仿宋_GB2312"/>
          <w:color w:val="auto"/>
          <w:szCs w:val="28"/>
          <w:lang w:eastAsia="zh-CN"/>
        </w:rPr>
        <w:t>）</w:t>
      </w:r>
      <w:r>
        <w:rPr>
          <w:rFonts w:hint="eastAsia" w:eastAsia="仿宋_GB2312"/>
          <w:color w:val="auto"/>
          <w:szCs w:val="28"/>
          <w:lang w:val="en-US" w:eastAsia="zh-CN"/>
        </w:rPr>
        <w:t>泥浆池</w:t>
      </w:r>
    </w:p>
    <w:p>
      <w:pPr>
        <w:spacing w:line="360" w:lineRule="auto"/>
        <w:ind w:firstLine="580"/>
        <w:rPr>
          <w:rFonts w:hint="default" w:eastAsia="仿宋_GB2312"/>
          <w:color w:val="auto"/>
          <w:szCs w:val="28"/>
          <w:lang w:val="en-US" w:eastAsia="zh-CN"/>
        </w:rPr>
      </w:pPr>
      <w:r>
        <w:rPr>
          <w:rFonts w:hint="eastAsia" w:eastAsia="仿宋_GB2312"/>
          <w:color w:val="auto"/>
          <w:szCs w:val="28"/>
          <w:lang w:val="en-US" w:eastAsia="zh-CN"/>
        </w:rPr>
        <w:t>在打井施工期间，布设 1 座泥浆池，泥浆池采用土质结构，长度 6m，宽度 6m，深度 2m，</w:t>
      </w:r>
      <w:r>
        <w:rPr>
          <w:rFonts w:hint="eastAsia" w:eastAsia="仿宋_GB2312"/>
          <w:color w:val="auto"/>
          <w:lang w:eastAsia="zh-CN"/>
        </w:rPr>
        <w:t>内铺土工布防护。</w:t>
      </w:r>
      <w:r>
        <w:rPr>
          <w:rFonts w:hint="eastAsia" w:eastAsia="仿宋_GB2312"/>
          <w:color w:val="auto"/>
          <w:szCs w:val="28"/>
          <w:lang w:val="en-US" w:eastAsia="zh-CN"/>
        </w:rPr>
        <w:t>打井完工后，将泥浆保护在池底，顶部覆土填埋。该措施能够避免泥浆外溢，具有水土保持功能，符合水土保持要求。</w:t>
      </w:r>
    </w:p>
    <w:p>
      <w:pPr>
        <w:spacing w:line="360" w:lineRule="auto"/>
        <w:ind w:firstLine="580"/>
        <w:rPr>
          <w:rFonts w:eastAsia="仿宋_GB2312"/>
          <w:color w:val="auto"/>
          <w:szCs w:val="28"/>
        </w:rPr>
      </w:pPr>
      <w:r>
        <w:rPr>
          <w:rFonts w:eastAsia="仿宋_GB2312"/>
          <w:color w:val="auto"/>
          <w:szCs w:val="28"/>
        </w:rPr>
        <w:t>主体工程设计具有水土保持功能措施的分析评价见表3-</w:t>
      </w:r>
      <w:r>
        <w:rPr>
          <w:rFonts w:hint="eastAsia" w:eastAsia="仿宋_GB2312"/>
          <w:color w:val="auto"/>
          <w:szCs w:val="28"/>
          <w:lang w:val="en-US" w:eastAsia="zh-CN"/>
        </w:rPr>
        <w:t>2</w:t>
      </w:r>
      <w:r>
        <w:rPr>
          <w:rFonts w:eastAsia="仿宋_GB2312"/>
          <w:color w:val="auto"/>
          <w:szCs w:val="28"/>
        </w:rPr>
        <w:t>。</w:t>
      </w:r>
    </w:p>
    <w:p>
      <w:pPr>
        <w:widowControl/>
        <w:snapToGrid w:val="0"/>
        <w:spacing w:line="360" w:lineRule="auto"/>
        <w:jc w:val="center"/>
        <w:rPr>
          <w:rFonts w:eastAsia="仿宋_GB2312"/>
          <w:b/>
          <w:bCs/>
          <w:color w:val="auto"/>
          <w:szCs w:val="28"/>
        </w:rPr>
      </w:pPr>
    </w:p>
    <w:p>
      <w:pPr>
        <w:widowControl/>
        <w:snapToGrid w:val="0"/>
        <w:spacing w:line="360" w:lineRule="auto"/>
        <w:jc w:val="both"/>
        <w:rPr>
          <w:rFonts w:eastAsia="仿宋_GB2312"/>
          <w:b/>
          <w:bCs/>
          <w:color w:val="auto"/>
          <w:szCs w:val="28"/>
        </w:rPr>
      </w:pPr>
      <w:r>
        <w:rPr>
          <w:rFonts w:eastAsia="仿宋_GB2312"/>
          <w:b/>
          <w:bCs/>
          <w:color w:val="auto"/>
          <w:szCs w:val="28"/>
        </w:rPr>
        <w:t>表3-</w:t>
      </w:r>
      <w:r>
        <w:rPr>
          <w:rFonts w:hint="eastAsia" w:eastAsia="仿宋_GB2312"/>
          <w:b/>
          <w:bCs/>
          <w:color w:val="auto"/>
          <w:szCs w:val="28"/>
          <w:lang w:val="en-US" w:eastAsia="zh-CN"/>
        </w:rPr>
        <w:t>2</w:t>
      </w:r>
      <w:r>
        <w:rPr>
          <w:rFonts w:eastAsia="仿宋_GB2312"/>
          <w:b/>
          <w:bCs/>
          <w:color w:val="auto"/>
          <w:szCs w:val="28"/>
        </w:rPr>
        <w:t xml:space="preserve">           主体工程设计具有水土保持功能措施评价表</w:t>
      </w:r>
    </w:p>
    <w:tbl>
      <w:tblPr>
        <w:tblStyle w:val="24"/>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7"/>
        <w:gridCol w:w="1882"/>
        <w:gridCol w:w="2706"/>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7" w:type="dxa"/>
            <w:tcMar>
              <w:top w:w="0" w:type="dxa"/>
              <w:left w:w="0" w:type="dxa"/>
              <w:bottom w:w="0" w:type="dxa"/>
              <w:right w:w="0" w:type="dxa"/>
            </w:tcMar>
            <w:vAlign w:val="center"/>
          </w:tcPr>
          <w:p>
            <w:pPr>
              <w:pStyle w:val="71"/>
              <w:rPr>
                <w:rFonts w:ascii="Times New Roman" w:hAnsi="Times New Roman" w:eastAsia="仿宋_GB2312"/>
                <w:color w:val="auto"/>
              </w:rPr>
            </w:pPr>
            <w:r>
              <w:rPr>
                <w:rFonts w:ascii="Times New Roman" w:hAnsi="Times New Roman" w:eastAsia="仿宋_GB2312"/>
                <w:color w:val="auto"/>
              </w:rPr>
              <w:t>防治分区</w:t>
            </w:r>
          </w:p>
        </w:tc>
        <w:tc>
          <w:tcPr>
            <w:tcW w:w="1882" w:type="dxa"/>
            <w:vAlign w:val="center"/>
          </w:tcPr>
          <w:p>
            <w:pPr>
              <w:pStyle w:val="71"/>
              <w:rPr>
                <w:rFonts w:ascii="Times New Roman" w:hAnsi="Times New Roman" w:eastAsia="仿宋_GB2312"/>
                <w:color w:val="auto"/>
              </w:rPr>
            </w:pPr>
            <w:r>
              <w:rPr>
                <w:rFonts w:ascii="Times New Roman" w:hAnsi="Times New Roman" w:eastAsia="仿宋_GB2312"/>
                <w:color w:val="auto"/>
              </w:rPr>
              <w:t>措施分类</w:t>
            </w:r>
          </w:p>
        </w:tc>
        <w:tc>
          <w:tcPr>
            <w:tcW w:w="2706" w:type="dxa"/>
            <w:vAlign w:val="center"/>
          </w:tcPr>
          <w:p>
            <w:pPr>
              <w:pStyle w:val="71"/>
              <w:rPr>
                <w:rFonts w:ascii="Times New Roman" w:hAnsi="Times New Roman" w:eastAsia="仿宋_GB2312"/>
                <w:color w:val="auto"/>
              </w:rPr>
            </w:pPr>
            <w:r>
              <w:rPr>
                <w:rFonts w:ascii="Times New Roman" w:hAnsi="Times New Roman" w:eastAsia="仿宋_GB2312"/>
                <w:color w:val="auto"/>
              </w:rPr>
              <w:t>界定为水保</w:t>
            </w:r>
          </w:p>
          <w:p>
            <w:pPr>
              <w:pStyle w:val="71"/>
              <w:rPr>
                <w:rFonts w:ascii="Times New Roman" w:hAnsi="Times New Roman" w:eastAsia="仿宋_GB2312"/>
                <w:color w:val="auto"/>
              </w:rPr>
            </w:pPr>
            <w:r>
              <w:rPr>
                <w:rFonts w:ascii="Times New Roman" w:hAnsi="Times New Roman" w:eastAsia="仿宋_GB2312"/>
                <w:color w:val="auto"/>
              </w:rPr>
              <w:t>工程的措施</w:t>
            </w:r>
          </w:p>
        </w:tc>
        <w:tc>
          <w:tcPr>
            <w:tcW w:w="2596" w:type="dxa"/>
            <w:vAlign w:val="center"/>
          </w:tcPr>
          <w:p>
            <w:pPr>
              <w:pStyle w:val="71"/>
              <w:rPr>
                <w:rFonts w:ascii="Times New Roman" w:hAnsi="Times New Roman" w:eastAsia="仿宋_GB2312"/>
                <w:color w:val="auto"/>
              </w:rPr>
            </w:pPr>
            <w:r>
              <w:rPr>
                <w:rFonts w:ascii="Times New Roman" w:hAnsi="Times New Roman" w:eastAsia="仿宋_GB2312"/>
                <w:color w:val="auto"/>
              </w:rPr>
              <w:t>需补充</w:t>
            </w:r>
          </w:p>
          <w:p>
            <w:pPr>
              <w:pStyle w:val="71"/>
              <w:rPr>
                <w:rFonts w:ascii="Times New Roman" w:hAnsi="Times New Roman" w:eastAsia="仿宋_GB2312"/>
                <w:color w:val="auto"/>
              </w:rPr>
            </w:pPr>
            <w:r>
              <w:rPr>
                <w:rFonts w:ascii="Times New Roman" w:hAnsi="Times New Roman" w:eastAsia="仿宋_GB2312"/>
                <w:color w:val="auto"/>
              </w:rPr>
              <w:t>完善的措施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337" w:type="dxa"/>
            <w:tcMar>
              <w:top w:w="0" w:type="dxa"/>
              <w:left w:w="0" w:type="dxa"/>
              <w:bottom w:w="0" w:type="dxa"/>
              <w:right w:w="0" w:type="dxa"/>
            </w:tcMar>
            <w:vAlign w:val="center"/>
          </w:tcPr>
          <w:p>
            <w:pPr>
              <w:pStyle w:val="71"/>
              <w:rPr>
                <w:rFonts w:ascii="Times New Roman" w:hAnsi="Times New Roman" w:eastAsia="仿宋_GB2312"/>
                <w:color w:val="auto"/>
              </w:rPr>
            </w:pPr>
            <w:r>
              <w:rPr>
                <w:rFonts w:ascii="Times New Roman" w:hAnsi="Times New Roman" w:eastAsia="仿宋_GB2312"/>
                <w:color w:val="auto"/>
              </w:rPr>
              <w:t>工程建设区</w:t>
            </w:r>
          </w:p>
        </w:tc>
        <w:tc>
          <w:tcPr>
            <w:tcW w:w="1882" w:type="dxa"/>
            <w:vAlign w:val="center"/>
          </w:tcPr>
          <w:p>
            <w:pPr>
              <w:pStyle w:val="71"/>
              <w:rPr>
                <w:rFonts w:ascii="Times New Roman" w:hAnsi="Times New Roman" w:eastAsia="仿宋_GB2312" w:cs="Times New Roman"/>
                <w:color w:val="auto"/>
                <w:kern w:val="2"/>
                <w:sz w:val="21"/>
                <w:szCs w:val="21"/>
                <w:lang w:val="en-US" w:eastAsia="zh-CN" w:bidi="ar-SA"/>
              </w:rPr>
            </w:pPr>
            <w:r>
              <w:rPr>
                <w:rFonts w:ascii="Times New Roman" w:hAnsi="Times New Roman" w:eastAsia="仿宋_GB2312"/>
                <w:color w:val="auto"/>
              </w:rPr>
              <w:t>临时措施</w:t>
            </w:r>
          </w:p>
        </w:tc>
        <w:tc>
          <w:tcPr>
            <w:tcW w:w="2706" w:type="dxa"/>
            <w:vAlign w:val="center"/>
          </w:tcPr>
          <w:p>
            <w:pPr>
              <w:pStyle w:val="71"/>
              <w:rPr>
                <w:rFonts w:hint="eastAsia" w:ascii="Times New Roman" w:hAnsi="Times New Roman" w:eastAsia="仿宋_GB2312"/>
                <w:color w:val="auto"/>
                <w:lang w:val="en-US" w:eastAsia="zh-CN"/>
              </w:rPr>
            </w:pPr>
            <w:r>
              <w:rPr>
                <w:rFonts w:ascii="Times New Roman" w:hAnsi="Times New Roman" w:eastAsia="仿宋_GB2312"/>
                <w:color w:val="auto"/>
              </w:rPr>
              <w:t>临时堆土</w:t>
            </w:r>
            <w:r>
              <w:rPr>
                <w:rFonts w:hint="eastAsia" w:ascii="Times New Roman" w:hAnsi="Times New Roman" w:eastAsia="仿宋_GB2312"/>
                <w:color w:val="auto"/>
                <w:lang w:val="en-US" w:eastAsia="zh-CN"/>
              </w:rPr>
              <w:t>密目网苫盖</w:t>
            </w:r>
          </w:p>
          <w:p>
            <w:pPr>
              <w:pStyle w:val="71"/>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olor w:val="auto"/>
                <w:lang w:val="en-US" w:eastAsia="zh-CN"/>
              </w:rPr>
              <w:t>泥浆池</w:t>
            </w:r>
          </w:p>
        </w:tc>
        <w:tc>
          <w:tcPr>
            <w:tcW w:w="2596" w:type="dxa"/>
            <w:vAlign w:val="center"/>
          </w:tcPr>
          <w:p>
            <w:pPr>
              <w:jc w:val="center"/>
              <w:rPr>
                <w:rFonts w:ascii="Times New Roman" w:hAnsi="Times New Roman" w:eastAsia="仿宋_GB2312" w:cs="Times New Roman"/>
                <w:color w:val="auto"/>
                <w:sz w:val="21"/>
                <w:szCs w:val="21"/>
                <w:lang w:val="en-US" w:eastAsia="zh-CN" w:bidi="ar-SA"/>
              </w:rPr>
            </w:pPr>
            <w:r>
              <w:rPr>
                <w:rFonts w:eastAsia="仿宋_GB2312"/>
                <w:color w:val="auto"/>
              </w:rPr>
              <w:t>\</w:t>
            </w:r>
          </w:p>
        </w:tc>
      </w:tr>
    </w:tbl>
    <w:p>
      <w:pPr>
        <w:pStyle w:val="5"/>
        <w:spacing w:before="100" w:beforeAutospacing="1" w:after="0" w:line="360" w:lineRule="auto"/>
        <w:rPr>
          <w:rFonts w:ascii="Times New Roman" w:hAnsi="Times New Roman" w:eastAsia="仿宋_GB2312"/>
          <w:color w:val="auto"/>
          <w:sz w:val="28"/>
          <w:szCs w:val="28"/>
        </w:rPr>
      </w:pPr>
      <w:bookmarkStart w:id="39" w:name="_Toc26880"/>
      <w:r>
        <w:rPr>
          <w:rFonts w:ascii="Times New Roman" w:hAnsi="Times New Roman" w:eastAsia="仿宋_GB2312"/>
          <w:color w:val="auto"/>
          <w:sz w:val="28"/>
          <w:szCs w:val="28"/>
        </w:rPr>
        <w:t>3.3主体工程设计中水土保持措施界定</w:t>
      </w:r>
      <w:bookmarkEnd w:id="39"/>
    </w:p>
    <w:p>
      <w:pPr>
        <w:spacing w:line="360" w:lineRule="auto"/>
        <w:ind w:firstLine="480" w:firstLineChars="200"/>
        <w:jc w:val="both"/>
        <w:rPr>
          <w:rFonts w:eastAsia="仿宋_GB2312"/>
          <w:bCs/>
          <w:iCs/>
          <w:color w:val="auto"/>
          <w:szCs w:val="24"/>
        </w:rPr>
      </w:pPr>
      <w:r>
        <w:rPr>
          <w:rFonts w:eastAsia="仿宋_GB2312"/>
          <w:bCs/>
          <w:iCs/>
          <w:color w:val="auto"/>
          <w:szCs w:val="24"/>
        </w:rPr>
        <w:t>通过对主体设计中具有水土保持功能的分析评价，按《生产建设项目水土保持技术标准》中的界定原则，确定具有水土保持功能的措施是否为水土保持措施。</w:t>
      </w:r>
    </w:p>
    <w:p>
      <w:pPr>
        <w:pStyle w:val="48"/>
        <w:numPr>
          <w:ilvl w:val="0"/>
          <w:numId w:val="3"/>
        </w:numPr>
        <w:spacing w:line="360" w:lineRule="auto"/>
        <w:ind w:left="0" w:leftChars="0" w:firstLine="480" w:firstLine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 xml:space="preserve">密目网苫盖 </w:t>
      </w:r>
    </w:p>
    <w:p>
      <w:pPr>
        <w:pStyle w:val="48"/>
        <w:numPr>
          <w:ilvl w:val="0"/>
          <w:numId w:val="0"/>
        </w:numPr>
        <w:spacing w:line="360" w:lineRule="auto"/>
        <w:ind w:firstLine="480" w:firstLine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工程建设区内的主体建筑开挖土方</w:t>
      </w:r>
      <w:r>
        <w:rPr>
          <w:rFonts w:hint="eastAsia" w:ascii="Times New Roman" w:hAnsi="Times New Roman" w:eastAsia="仿宋_GB2312" w:cs="Times New Roman"/>
          <w:color w:val="auto"/>
          <w:sz w:val="24"/>
          <w:szCs w:val="24"/>
          <w:highlight w:val="none"/>
          <w:lang w:val="en-US" w:eastAsia="zh-CN"/>
        </w:rPr>
        <w:t>随挖随填，不能及时回填的土方堆存于临时堆土场，堆土场面积180m</w:t>
      </w:r>
      <w:r>
        <w:rPr>
          <w:rFonts w:hint="eastAsia" w:ascii="Times New Roman" w:hAnsi="Times New Roman"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，由于堆存时间较短，</w:t>
      </w:r>
      <w:r>
        <w:rPr>
          <w:rFonts w:hint="eastAsia" w:ascii="Times New Roman" w:hAnsi="Times New Roman" w:eastAsia="仿宋_GB2312" w:cs="Times New Roman"/>
          <w:color w:val="auto"/>
          <w:sz w:val="24"/>
          <w:szCs w:val="24"/>
          <w:highlight w:val="none"/>
          <w:lang w:val="en-US" w:eastAsia="zh-CN"/>
        </w:rPr>
        <w:t>主体</w:t>
      </w:r>
      <w:r>
        <w:rPr>
          <w:rFonts w:hint="eastAsia" w:ascii="Times New Roman" w:hAnsi="Times New Roman" w:eastAsia="仿宋_GB2312" w:cs="Times New Roman"/>
          <w:color w:val="auto"/>
          <w:sz w:val="24"/>
          <w:szCs w:val="24"/>
          <w:highlight w:val="none"/>
          <w:lang w:val="en-US" w:eastAsia="zh-CN"/>
        </w:rPr>
        <w:t>采取密目网苫盖措施，密目网苫盖量300m</w:t>
      </w:r>
      <w:r>
        <w:rPr>
          <w:rFonts w:hint="eastAsia" w:ascii="Times New Roman" w:hAnsi="Times New Roman"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szCs w:val="24"/>
          <w:highlight w:val="none"/>
        </w:rPr>
        <w:t>实施的时间为 20</w:t>
      </w:r>
      <w:r>
        <w:rPr>
          <w:rFonts w:hint="eastAsia" w:ascii="Times New Roman" w:hAnsi="Times New Roman" w:eastAsia="仿宋_GB2312" w:cs="Times New Roman"/>
          <w:color w:val="auto"/>
          <w:sz w:val="24"/>
          <w:szCs w:val="24"/>
          <w:highlight w:val="none"/>
          <w:lang w:val="en-US" w:eastAsia="zh-CN"/>
        </w:rPr>
        <w:t>22</w:t>
      </w:r>
      <w:r>
        <w:rPr>
          <w:rFonts w:hint="default" w:ascii="Times New Roman" w:hAnsi="Times New Roman" w:eastAsia="仿宋_GB2312" w:cs="Times New Roman"/>
          <w:color w:val="auto"/>
          <w:sz w:val="24"/>
          <w:szCs w:val="24"/>
          <w:highlight w:val="none"/>
        </w:rPr>
        <w:t>年</w:t>
      </w:r>
      <w:r>
        <w:rPr>
          <w:rFonts w:hint="eastAsia" w:ascii="Times New Roman" w:hAnsi="Times New Roman" w:eastAsia="仿宋_GB2312" w:cs="Times New Roman"/>
          <w:color w:val="auto"/>
          <w:sz w:val="24"/>
          <w:szCs w:val="24"/>
          <w:highlight w:val="none"/>
          <w:lang w:val="en-US" w:eastAsia="zh-CN"/>
        </w:rPr>
        <w:t>8</w:t>
      </w:r>
      <w:r>
        <w:rPr>
          <w:rFonts w:hint="default" w:ascii="Times New Roman" w:hAnsi="Times New Roman" w:eastAsia="仿宋_GB2312" w:cs="Times New Roman"/>
          <w:color w:val="auto"/>
          <w:sz w:val="24"/>
          <w:szCs w:val="24"/>
          <w:highlight w:val="none"/>
        </w:rPr>
        <w:t>月至 20</w:t>
      </w:r>
      <w:r>
        <w:rPr>
          <w:rFonts w:hint="eastAsia" w:ascii="Times New Roman" w:hAnsi="Times New Roman" w:eastAsia="仿宋_GB2312" w:cs="Times New Roman"/>
          <w:color w:val="auto"/>
          <w:sz w:val="24"/>
          <w:szCs w:val="24"/>
          <w:highlight w:val="none"/>
          <w:lang w:val="en-US" w:eastAsia="zh-CN"/>
        </w:rPr>
        <w:t>22</w:t>
      </w:r>
      <w:r>
        <w:rPr>
          <w:rFonts w:hint="default" w:ascii="Times New Roman" w:hAnsi="Times New Roman" w:eastAsia="仿宋_GB2312" w:cs="Times New Roman"/>
          <w:color w:val="auto"/>
          <w:sz w:val="24"/>
          <w:szCs w:val="24"/>
          <w:highlight w:val="none"/>
        </w:rPr>
        <w:t xml:space="preserve"> 年</w:t>
      </w:r>
      <w:r>
        <w:rPr>
          <w:rFonts w:hint="eastAsia" w:ascii="Times New Roman" w:hAnsi="Times New Roman" w:eastAsia="仿宋_GB2312" w:cs="Times New Roman"/>
          <w:color w:val="auto"/>
          <w:sz w:val="24"/>
          <w:szCs w:val="24"/>
          <w:highlight w:val="none"/>
          <w:lang w:val="en-US" w:eastAsia="zh-CN"/>
        </w:rPr>
        <w:t>10</w:t>
      </w:r>
      <w:r>
        <w:rPr>
          <w:rFonts w:hint="default" w:ascii="Times New Roman" w:hAnsi="Times New Roman" w:eastAsia="仿宋_GB2312" w:cs="Times New Roman"/>
          <w:color w:val="auto"/>
          <w:sz w:val="24"/>
          <w:szCs w:val="24"/>
          <w:highlight w:val="none"/>
        </w:rPr>
        <w:t>月</w:t>
      </w:r>
      <w:r>
        <w:rPr>
          <w:rFonts w:hint="eastAsia"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rPr>
        <w:t xml:space="preserve">该工程已在主体工程中实施，界定为水土保持措施，计入水土保持投资。 </w:t>
      </w:r>
    </w:p>
    <w:p>
      <w:pPr>
        <w:spacing w:line="360" w:lineRule="auto"/>
        <w:ind w:firstLine="480" w:firstLineChars="200"/>
        <w:jc w:val="both"/>
        <w:rPr>
          <w:rFonts w:hint="default" w:eastAsia="仿宋_GB2312"/>
          <w:bCs/>
          <w:iCs/>
          <w:color w:val="auto"/>
          <w:szCs w:val="24"/>
          <w:lang w:val="en-US" w:eastAsia="zh-CN"/>
        </w:rPr>
      </w:pPr>
      <w:r>
        <w:rPr>
          <w:rFonts w:hint="eastAsia" w:eastAsia="仿宋_GB2312"/>
          <w:bCs/>
          <w:iCs/>
          <w:color w:val="auto"/>
          <w:szCs w:val="24"/>
          <w:lang w:val="en-US" w:eastAsia="zh-CN"/>
        </w:rPr>
        <w:t>（2）泥浆池</w:t>
      </w:r>
    </w:p>
    <w:p>
      <w:pPr>
        <w:spacing w:line="360" w:lineRule="auto"/>
        <w:ind w:firstLine="580"/>
        <w:rPr>
          <w:rFonts w:hint="eastAsia" w:eastAsia="仿宋_GB2312"/>
          <w:color w:val="auto"/>
          <w:szCs w:val="28"/>
          <w:lang w:val="en-US" w:eastAsia="zh-CN"/>
        </w:rPr>
      </w:pPr>
      <w:r>
        <w:rPr>
          <w:rFonts w:hint="eastAsia" w:eastAsia="仿宋_GB2312"/>
          <w:color w:val="auto"/>
          <w:szCs w:val="28"/>
          <w:lang w:val="en-US" w:eastAsia="zh-CN"/>
        </w:rPr>
        <w:t>在打井施工期间，布设 1 座泥浆池，泥浆池采用土质结构，长度 6m，宽度 6m，深度 2m，</w:t>
      </w:r>
      <w:r>
        <w:rPr>
          <w:rFonts w:hint="eastAsia" w:eastAsia="仿宋_GB2312"/>
          <w:color w:val="auto"/>
          <w:lang w:eastAsia="zh-CN"/>
        </w:rPr>
        <w:t>内铺土工布防护。</w:t>
      </w:r>
      <w:r>
        <w:rPr>
          <w:rFonts w:hint="eastAsia" w:eastAsia="仿宋_GB2312"/>
          <w:color w:val="auto"/>
          <w:szCs w:val="28"/>
          <w:lang w:val="en-US" w:eastAsia="zh-CN"/>
        </w:rPr>
        <w:t>打井完工后，将泥浆保护在池底，顶部覆土填埋。实施的时间为 2022年8月至 2022 年10月。该工程已在主体工程中实施，界定为水土保持措施，计入水土保持投资。</w:t>
      </w:r>
    </w:p>
    <w:p>
      <w:pPr>
        <w:spacing w:line="360" w:lineRule="auto"/>
        <w:ind w:firstLine="480" w:firstLineChars="200"/>
        <w:jc w:val="both"/>
        <w:rPr>
          <w:rFonts w:eastAsia="仿宋_GB2312"/>
          <w:bCs/>
          <w:iCs/>
          <w:color w:val="auto"/>
          <w:szCs w:val="24"/>
        </w:rPr>
      </w:pPr>
      <w:r>
        <w:rPr>
          <w:rFonts w:hint="eastAsia" w:eastAsia="仿宋_GB2312"/>
          <w:bCs/>
          <w:iCs/>
          <w:color w:val="auto"/>
          <w:szCs w:val="24"/>
          <w:lang w:val="en-US" w:eastAsia="zh-CN"/>
        </w:rPr>
        <w:t>综上，主体工程中具有水土保持功能措施的为临时堆土密目网苫盖措施，总投资为0.29万元，</w:t>
      </w:r>
      <w:r>
        <w:rPr>
          <w:rFonts w:eastAsia="仿宋_GB2312"/>
          <w:bCs/>
          <w:iCs/>
          <w:color w:val="auto"/>
          <w:szCs w:val="24"/>
        </w:rPr>
        <w:t>详见表3-</w:t>
      </w:r>
      <w:r>
        <w:rPr>
          <w:rFonts w:hint="eastAsia" w:eastAsia="仿宋_GB2312"/>
          <w:bCs/>
          <w:iCs/>
          <w:color w:val="auto"/>
          <w:szCs w:val="24"/>
          <w:lang w:val="en-US" w:eastAsia="zh-CN"/>
        </w:rPr>
        <w:t>3</w:t>
      </w:r>
      <w:r>
        <w:rPr>
          <w:rFonts w:eastAsia="仿宋_GB2312"/>
          <w:bCs/>
          <w:iCs/>
          <w:color w:val="auto"/>
          <w:szCs w:val="24"/>
        </w:rPr>
        <w:t>。</w:t>
      </w:r>
    </w:p>
    <w:p>
      <w:pPr>
        <w:spacing w:line="240" w:lineRule="auto"/>
        <w:jc w:val="center"/>
        <w:rPr>
          <w:rFonts w:eastAsia="仿宋_GB2312"/>
          <w:b/>
          <w:bCs/>
          <w:color w:val="auto"/>
          <w:szCs w:val="28"/>
        </w:rPr>
      </w:pPr>
      <w:r>
        <w:rPr>
          <w:rFonts w:eastAsia="仿宋_GB2312"/>
          <w:b/>
          <w:bCs/>
          <w:color w:val="auto"/>
          <w:szCs w:val="28"/>
        </w:rPr>
        <w:t>表3-</w:t>
      </w:r>
      <w:r>
        <w:rPr>
          <w:rFonts w:hint="eastAsia" w:eastAsia="仿宋_GB2312"/>
          <w:b/>
          <w:bCs/>
          <w:color w:val="auto"/>
          <w:szCs w:val="28"/>
          <w:lang w:val="en-US" w:eastAsia="zh-CN"/>
        </w:rPr>
        <w:t>3</w:t>
      </w:r>
      <w:r>
        <w:rPr>
          <w:rFonts w:eastAsia="仿宋_GB2312"/>
          <w:b/>
          <w:bCs/>
          <w:color w:val="auto"/>
          <w:szCs w:val="28"/>
        </w:rPr>
        <w:t xml:space="preserve">       主体已列水土保持措施及投资统计表</w:t>
      </w:r>
    </w:p>
    <w:tbl>
      <w:tblPr>
        <w:tblStyle w:val="24"/>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2283"/>
        <w:gridCol w:w="1139"/>
        <w:gridCol w:w="1035"/>
        <w:gridCol w:w="1078"/>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494" w:type="dxa"/>
            <w:vMerge w:val="restart"/>
            <w:vAlign w:val="center"/>
          </w:tcPr>
          <w:p>
            <w:pPr>
              <w:pStyle w:val="71"/>
              <w:rPr>
                <w:rFonts w:ascii="Times New Roman" w:hAnsi="Times New Roman" w:eastAsia="仿宋_GB2312"/>
                <w:color w:val="auto"/>
              </w:rPr>
            </w:pPr>
            <w:r>
              <w:rPr>
                <w:rFonts w:ascii="Times New Roman" w:hAnsi="Times New Roman" w:eastAsia="仿宋_GB2312"/>
                <w:color w:val="auto"/>
              </w:rPr>
              <w:t>序号</w:t>
            </w:r>
          </w:p>
        </w:tc>
        <w:tc>
          <w:tcPr>
            <w:tcW w:w="2283" w:type="dxa"/>
            <w:vMerge w:val="restart"/>
            <w:vAlign w:val="center"/>
          </w:tcPr>
          <w:p>
            <w:pPr>
              <w:pStyle w:val="71"/>
              <w:rPr>
                <w:rFonts w:ascii="Times New Roman" w:hAnsi="Times New Roman" w:eastAsia="仿宋_GB2312"/>
                <w:color w:val="auto"/>
              </w:rPr>
            </w:pPr>
            <w:r>
              <w:rPr>
                <w:rFonts w:ascii="Times New Roman" w:hAnsi="Times New Roman" w:eastAsia="仿宋_GB2312"/>
                <w:color w:val="auto"/>
              </w:rPr>
              <w:t>项目</w:t>
            </w:r>
          </w:p>
        </w:tc>
        <w:tc>
          <w:tcPr>
            <w:tcW w:w="1139" w:type="dxa"/>
            <w:vMerge w:val="restart"/>
            <w:vAlign w:val="center"/>
          </w:tcPr>
          <w:p>
            <w:pPr>
              <w:pStyle w:val="71"/>
              <w:rPr>
                <w:rFonts w:ascii="Times New Roman" w:hAnsi="Times New Roman" w:eastAsia="仿宋_GB2312"/>
                <w:color w:val="auto"/>
              </w:rPr>
            </w:pPr>
            <w:r>
              <w:rPr>
                <w:rFonts w:ascii="Times New Roman" w:hAnsi="Times New Roman" w:eastAsia="仿宋_GB2312"/>
                <w:color w:val="auto"/>
              </w:rPr>
              <w:t>单位</w:t>
            </w:r>
          </w:p>
        </w:tc>
        <w:tc>
          <w:tcPr>
            <w:tcW w:w="1035" w:type="dxa"/>
            <w:vMerge w:val="restart"/>
            <w:vAlign w:val="center"/>
          </w:tcPr>
          <w:p>
            <w:pPr>
              <w:pStyle w:val="71"/>
              <w:rPr>
                <w:rFonts w:ascii="Times New Roman" w:hAnsi="Times New Roman" w:eastAsia="仿宋_GB2312"/>
                <w:color w:val="auto"/>
              </w:rPr>
            </w:pPr>
            <w:r>
              <w:rPr>
                <w:rFonts w:ascii="Times New Roman" w:hAnsi="Times New Roman" w:eastAsia="仿宋_GB2312"/>
                <w:color w:val="auto"/>
              </w:rPr>
              <w:t>数量</w:t>
            </w:r>
          </w:p>
        </w:tc>
        <w:tc>
          <w:tcPr>
            <w:tcW w:w="1078" w:type="dxa"/>
            <w:vMerge w:val="restart"/>
            <w:vAlign w:val="center"/>
          </w:tcPr>
          <w:p>
            <w:pPr>
              <w:pStyle w:val="71"/>
              <w:rPr>
                <w:rFonts w:hint="eastAsia" w:ascii="Times New Roman" w:hAnsi="Times New Roman" w:eastAsia="仿宋_GB2312"/>
                <w:color w:val="auto"/>
                <w:lang w:eastAsia="zh-CN"/>
              </w:rPr>
            </w:pPr>
            <w:r>
              <w:rPr>
                <w:rFonts w:ascii="Times New Roman" w:hAnsi="Times New Roman" w:eastAsia="仿宋_GB2312"/>
                <w:color w:val="auto"/>
              </w:rPr>
              <w:t>单价</w:t>
            </w:r>
            <w:r>
              <w:rPr>
                <w:rFonts w:hint="eastAsia" w:ascii="Times New Roman" w:hAnsi="Times New Roman" w:eastAsia="仿宋_GB2312"/>
                <w:color w:val="auto"/>
                <w:lang w:eastAsia="zh-CN"/>
              </w:rPr>
              <w:t>（</w:t>
            </w:r>
            <w:r>
              <w:rPr>
                <w:rFonts w:hint="eastAsia" w:ascii="Times New Roman" w:hAnsi="Times New Roman" w:eastAsia="仿宋_GB2312"/>
                <w:color w:val="auto"/>
                <w:lang w:val="en-US" w:eastAsia="zh-CN"/>
              </w:rPr>
              <w:t>元</w:t>
            </w:r>
            <w:r>
              <w:rPr>
                <w:rFonts w:hint="eastAsia" w:ascii="Times New Roman" w:hAnsi="Times New Roman" w:eastAsia="仿宋_GB2312"/>
                <w:color w:val="auto"/>
                <w:lang w:eastAsia="zh-CN"/>
              </w:rPr>
              <w:t>）</w:t>
            </w:r>
          </w:p>
        </w:tc>
        <w:tc>
          <w:tcPr>
            <w:tcW w:w="1494" w:type="dxa"/>
            <w:vAlign w:val="center"/>
          </w:tcPr>
          <w:p>
            <w:pPr>
              <w:pStyle w:val="71"/>
              <w:rPr>
                <w:rFonts w:ascii="Times New Roman" w:hAnsi="Times New Roman" w:eastAsia="仿宋_GB2312"/>
                <w:color w:val="auto"/>
              </w:rPr>
            </w:pPr>
            <w:r>
              <w:rPr>
                <w:rFonts w:ascii="Times New Roman" w:hAnsi="Times New Roman" w:eastAsia="仿宋_GB2312"/>
                <w:color w:val="auto"/>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494" w:type="dxa"/>
            <w:vMerge w:val="continue"/>
            <w:vAlign w:val="center"/>
          </w:tcPr>
          <w:p>
            <w:pPr>
              <w:pStyle w:val="71"/>
              <w:rPr>
                <w:rFonts w:ascii="Times New Roman" w:hAnsi="Times New Roman" w:eastAsia="仿宋_GB2312"/>
                <w:color w:val="auto"/>
              </w:rPr>
            </w:pPr>
          </w:p>
        </w:tc>
        <w:tc>
          <w:tcPr>
            <w:tcW w:w="2283" w:type="dxa"/>
            <w:vMerge w:val="continue"/>
            <w:vAlign w:val="center"/>
          </w:tcPr>
          <w:p>
            <w:pPr>
              <w:pStyle w:val="71"/>
              <w:rPr>
                <w:rFonts w:ascii="Times New Roman" w:hAnsi="Times New Roman" w:eastAsia="仿宋_GB2312"/>
                <w:color w:val="auto"/>
              </w:rPr>
            </w:pPr>
          </w:p>
        </w:tc>
        <w:tc>
          <w:tcPr>
            <w:tcW w:w="1139" w:type="dxa"/>
            <w:vMerge w:val="continue"/>
            <w:vAlign w:val="center"/>
          </w:tcPr>
          <w:p>
            <w:pPr>
              <w:pStyle w:val="71"/>
              <w:rPr>
                <w:rFonts w:ascii="Times New Roman" w:hAnsi="Times New Roman" w:eastAsia="仿宋_GB2312"/>
                <w:color w:val="auto"/>
              </w:rPr>
            </w:pPr>
          </w:p>
        </w:tc>
        <w:tc>
          <w:tcPr>
            <w:tcW w:w="1035" w:type="dxa"/>
            <w:vMerge w:val="continue"/>
            <w:vAlign w:val="center"/>
          </w:tcPr>
          <w:p>
            <w:pPr>
              <w:pStyle w:val="71"/>
              <w:rPr>
                <w:rFonts w:ascii="Times New Roman" w:hAnsi="Times New Roman" w:eastAsia="仿宋_GB2312"/>
                <w:color w:val="auto"/>
              </w:rPr>
            </w:pPr>
          </w:p>
        </w:tc>
        <w:tc>
          <w:tcPr>
            <w:tcW w:w="1078" w:type="dxa"/>
            <w:vMerge w:val="continue"/>
            <w:vAlign w:val="center"/>
          </w:tcPr>
          <w:p>
            <w:pPr>
              <w:pStyle w:val="71"/>
              <w:rPr>
                <w:rFonts w:ascii="Times New Roman" w:hAnsi="Times New Roman" w:eastAsia="仿宋_GB2312"/>
                <w:color w:val="auto"/>
              </w:rPr>
            </w:pPr>
          </w:p>
        </w:tc>
        <w:tc>
          <w:tcPr>
            <w:tcW w:w="1494" w:type="dxa"/>
            <w:vAlign w:val="center"/>
          </w:tcPr>
          <w:p>
            <w:pPr>
              <w:pStyle w:val="71"/>
              <w:rPr>
                <w:rFonts w:ascii="Times New Roman" w:hAnsi="Times New Roman" w:eastAsia="仿宋_GB2312"/>
                <w:color w:val="auto"/>
              </w:rPr>
            </w:pPr>
            <w:r>
              <w:rPr>
                <w:rFonts w:ascii="Times New Roman" w:hAnsi="Times New Roman" w:eastAsia="仿宋_GB2312"/>
                <w:color w:val="auto"/>
              </w:rPr>
              <w:t>（</w:t>
            </w:r>
            <w:r>
              <w:rPr>
                <w:rFonts w:hint="eastAsia" w:ascii="Times New Roman" w:hAnsi="Times New Roman" w:eastAsia="仿宋_GB2312"/>
                <w:color w:val="auto"/>
              </w:rPr>
              <w:t>万</w:t>
            </w:r>
            <w:r>
              <w:rPr>
                <w:rFonts w:ascii="Times New Roman" w:hAnsi="Times New Roman" w:eastAsia="仿宋_GB2312"/>
                <w:color w:val="auto"/>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4" w:type="dxa"/>
            <w:vAlign w:val="center"/>
          </w:tcPr>
          <w:p>
            <w:pPr>
              <w:pStyle w:val="71"/>
              <w:rPr>
                <w:rFonts w:ascii="Times New Roman" w:hAnsi="Times New Roman" w:eastAsia="仿宋_GB2312"/>
                <w:color w:val="auto"/>
              </w:rPr>
            </w:pPr>
            <w:r>
              <w:rPr>
                <w:rFonts w:ascii="Times New Roman" w:hAnsi="Times New Roman" w:eastAsia="仿宋_GB2312"/>
                <w:color w:val="auto"/>
              </w:rPr>
              <w:t>第三部分</w:t>
            </w:r>
          </w:p>
        </w:tc>
        <w:tc>
          <w:tcPr>
            <w:tcW w:w="2283" w:type="dxa"/>
            <w:vAlign w:val="center"/>
          </w:tcPr>
          <w:p>
            <w:pPr>
              <w:widowControl/>
              <w:spacing w:line="240" w:lineRule="auto"/>
              <w:jc w:val="center"/>
              <w:rPr>
                <w:rFonts w:eastAsia="仿宋_GB2312"/>
                <w:color w:val="auto"/>
                <w:sz w:val="21"/>
                <w:szCs w:val="21"/>
              </w:rPr>
            </w:pPr>
            <w:r>
              <w:rPr>
                <w:rFonts w:eastAsia="仿宋_GB2312"/>
                <w:color w:val="auto"/>
                <w:sz w:val="21"/>
                <w:szCs w:val="21"/>
              </w:rPr>
              <w:t>临时措施</w:t>
            </w:r>
          </w:p>
        </w:tc>
        <w:tc>
          <w:tcPr>
            <w:tcW w:w="1139" w:type="dxa"/>
            <w:vAlign w:val="center"/>
          </w:tcPr>
          <w:p>
            <w:pPr>
              <w:widowControl/>
              <w:spacing w:line="240" w:lineRule="auto"/>
              <w:jc w:val="center"/>
              <w:rPr>
                <w:rFonts w:eastAsia="仿宋_GB2312"/>
                <w:color w:val="auto"/>
                <w:sz w:val="21"/>
                <w:szCs w:val="21"/>
              </w:rPr>
            </w:pPr>
          </w:p>
        </w:tc>
        <w:tc>
          <w:tcPr>
            <w:tcW w:w="1035" w:type="dxa"/>
            <w:vAlign w:val="center"/>
          </w:tcPr>
          <w:p>
            <w:pPr>
              <w:pStyle w:val="71"/>
              <w:rPr>
                <w:rFonts w:ascii="Times New Roman" w:hAnsi="Times New Roman" w:eastAsia="仿宋_GB2312"/>
                <w:color w:val="auto"/>
              </w:rPr>
            </w:pPr>
          </w:p>
        </w:tc>
        <w:tc>
          <w:tcPr>
            <w:tcW w:w="1078" w:type="dxa"/>
            <w:vAlign w:val="center"/>
          </w:tcPr>
          <w:p>
            <w:pPr>
              <w:pStyle w:val="71"/>
              <w:rPr>
                <w:rFonts w:ascii="Times New Roman" w:hAnsi="Times New Roman" w:eastAsia="仿宋_GB2312"/>
                <w:color w:val="auto"/>
              </w:rPr>
            </w:pPr>
          </w:p>
        </w:tc>
        <w:tc>
          <w:tcPr>
            <w:tcW w:w="1494" w:type="dxa"/>
            <w:vAlign w:val="center"/>
          </w:tcPr>
          <w:p>
            <w:pPr>
              <w:pStyle w:val="71"/>
              <w:rPr>
                <w:rFonts w:hint="default" w:ascii="Times New Roman" w:hAnsi="Times New Roman" w:eastAsia="仿宋_GB2312"/>
                <w:color w:val="auto"/>
                <w:lang w:val="en-US" w:eastAsia="zh-CN"/>
              </w:rPr>
            </w:pPr>
            <w:r>
              <w:rPr>
                <w:rFonts w:hint="eastAsia" w:ascii="Times New Roman" w:hAnsi="Times New Roman" w:eastAsia="仿宋_GB2312"/>
                <w:color w:val="auto"/>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4" w:type="dxa"/>
            <w:vAlign w:val="center"/>
          </w:tcPr>
          <w:p>
            <w:pPr>
              <w:pStyle w:val="71"/>
              <w:rPr>
                <w:rFonts w:ascii="Times New Roman" w:hAnsi="Times New Roman" w:eastAsia="仿宋_GB2312"/>
                <w:color w:val="auto"/>
              </w:rPr>
            </w:pPr>
            <w:r>
              <w:rPr>
                <w:rFonts w:ascii="Times New Roman" w:hAnsi="Times New Roman" w:eastAsia="仿宋_GB2312"/>
                <w:color w:val="auto"/>
              </w:rPr>
              <w:t>一</w:t>
            </w:r>
          </w:p>
        </w:tc>
        <w:tc>
          <w:tcPr>
            <w:tcW w:w="2283" w:type="dxa"/>
            <w:vAlign w:val="center"/>
          </w:tcPr>
          <w:p>
            <w:pPr>
              <w:widowControl/>
              <w:spacing w:line="240" w:lineRule="auto"/>
              <w:jc w:val="center"/>
              <w:rPr>
                <w:rFonts w:eastAsia="仿宋_GB2312"/>
                <w:color w:val="auto"/>
                <w:sz w:val="21"/>
                <w:szCs w:val="21"/>
              </w:rPr>
            </w:pPr>
            <w:r>
              <w:rPr>
                <w:rFonts w:eastAsia="仿宋_GB2312"/>
                <w:color w:val="auto"/>
                <w:sz w:val="21"/>
                <w:szCs w:val="21"/>
              </w:rPr>
              <w:t>工程建设区</w:t>
            </w:r>
          </w:p>
        </w:tc>
        <w:tc>
          <w:tcPr>
            <w:tcW w:w="1139" w:type="dxa"/>
            <w:vAlign w:val="center"/>
          </w:tcPr>
          <w:p>
            <w:pPr>
              <w:widowControl/>
              <w:spacing w:line="240" w:lineRule="auto"/>
              <w:jc w:val="center"/>
              <w:rPr>
                <w:rFonts w:eastAsia="仿宋_GB2312"/>
                <w:color w:val="auto"/>
                <w:sz w:val="21"/>
                <w:szCs w:val="21"/>
              </w:rPr>
            </w:pPr>
          </w:p>
        </w:tc>
        <w:tc>
          <w:tcPr>
            <w:tcW w:w="1035" w:type="dxa"/>
            <w:vAlign w:val="center"/>
          </w:tcPr>
          <w:p>
            <w:pPr>
              <w:pStyle w:val="71"/>
              <w:rPr>
                <w:rFonts w:ascii="Times New Roman" w:hAnsi="Times New Roman" w:eastAsia="仿宋_GB2312"/>
                <w:color w:val="auto"/>
              </w:rPr>
            </w:pPr>
          </w:p>
        </w:tc>
        <w:tc>
          <w:tcPr>
            <w:tcW w:w="1078" w:type="dxa"/>
            <w:vAlign w:val="center"/>
          </w:tcPr>
          <w:p>
            <w:pPr>
              <w:pStyle w:val="71"/>
              <w:rPr>
                <w:rFonts w:ascii="Times New Roman" w:hAnsi="Times New Roman" w:eastAsia="仿宋_GB2312"/>
                <w:color w:val="auto"/>
              </w:rPr>
            </w:pPr>
          </w:p>
        </w:tc>
        <w:tc>
          <w:tcPr>
            <w:tcW w:w="1494" w:type="dxa"/>
            <w:vAlign w:val="center"/>
          </w:tcPr>
          <w:p>
            <w:pPr>
              <w:pStyle w:val="71"/>
              <w:rPr>
                <w:rFonts w:hint="default" w:ascii="Times New Roman" w:hAnsi="Times New Roman" w:eastAsia="仿宋_GB2312"/>
                <w:color w:val="auto"/>
                <w:lang w:val="en-US" w:eastAsia="zh-CN"/>
              </w:rPr>
            </w:pPr>
            <w:r>
              <w:rPr>
                <w:rFonts w:hint="eastAsia" w:ascii="Times New Roman" w:hAnsi="Times New Roman" w:eastAsia="仿宋_GB2312"/>
                <w:color w:val="auto"/>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4" w:type="dxa"/>
            <w:vAlign w:val="center"/>
          </w:tcPr>
          <w:p>
            <w:pPr>
              <w:spacing w:line="240" w:lineRule="auto"/>
              <w:jc w:val="center"/>
              <w:rPr>
                <w:rFonts w:eastAsia="仿宋_GB2312"/>
                <w:color w:val="auto"/>
                <w:sz w:val="21"/>
                <w:szCs w:val="21"/>
              </w:rPr>
            </w:pPr>
            <w:r>
              <w:rPr>
                <w:bCs/>
                <w:color w:val="auto"/>
                <w:sz w:val="21"/>
                <w:szCs w:val="21"/>
              </w:rPr>
              <w:t>1</w:t>
            </w:r>
          </w:p>
        </w:tc>
        <w:tc>
          <w:tcPr>
            <w:tcW w:w="2283" w:type="dxa"/>
            <w:vAlign w:val="center"/>
          </w:tcPr>
          <w:p>
            <w:pPr>
              <w:spacing w:line="240" w:lineRule="auto"/>
              <w:jc w:val="center"/>
              <w:rPr>
                <w:rFonts w:eastAsia="仿宋_GB2312"/>
                <w:color w:val="auto"/>
                <w:sz w:val="21"/>
                <w:szCs w:val="21"/>
              </w:rPr>
            </w:pPr>
            <w:r>
              <w:rPr>
                <w:rFonts w:eastAsia="仿宋_GB2312"/>
                <w:bCs/>
                <w:color w:val="auto"/>
                <w:sz w:val="21"/>
                <w:szCs w:val="21"/>
              </w:rPr>
              <w:t>密目网苫盖</w:t>
            </w:r>
          </w:p>
        </w:tc>
        <w:tc>
          <w:tcPr>
            <w:tcW w:w="1139" w:type="dxa"/>
            <w:vAlign w:val="center"/>
          </w:tcPr>
          <w:p>
            <w:pPr>
              <w:widowControl/>
              <w:adjustRightInd/>
              <w:spacing w:line="240" w:lineRule="auto"/>
              <w:jc w:val="center"/>
              <w:textAlignment w:val="auto"/>
              <w:rPr>
                <w:rFonts w:eastAsia="仿宋_GB2312"/>
                <w:color w:val="auto"/>
                <w:sz w:val="21"/>
                <w:szCs w:val="21"/>
              </w:rPr>
            </w:pPr>
            <w:r>
              <w:rPr>
                <w:rFonts w:eastAsia="仿宋_GB2312"/>
                <w:bCs/>
                <w:color w:val="auto"/>
                <w:sz w:val="21"/>
                <w:szCs w:val="21"/>
              </w:rPr>
              <w:t>m</w:t>
            </w:r>
            <w:r>
              <w:rPr>
                <w:rFonts w:eastAsia="仿宋_GB2312"/>
                <w:bCs/>
                <w:color w:val="auto"/>
                <w:sz w:val="21"/>
                <w:szCs w:val="21"/>
                <w:vertAlign w:val="superscript"/>
              </w:rPr>
              <w:t>2</w:t>
            </w:r>
          </w:p>
        </w:tc>
        <w:tc>
          <w:tcPr>
            <w:tcW w:w="1035"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300</w:t>
            </w:r>
          </w:p>
        </w:tc>
        <w:tc>
          <w:tcPr>
            <w:tcW w:w="1078" w:type="dxa"/>
            <w:vAlign w:val="center"/>
          </w:tcPr>
          <w:p>
            <w:pPr>
              <w:widowControl/>
              <w:adjustRightInd/>
              <w:spacing w:line="240" w:lineRule="auto"/>
              <w:jc w:val="center"/>
              <w:textAlignment w:val="auto"/>
              <w:rPr>
                <w:rFonts w:hint="default" w:eastAsia="仿宋_GB2312"/>
                <w:color w:val="auto"/>
                <w:sz w:val="21"/>
                <w:szCs w:val="21"/>
                <w:lang w:val="en-US" w:eastAsia="zh-CN"/>
              </w:rPr>
            </w:pPr>
            <w:r>
              <w:rPr>
                <w:rFonts w:hint="eastAsia" w:eastAsia="仿宋_GB2312"/>
                <w:bCs/>
                <w:color w:val="auto"/>
                <w:sz w:val="21"/>
                <w:szCs w:val="21"/>
                <w:lang w:val="en-US" w:eastAsia="zh-CN"/>
              </w:rPr>
              <w:t>4.59</w:t>
            </w:r>
          </w:p>
        </w:tc>
        <w:tc>
          <w:tcPr>
            <w:tcW w:w="1494" w:type="dxa"/>
            <w:vAlign w:val="center"/>
          </w:tcPr>
          <w:p>
            <w:pPr>
              <w:pStyle w:val="71"/>
              <w:rPr>
                <w:rFonts w:hint="default" w:eastAsia="仿宋_GB2312"/>
                <w:color w:val="auto"/>
                <w:sz w:val="21"/>
                <w:szCs w:val="21"/>
                <w:lang w:val="en-US" w:eastAsia="zh-CN"/>
              </w:rPr>
            </w:pPr>
            <w:r>
              <w:rPr>
                <w:rFonts w:hint="eastAsia" w:ascii="Times New Roman" w:hAnsi="Times New Roman" w:eastAsia="仿宋_GB2312"/>
                <w:color w:val="auto"/>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4" w:type="dxa"/>
            <w:vAlign w:val="center"/>
          </w:tcPr>
          <w:p>
            <w:pPr>
              <w:spacing w:line="240" w:lineRule="auto"/>
              <w:jc w:val="center"/>
              <w:rPr>
                <w:rFonts w:hint="eastAsia" w:eastAsia="宋体"/>
                <w:bCs/>
                <w:color w:val="auto"/>
                <w:sz w:val="21"/>
                <w:szCs w:val="21"/>
                <w:lang w:val="en-US" w:eastAsia="zh-CN"/>
              </w:rPr>
            </w:pPr>
            <w:r>
              <w:rPr>
                <w:rFonts w:hint="eastAsia"/>
                <w:bCs/>
                <w:color w:val="auto"/>
                <w:sz w:val="21"/>
                <w:szCs w:val="21"/>
                <w:lang w:val="en-US" w:eastAsia="zh-CN"/>
              </w:rPr>
              <w:t>2</w:t>
            </w:r>
          </w:p>
        </w:tc>
        <w:tc>
          <w:tcPr>
            <w:tcW w:w="2283" w:type="dxa"/>
            <w:vAlign w:val="center"/>
          </w:tcPr>
          <w:p>
            <w:pPr>
              <w:spacing w:line="240" w:lineRule="auto"/>
              <w:jc w:val="center"/>
              <w:rPr>
                <w:rFonts w:hint="eastAsia" w:eastAsia="仿宋_GB2312"/>
                <w:bCs/>
                <w:color w:val="auto"/>
                <w:sz w:val="21"/>
                <w:szCs w:val="21"/>
                <w:lang w:val="en-US" w:eastAsia="zh-CN"/>
              </w:rPr>
            </w:pPr>
            <w:r>
              <w:rPr>
                <w:rFonts w:hint="eastAsia" w:eastAsia="仿宋_GB2312"/>
                <w:bCs/>
                <w:color w:val="auto"/>
                <w:sz w:val="21"/>
                <w:szCs w:val="21"/>
                <w:lang w:val="en-US" w:eastAsia="zh-CN"/>
              </w:rPr>
              <w:t>泥浆池</w:t>
            </w:r>
          </w:p>
        </w:tc>
        <w:tc>
          <w:tcPr>
            <w:tcW w:w="1139" w:type="dxa"/>
            <w:vAlign w:val="center"/>
          </w:tcPr>
          <w:p>
            <w:pPr>
              <w:widowControl/>
              <w:adjustRightInd/>
              <w:spacing w:line="240" w:lineRule="auto"/>
              <w:jc w:val="center"/>
              <w:textAlignment w:val="auto"/>
              <w:rPr>
                <w:rFonts w:hint="default" w:eastAsia="仿宋_GB2312"/>
                <w:bCs/>
                <w:color w:val="auto"/>
                <w:sz w:val="21"/>
                <w:szCs w:val="21"/>
                <w:lang w:val="en-US" w:eastAsia="zh-CN"/>
              </w:rPr>
            </w:pPr>
            <w:r>
              <w:rPr>
                <w:rFonts w:hint="eastAsia" w:eastAsia="仿宋_GB2312"/>
                <w:bCs/>
                <w:color w:val="auto"/>
                <w:sz w:val="21"/>
                <w:szCs w:val="21"/>
                <w:lang w:val="en-US" w:eastAsia="zh-CN"/>
              </w:rPr>
              <w:t>座</w:t>
            </w:r>
          </w:p>
        </w:tc>
        <w:tc>
          <w:tcPr>
            <w:tcW w:w="1035"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1</w:t>
            </w:r>
          </w:p>
        </w:tc>
        <w:tc>
          <w:tcPr>
            <w:tcW w:w="1078" w:type="dxa"/>
            <w:vAlign w:val="center"/>
          </w:tcPr>
          <w:p>
            <w:pPr>
              <w:widowControl/>
              <w:adjustRightInd/>
              <w:spacing w:line="240" w:lineRule="auto"/>
              <w:jc w:val="center"/>
              <w:textAlignment w:val="auto"/>
              <w:rPr>
                <w:rFonts w:hint="default" w:eastAsia="仿宋_GB2312"/>
                <w:bCs/>
                <w:color w:val="auto"/>
                <w:sz w:val="21"/>
                <w:szCs w:val="21"/>
                <w:lang w:val="en-US" w:eastAsia="zh-CN"/>
              </w:rPr>
            </w:pPr>
            <w:r>
              <w:rPr>
                <w:rFonts w:hint="eastAsia" w:eastAsia="仿宋_GB2312"/>
                <w:bCs/>
                <w:color w:val="auto"/>
                <w:sz w:val="21"/>
                <w:szCs w:val="21"/>
                <w:lang w:val="en-US" w:eastAsia="zh-CN"/>
              </w:rPr>
              <w:t>1500</w:t>
            </w:r>
          </w:p>
        </w:tc>
        <w:tc>
          <w:tcPr>
            <w:tcW w:w="1494" w:type="dxa"/>
            <w:vAlign w:val="center"/>
          </w:tcPr>
          <w:p>
            <w:pPr>
              <w:pStyle w:val="71"/>
              <w:rPr>
                <w:rFonts w:hint="default" w:ascii="Times New Roman" w:hAnsi="Times New Roman" w:eastAsia="仿宋_GB2312"/>
                <w:color w:val="auto"/>
                <w:lang w:val="en-US" w:eastAsia="zh-CN"/>
              </w:rPr>
            </w:pPr>
            <w:r>
              <w:rPr>
                <w:rFonts w:hint="eastAsia" w:ascii="Times New Roman" w:hAnsi="Times New Roman" w:eastAsia="仿宋_GB2312"/>
                <w:color w:val="auto"/>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77" w:type="dxa"/>
            <w:gridSpan w:val="2"/>
            <w:vAlign w:val="center"/>
          </w:tcPr>
          <w:p>
            <w:pPr>
              <w:pStyle w:val="71"/>
              <w:rPr>
                <w:rFonts w:ascii="Times New Roman" w:hAnsi="Times New Roman" w:eastAsia="仿宋_GB2312"/>
                <w:color w:val="auto"/>
              </w:rPr>
            </w:pPr>
            <w:r>
              <w:rPr>
                <w:rFonts w:ascii="Times New Roman" w:hAnsi="Times New Roman" w:eastAsia="仿宋_GB2312"/>
                <w:color w:val="auto"/>
              </w:rPr>
              <w:t>合计</w:t>
            </w:r>
          </w:p>
        </w:tc>
        <w:tc>
          <w:tcPr>
            <w:tcW w:w="1139" w:type="dxa"/>
            <w:vAlign w:val="center"/>
          </w:tcPr>
          <w:p>
            <w:pPr>
              <w:pStyle w:val="71"/>
              <w:rPr>
                <w:rFonts w:ascii="Times New Roman" w:hAnsi="Times New Roman" w:eastAsia="仿宋_GB2312"/>
                <w:color w:val="auto"/>
              </w:rPr>
            </w:pPr>
          </w:p>
        </w:tc>
        <w:tc>
          <w:tcPr>
            <w:tcW w:w="1035" w:type="dxa"/>
            <w:vAlign w:val="center"/>
          </w:tcPr>
          <w:p>
            <w:pPr>
              <w:pStyle w:val="71"/>
              <w:rPr>
                <w:rFonts w:ascii="Times New Roman" w:hAnsi="Times New Roman" w:eastAsia="仿宋_GB2312"/>
                <w:color w:val="auto"/>
              </w:rPr>
            </w:pPr>
          </w:p>
        </w:tc>
        <w:tc>
          <w:tcPr>
            <w:tcW w:w="1078" w:type="dxa"/>
            <w:vAlign w:val="center"/>
          </w:tcPr>
          <w:p>
            <w:pPr>
              <w:pStyle w:val="71"/>
              <w:rPr>
                <w:rFonts w:ascii="Times New Roman" w:hAnsi="Times New Roman" w:eastAsia="仿宋_GB2312"/>
                <w:color w:val="auto"/>
              </w:rPr>
            </w:pPr>
          </w:p>
        </w:tc>
        <w:tc>
          <w:tcPr>
            <w:tcW w:w="1494" w:type="dxa"/>
            <w:vAlign w:val="center"/>
          </w:tcPr>
          <w:p>
            <w:pPr>
              <w:pStyle w:val="71"/>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0.29</w:t>
            </w:r>
          </w:p>
        </w:tc>
      </w:tr>
    </w:tbl>
    <w:p>
      <w:pPr>
        <w:spacing w:line="360" w:lineRule="auto"/>
        <w:ind w:firstLine="480" w:firstLineChars="200"/>
        <w:rPr>
          <w:rFonts w:eastAsia="仿宋_GB2312"/>
          <w:color w:val="auto"/>
          <w:szCs w:val="24"/>
        </w:rPr>
      </w:pPr>
    </w:p>
    <w:p>
      <w:pPr>
        <w:spacing w:line="360" w:lineRule="auto"/>
        <w:ind w:firstLine="480" w:firstLineChars="200"/>
        <w:rPr>
          <w:rFonts w:eastAsia="仿宋_GB2312"/>
          <w:color w:val="auto"/>
          <w:szCs w:val="24"/>
        </w:rPr>
      </w:pPr>
    </w:p>
    <w:p>
      <w:pPr>
        <w:spacing w:line="360" w:lineRule="auto"/>
        <w:ind w:firstLine="480" w:firstLineChars="200"/>
        <w:rPr>
          <w:rFonts w:eastAsia="仿宋_GB2312"/>
          <w:color w:val="auto"/>
          <w:szCs w:val="24"/>
        </w:rPr>
      </w:pPr>
    </w:p>
    <w:p>
      <w:pPr>
        <w:spacing w:line="360" w:lineRule="auto"/>
        <w:ind w:firstLine="480" w:firstLineChars="200"/>
        <w:rPr>
          <w:rFonts w:eastAsia="仿宋_GB2312"/>
          <w:color w:val="auto"/>
          <w:szCs w:val="24"/>
        </w:rPr>
        <w:sectPr>
          <w:headerReference r:id="rId13" w:type="default"/>
          <w:footerReference r:id="rId14" w:type="default"/>
          <w:pgSz w:w="11906" w:h="16838"/>
          <w:pgMar w:top="1440" w:right="1797" w:bottom="1440" w:left="1797" w:header="851" w:footer="992" w:gutter="0"/>
          <w:pgNumType w:fmt="decimal"/>
          <w:cols w:space="720" w:num="1"/>
          <w:docGrid w:linePitch="312" w:charSpace="0"/>
        </w:sectPr>
      </w:pPr>
    </w:p>
    <w:p>
      <w:pPr>
        <w:pStyle w:val="4"/>
        <w:spacing w:before="0" w:after="0" w:line="360" w:lineRule="auto"/>
        <w:rPr>
          <w:rFonts w:eastAsia="仿宋_GB2312"/>
          <w:color w:val="auto"/>
          <w:sz w:val="28"/>
          <w:szCs w:val="28"/>
        </w:rPr>
      </w:pPr>
      <w:bookmarkStart w:id="40" w:name="_Toc5730"/>
      <w:r>
        <w:rPr>
          <w:rFonts w:eastAsia="仿宋_GB2312"/>
          <w:color w:val="auto"/>
          <w:sz w:val="28"/>
          <w:szCs w:val="28"/>
        </w:rPr>
        <w:t>4.水土流失分析与预测</w:t>
      </w:r>
      <w:bookmarkEnd w:id="40"/>
    </w:p>
    <w:p>
      <w:pPr>
        <w:pStyle w:val="5"/>
        <w:spacing w:before="0" w:after="0" w:line="360" w:lineRule="auto"/>
        <w:rPr>
          <w:rFonts w:ascii="Times New Roman" w:hAnsi="Times New Roman" w:eastAsia="仿宋_GB2312"/>
          <w:color w:val="auto"/>
          <w:sz w:val="28"/>
          <w:szCs w:val="28"/>
        </w:rPr>
      </w:pPr>
      <w:bookmarkStart w:id="41" w:name="_Toc11787"/>
      <w:r>
        <w:rPr>
          <w:rFonts w:ascii="Times New Roman" w:hAnsi="Times New Roman" w:eastAsia="仿宋_GB2312"/>
          <w:color w:val="auto"/>
          <w:sz w:val="28"/>
          <w:szCs w:val="28"/>
        </w:rPr>
        <w:t>4.1水土流失现状</w:t>
      </w:r>
      <w:bookmarkEnd w:id="41"/>
    </w:p>
    <w:p>
      <w:pPr>
        <w:spacing w:line="360" w:lineRule="auto"/>
        <w:ind w:firstLine="480" w:firstLineChars="200"/>
        <w:jc w:val="both"/>
        <w:rPr>
          <w:rFonts w:eastAsia="仿宋_GB2312"/>
          <w:color w:val="auto"/>
          <w:lang w:val="zh-CN"/>
        </w:rPr>
      </w:pPr>
      <w:r>
        <w:rPr>
          <w:rFonts w:hint="default" w:ascii="Times New Roman" w:hAnsi="Times New Roman" w:eastAsia="仿宋_GB2312" w:cs="Times New Roman"/>
          <w:bCs/>
          <w:iCs/>
          <w:color w:val="auto"/>
          <w:sz w:val="24"/>
          <w:szCs w:val="24"/>
        </w:rPr>
        <w:t>根据《全国水土保持区划》，</w:t>
      </w:r>
      <w:r>
        <w:rPr>
          <w:rFonts w:hint="default" w:ascii="Times New Roman" w:hAnsi="Times New Roman" w:eastAsia="仿宋_GB2312" w:cs="Times New Roman"/>
          <w:bCs/>
          <w:iCs/>
          <w:color w:val="auto"/>
          <w:sz w:val="24"/>
          <w:szCs w:val="24"/>
          <w:lang w:val="en-US" w:eastAsia="zh-CN"/>
        </w:rPr>
        <w:t>项目地处</w:t>
      </w:r>
      <w:r>
        <w:rPr>
          <w:rFonts w:hint="eastAsia" w:eastAsia="仿宋_GB2312" w:cs="Times New Roman"/>
          <w:bCs/>
          <w:iCs/>
          <w:color w:val="auto"/>
          <w:sz w:val="24"/>
          <w:szCs w:val="24"/>
          <w:lang w:val="en-US" w:eastAsia="zh-CN"/>
        </w:rPr>
        <w:t>抚松县</w:t>
      </w:r>
      <w:r>
        <w:rPr>
          <w:rFonts w:hint="default" w:ascii="Times New Roman" w:hAnsi="Times New Roman" w:eastAsia="仿宋_GB2312" w:cs="Times New Roman"/>
          <w:bCs/>
          <w:iCs/>
          <w:color w:val="auto"/>
          <w:sz w:val="24"/>
          <w:szCs w:val="24"/>
          <w:lang w:val="en-US" w:eastAsia="zh-CN"/>
        </w:rPr>
        <w:t>，</w:t>
      </w:r>
      <w:r>
        <w:rPr>
          <w:rFonts w:hint="default" w:ascii="Times New Roman" w:hAnsi="Times New Roman" w:eastAsia="仿宋_GB2312" w:cs="Times New Roman"/>
          <w:bCs/>
          <w:iCs/>
          <w:color w:val="auto"/>
          <w:sz w:val="24"/>
          <w:szCs w:val="24"/>
        </w:rPr>
        <w:t>属东北黑土区</w:t>
      </w:r>
      <w:r>
        <w:rPr>
          <w:rFonts w:hint="default" w:ascii="Times New Roman" w:hAnsi="Times New Roman" w:eastAsia="仿宋_GB2312" w:cs="Times New Roman"/>
          <w:bCs/>
          <w:iCs/>
          <w:color w:val="auto"/>
          <w:sz w:val="24"/>
          <w:szCs w:val="24"/>
          <w:lang w:eastAsia="zh-CN"/>
        </w:rPr>
        <w:t>；</w:t>
      </w:r>
      <w:r>
        <w:rPr>
          <w:rFonts w:hint="default" w:ascii="Times New Roman" w:hAnsi="Times New Roman" w:eastAsia="仿宋_GB2312" w:cs="Times New Roman"/>
          <w:bCs/>
          <w:iCs/>
          <w:color w:val="auto"/>
          <w:sz w:val="24"/>
          <w:szCs w:val="24"/>
          <w:lang w:val="en-US" w:eastAsia="zh-CN"/>
        </w:rPr>
        <w:t>根据</w:t>
      </w:r>
      <w:r>
        <w:rPr>
          <w:rFonts w:hint="default" w:ascii="Times New Roman" w:hAnsi="Times New Roman" w:eastAsia="仿宋_GB2312" w:cs="Times New Roman"/>
          <w:color w:val="auto"/>
          <w:sz w:val="24"/>
          <w:szCs w:val="24"/>
        </w:rPr>
        <w:t>《吉林省水土保持公报》（202</w:t>
      </w:r>
      <w:r>
        <w:rPr>
          <w:rFonts w:hint="eastAsia"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年）</w:t>
      </w:r>
      <w:r>
        <w:rPr>
          <w:rFonts w:hint="default" w:ascii="Times New Roman" w:hAnsi="Times New Roman" w:eastAsia="仿宋_GB2312" w:cs="Times New Roman"/>
          <w:color w:val="auto"/>
          <w:sz w:val="24"/>
          <w:szCs w:val="24"/>
          <w:lang w:eastAsia="zh-CN"/>
        </w:rPr>
        <w:t>，</w:t>
      </w:r>
      <w:r>
        <w:rPr>
          <w:rFonts w:hint="eastAsia" w:eastAsia="仿宋_GB2312" w:cs="Times New Roman"/>
          <w:bCs/>
          <w:iCs/>
          <w:color w:val="auto"/>
          <w:sz w:val="24"/>
          <w:szCs w:val="24"/>
          <w:lang w:val="en-US" w:eastAsia="zh-CN"/>
        </w:rPr>
        <w:t>抚松县</w:t>
      </w:r>
      <w:r>
        <w:rPr>
          <w:rFonts w:hint="default" w:ascii="Times New Roman" w:hAnsi="Times New Roman" w:eastAsia="仿宋_GB2312" w:cs="Times New Roman"/>
          <w:bCs/>
          <w:iCs/>
          <w:color w:val="auto"/>
          <w:sz w:val="24"/>
          <w:szCs w:val="24"/>
          <w:lang w:val="en-US" w:eastAsia="zh-CN"/>
        </w:rPr>
        <w:t>土壤侵蚀</w:t>
      </w:r>
      <w:r>
        <w:rPr>
          <w:rFonts w:hint="default" w:ascii="Times New Roman" w:hAnsi="Times New Roman" w:eastAsia="仿宋_GB2312" w:cs="Times New Roman"/>
          <w:bCs/>
          <w:iCs/>
          <w:color w:val="auto"/>
          <w:sz w:val="24"/>
          <w:szCs w:val="24"/>
        </w:rPr>
        <w:t>类型为水力侵蚀，</w:t>
      </w:r>
      <w:r>
        <w:rPr>
          <w:rFonts w:hint="default" w:ascii="Times New Roman" w:hAnsi="Times New Roman" w:eastAsia="仿宋_GB2312" w:cs="Times New Roman"/>
          <w:bCs/>
          <w:iCs/>
          <w:color w:val="auto"/>
          <w:sz w:val="24"/>
          <w:szCs w:val="24"/>
          <w:lang w:val="en-US" w:eastAsia="zh-CN"/>
        </w:rPr>
        <w:t>土壤侵蚀强度</w:t>
      </w:r>
      <w:r>
        <w:rPr>
          <w:rFonts w:hint="default" w:ascii="Times New Roman" w:hAnsi="Times New Roman" w:eastAsia="仿宋_GB2312" w:cs="Times New Roman"/>
          <w:color w:val="auto"/>
          <w:sz w:val="24"/>
        </w:rPr>
        <w:t>以轻度侵蚀为主。</w:t>
      </w:r>
      <w:r>
        <w:rPr>
          <w:rFonts w:hint="default" w:ascii="Times New Roman" w:hAnsi="Times New Roman" w:eastAsia="仿宋_GB2312" w:cs="Times New Roman"/>
          <w:color w:val="auto"/>
          <w:kern w:val="0"/>
          <w:sz w:val="24"/>
        </w:rPr>
        <w:t>容许土壤流失量</w:t>
      </w:r>
      <w:r>
        <w:rPr>
          <w:rFonts w:hint="default" w:ascii="Times New Roman" w:hAnsi="Times New Roman" w:eastAsia="仿宋_GB2312" w:cs="Times New Roman"/>
          <w:color w:val="auto"/>
          <w:kern w:val="0"/>
          <w:sz w:val="24"/>
          <w:lang w:val="en-US" w:eastAsia="zh-CN"/>
        </w:rPr>
        <w:t>2</w:t>
      </w:r>
      <w:r>
        <w:rPr>
          <w:rFonts w:hint="default" w:ascii="Times New Roman" w:hAnsi="Times New Roman" w:eastAsia="仿宋_GB2312" w:cs="Times New Roman"/>
          <w:color w:val="auto"/>
          <w:kern w:val="0"/>
          <w:sz w:val="24"/>
        </w:rPr>
        <w:t>00t/（km</w:t>
      </w:r>
      <w:r>
        <w:rPr>
          <w:rFonts w:hint="default" w:ascii="Times New Roman" w:hAnsi="Times New Roman" w:eastAsia="仿宋_GB2312" w:cs="Times New Roman"/>
          <w:color w:val="auto"/>
          <w:kern w:val="0"/>
          <w:sz w:val="24"/>
          <w:vertAlign w:val="superscript"/>
        </w:rPr>
        <w:t>2</w:t>
      </w:r>
      <w:r>
        <w:rPr>
          <w:rFonts w:hint="default" w:ascii="Times New Roman" w:hAnsi="Times New Roman" w:eastAsia="仿宋_GB2312" w:cs="Times New Roman"/>
          <w:color w:val="auto"/>
          <w:kern w:val="0"/>
          <w:sz w:val="24"/>
        </w:rPr>
        <w:t>·a），项目区原地貌</w:t>
      </w:r>
      <w:r>
        <w:rPr>
          <w:rFonts w:hint="default" w:ascii="Times New Roman" w:hAnsi="Times New Roman" w:eastAsia="仿宋_GB2312" w:cs="Times New Roman"/>
          <w:bCs/>
          <w:color w:val="auto"/>
          <w:sz w:val="24"/>
        </w:rPr>
        <w:t>土壤侵蚀模数为</w:t>
      </w:r>
      <w:r>
        <w:rPr>
          <w:rFonts w:hint="eastAsia" w:eastAsia="仿宋_GB2312" w:cs="Times New Roman"/>
          <w:bCs/>
          <w:color w:val="auto"/>
          <w:sz w:val="24"/>
          <w:lang w:val="en-US" w:eastAsia="zh-CN"/>
        </w:rPr>
        <w:t>4</w:t>
      </w:r>
      <w:r>
        <w:rPr>
          <w:rFonts w:hint="default" w:ascii="Times New Roman" w:hAnsi="Times New Roman" w:eastAsia="仿宋_GB2312" w:cs="Times New Roman"/>
          <w:bCs/>
          <w:color w:val="auto"/>
          <w:sz w:val="24"/>
        </w:rPr>
        <w:t>00t</w:t>
      </w:r>
      <w:r>
        <w:rPr>
          <w:rFonts w:hint="default" w:ascii="Times New Roman" w:hAnsi="Times New Roman" w:eastAsia="仿宋_GB2312" w:cs="Times New Roman"/>
          <w:bCs/>
          <w:color w:val="auto"/>
          <w:sz w:val="24"/>
        </w:rPr>
        <w:t>/（km</w:t>
      </w:r>
      <w:r>
        <w:rPr>
          <w:rFonts w:hint="default" w:ascii="Times New Roman" w:hAnsi="Times New Roman" w:eastAsia="仿宋_GB2312" w:cs="Times New Roman"/>
          <w:bCs/>
          <w:color w:val="auto"/>
          <w:sz w:val="24"/>
          <w:vertAlign w:val="superscript"/>
        </w:rPr>
        <w:t>2</w:t>
      </w:r>
      <w:r>
        <w:rPr>
          <w:rFonts w:hint="default" w:ascii="Times New Roman" w:hAnsi="Times New Roman" w:eastAsia="仿宋_GB2312" w:cs="Times New Roman"/>
          <w:color w:val="auto"/>
          <w:kern w:val="0"/>
          <w:sz w:val="24"/>
        </w:rPr>
        <w:t>·</w:t>
      </w:r>
      <w:r>
        <w:rPr>
          <w:rFonts w:hint="default" w:ascii="Times New Roman" w:hAnsi="Times New Roman" w:eastAsia="仿宋_GB2312" w:cs="Times New Roman"/>
          <w:bCs/>
          <w:color w:val="auto"/>
          <w:sz w:val="24"/>
        </w:rPr>
        <w:t>a）</w:t>
      </w:r>
      <w:r>
        <w:rPr>
          <w:rFonts w:hint="default" w:ascii="Times New Roman" w:hAnsi="Times New Roman" w:eastAsia="仿宋_GB2312" w:cs="Times New Roman"/>
          <w:color w:val="auto"/>
          <w:sz w:val="24"/>
          <w:lang w:val="zh-CN"/>
        </w:rPr>
        <w:t>，</w:t>
      </w:r>
      <w:r>
        <w:rPr>
          <w:rFonts w:hint="eastAsia" w:eastAsia="仿宋_GB2312" w:cs="Times New Roman"/>
          <w:bCs/>
          <w:iCs/>
          <w:color w:val="auto"/>
          <w:sz w:val="24"/>
          <w:szCs w:val="24"/>
          <w:lang w:val="en-US" w:eastAsia="zh-CN"/>
        </w:rPr>
        <w:t>抚松县</w:t>
      </w:r>
      <w:r>
        <w:rPr>
          <w:rFonts w:hint="default" w:ascii="Times New Roman" w:hAnsi="Times New Roman" w:eastAsia="仿宋_GB2312" w:cs="Times New Roman"/>
          <w:color w:val="auto"/>
          <w:sz w:val="24"/>
          <w:szCs w:val="24"/>
          <w:lang w:val="zh-CN"/>
        </w:rPr>
        <w:t>水土流失现状见表4-</w:t>
      </w:r>
      <w:r>
        <w:rPr>
          <w:rFonts w:hint="default" w:ascii="Times New Roman" w:hAnsi="Times New Roman" w:eastAsia="仿宋_GB2312" w:cs="Times New Roman"/>
          <w:color w:val="auto"/>
          <w:sz w:val="24"/>
          <w:szCs w:val="24"/>
        </w:rPr>
        <w:t>1</w:t>
      </w:r>
      <w:r>
        <w:rPr>
          <w:rFonts w:hint="default" w:ascii="Times New Roman" w:hAnsi="Times New Roman" w:eastAsia="仿宋_GB2312" w:cs="Times New Roman"/>
          <w:color w:val="auto"/>
          <w:sz w:val="24"/>
          <w:szCs w:val="24"/>
          <w:lang w:val="zh-CN"/>
        </w:rPr>
        <w:t>。</w:t>
      </w:r>
    </w:p>
    <w:p>
      <w:pPr>
        <w:pStyle w:val="81"/>
        <w:rPr>
          <w:rFonts w:eastAsia="仿宋_GB2312"/>
          <w:b/>
          <w:color w:val="auto"/>
          <w:sz w:val="24"/>
        </w:rPr>
      </w:pPr>
      <w:r>
        <w:rPr>
          <w:rFonts w:eastAsia="仿宋_GB2312"/>
          <w:b/>
          <w:color w:val="auto"/>
          <w:sz w:val="24"/>
        </w:rPr>
        <w:t xml:space="preserve">表4-1   </w:t>
      </w:r>
      <w:r>
        <w:rPr>
          <w:rFonts w:hint="eastAsia" w:eastAsia="仿宋_GB2312"/>
          <w:b/>
          <w:color w:val="auto"/>
          <w:sz w:val="24"/>
          <w:lang w:val="en-US" w:eastAsia="zh-CN"/>
        </w:rPr>
        <w:t>抚松县</w:t>
      </w:r>
      <w:r>
        <w:rPr>
          <w:rFonts w:eastAsia="仿宋_GB2312"/>
          <w:b/>
          <w:color w:val="auto"/>
          <w:sz w:val="24"/>
        </w:rPr>
        <w:t>水土流失情况一览表     单位：km</w:t>
      </w:r>
      <w:r>
        <w:rPr>
          <w:rFonts w:eastAsia="仿宋_GB2312"/>
          <w:b/>
          <w:color w:val="auto"/>
          <w:sz w:val="24"/>
          <w:vertAlign w:val="superscript"/>
        </w:rPr>
        <w:t>2</w:t>
      </w:r>
    </w:p>
    <w:tbl>
      <w:tblPr>
        <w:tblStyle w:val="24"/>
        <w:tblW w:w="852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1743"/>
        <w:gridCol w:w="1114"/>
        <w:gridCol w:w="1114"/>
        <w:gridCol w:w="900"/>
        <w:gridCol w:w="887"/>
        <w:gridCol w:w="88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83" w:hRule="atLeast"/>
          <w:jc w:val="center"/>
        </w:trPr>
        <w:tc>
          <w:tcPr>
            <w:tcW w:w="1880"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行政区划</w:t>
            </w:r>
          </w:p>
        </w:tc>
        <w:tc>
          <w:tcPr>
            <w:tcW w:w="6645" w:type="dxa"/>
            <w:gridSpan w:val="6"/>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侵蚀面积及强度分级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0" w:type="dxa"/>
            <w:vMerge w:val="restart"/>
            <w:tcBorders>
              <w:tl2br w:val="nil"/>
              <w:tr2bl w:val="nil"/>
            </w:tcBorders>
            <w:vAlign w:val="center"/>
          </w:tcPr>
          <w:p>
            <w:pPr>
              <w:widowControl/>
              <w:spacing w:line="240" w:lineRule="auto"/>
              <w:jc w:val="center"/>
              <w:rPr>
                <w:rFonts w:eastAsia="仿宋_GB2312"/>
                <w:color w:val="auto"/>
                <w:sz w:val="21"/>
                <w:szCs w:val="21"/>
              </w:rPr>
            </w:pPr>
            <w:r>
              <w:rPr>
                <w:rFonts w:hint="eastAsia" w:eastAsia="仿宋_GB2312"/>
                <w:color w:val="auto"/>
                <w:sz w:val="21"/>
                <w:szCs w:val="21"/>
                <w:lang w:val="en-US" w:eastAsia="zh-CN"/>
              </w:rPr>
              <w:t>抚松县</w:t>
            </w:r>
          </w:p>
        </w:tc>
        <w:tc>
          <w:tcPr>
            <w:tcW w:w="1743"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水力侵蚀面积</w:t>
            </w:r>
          </w:p>
        </w:tc>
        <w:tc>
          <w:tcPr>
            <w:tcW w:w="1114"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轻度</w:t>
            </w:r>
          </w:p>
        </w:tc>
        <w:tc>
          <w:tcPr>
            <w:tcW w:w="1114"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中度</w:t>
            </w:r>
          </w:p>
        </w:tc>
        <w:tc>
          <w:tcPr>
            <w:tcW w:w="900"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强烈</w:t>
            </w:r>
          </w:p>
        </w:tc>
        <w:tc>
          <w:tcPr>
            <w:tcW w:w="887"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极强烈</w:t>
            </w:r>
          </w:p>
        </w:tc>
        <w:tc>
          <w:tcPr>
            <w:tcW w:w="887"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剧烈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0" w:type="dxa"/>
            <w:vMerge w:val="continue"/>
            <w:tcBorders>
              <w:tl2br w:val="nil"/>
              <w:tr2bl w:val="nil"/>
            </w:tcBorders>
            <w:vAlign w:val="center"/>
          </w:tcPr>
          <w:p>
            <w:pPr>
              <w:widowControl/>
              <w:spacing w:line="240" w:lineRule="auto"/>
              <w:jc w:val="center"/>
              <w:rPr>
                <w:rFonts w:eastAsia="仿宋_GB2312"/>
                <w:color w:val="auto"/>
                <w:sz w:val="21"/>
                <w:szCs w:val="21"/>
              </w:rPr>
            </w:pPr>
          </w:p>
        </w:tc>
        <w:tc>
          <w:tcPr>
            <w:tcW w:w="1743" w:type="dxa"/>
            <w:tcBorders>
              <w:tl2br w:val="nil"/>
              <w:tr2bl w:val="nil"/>
            </w:tcBorders>
            <w:vAlign w:val="center"/>
          </w:tcPr>
          <w:p>
            <w:pPr>
              <w:widowControl/>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385.50</w:t>
            </w:r>
          </w:p>
        </w:tc>
        <w:tc>
          <w:tcPr>
            <w:tcW w:w="1114" w:type="dxa"/>
            <w:tcBorders>
              <w:tl2br w:val="nil"/>
              <w:tr2bl w:val="nil"/>
            </w:tcBorders>
            <w:vAlign w:val="center"/>
          </w:tcPr>
          <w:p>
            <w:pPr>
              <w:widowControl/>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192.90</w:t>
            </w:r>
          </w:p>
        </w:tc>
        <w:tc>
          <w:tcPr>
            <w:tcW w:w="1114" w:type="dxa"/>
            <w:tcBorders>
              <w:tl2br w:val="nil"/>
              <w:tr2bl w:val="nil"/>
            </w:tcBorders>
            <w:vAlign w:val="center"/>
          </w:tcPr>
          <w:p>
            <w:pPr>
              <w:widowControl/>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50.04</w:t>
            </w:r>
          </w:p>
        </w:tc>
        <w:tc>
          <w:tcPr>
            <w:tcW w:w="900" w:type="dxa"/>
            <w:tcBorders>
              <w:tl2br w:val="nil"/>
              <w:tr2bl w:val="nil"/>
            </w:tcBorders>
            <w:vAlign w:val="center"/>
          </w:tcPr>
          <w:p>
            <w:pPr>
              <w:widowControl/>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38.47</w:t>
            </w:r>
          </w:p>
        </w:tc>
        <w:tc>
          <w:tcPr>
            <w:tcW w:w="887" w:type="dxa"/>
            <w:tcBorders>
              <w:tl2br w:val="nil"/>
              <w:tr2bl w:val="nil"/>
            </w:tcBorders>
            <w:vAlign w:val="center"/>
          </w:tcPr>
          <w:p>
            <w:pPr>
              <w:widowControl/>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55.99</w:t>
            </w:r>
          </w:p>
        </w:tc>
        <w:tc>
          <w:tcPr>
            <w:tcW w:w="887" w:type="dxa"/>
            <w:tcBorders>
              <w:tl2br w:val="nil"/>
              <w:tr2bl w:val="nil"/>
            </w:tcBorders>
            <w:vAlign w:val="center"/>
          </w:tcPr>
          <w:p>
            <w:pPr>
              <w:widowControl/>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48.10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0" w:type="dxa"/>
            <w:vMerge w:val="continue"/>
            <w:tcBorders>
              <w:tl2br w:val="nil"/>
              <w:tr2bl w:val="nil"/>
            </w:tcBorders>
            <w:vAlign w:val="center"/>
          </w:tcPr>
          <w:p>
            <w:pPr>
              <w:widowControl/>
              <w:spacing w:line="240" w:lineRule="auto"/>
              <w:jc w:val="center"/>
              <w:rPr>
                <w:rFonts w:eastAsia="仿宋_GB2312"/>
                <w:color w:val="auto"/>
                <w:sz w:val="21"/>
                <w:szCs w:val="21"/>
              </w:rPr>
            </w:pPr>
          </w:p>
        </w:tc>
        <w:tc>
          <w:tcPr>
            <w:tcW w:w="1743"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风力侵蚀面积</w:t>
            </w:r>
          </w:p>
        </w:tc>
        <w:tc>
          <w:tcPr>
            <w:tcW w:w="1114"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轻度</w:t>
            </w:r>
          </w:p>
        </w:tc>
        <w:tc>
          <w:tcPr>
            <w:tcW w:w="1114"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中度</w:t>
            </w:r>
          </w:p>
        </w:tc>
        <w:tc>
          <w:tcPr>
            <w:tcW w:w="900"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强烈</w:t>
            </w:r>
          </w:p>
        </w:tc>
        <w:tc>
          <w:tcPr>
            <w:tcW w:w="887"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极强烈</w:t>
            </w:r>
          </w:p>
        </w:tc>
        <w:tc>
          <w:tcPr>
            <w:tcW w:w="887"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剧烈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0" w:type="dxa"/>
            <w:vMerge w:val="continue"/>
            <w:tcBorders>
              <w:tl2br w:val="nil"/>
              <w:tr2bl w:val="nil"/>
            </w:tcBorders>
            <w:vAlign w:val="center"/>
          </w:tcPr>
          <w:p>
            <w:pPr>
              <w:widowControl/>
              <w:spacing w:line="240" w:lineRule="auto"/>
              <w:jc w:val="center"/>
              <w:rPr>
                <w:rFonts w:eastAsia="仿宋_GB2312"/>
                <w:color w:val="auto"/>
                <w:sz w:val="21"/>
                <w:szCs w:val="21"/>
              </w:rPr>
            </w:pPr>
          </w:p>
        </w:tc>
        <w:tc>
          <w:tcPr>
            <w:tcW w:w="1743" w:type="dxa"/>
            <w:tcBorders>
              <w:tl2br w:val="nil"/>
              <w:tr2bl w:val="nil"/>
            </w:tcBorders>
            <w:vAlign w:val="center"/>
          </w:tcPr>
          <w:p>
            <w:pPr>
              <w:widowControl/>
              <w:spacing w:line="240" w:lineRule="auto"/>
              <w:jc w:val="center"/>
              <w:rPr>
                <w:rFonts w:hint="eastAsia" w:eastAsia="仿宋_GB2312"/>
                <w:color w:val="auto"/>
                <w:sz w:val="21"/>
                <w:szCs w:val="21"/>
                <w:lang w:val="en-US" w:eastAsia="zh-CN"/>
              </w:rPr>
            </w:pPr>
            <w:r>
              <w:rPr>
                <w:rFonts w:hint="eastAsia" w:eastAsia="仿宋_GB2312"/>
                <w:color w:val="auto"/>
                <w:sz w:val="21"/>
                <w:szCs w:val="21"/>
                <w:lang w:val="en-US" w:eastAsia="zh-CN"/>
              </w:rPr>
              <w:t>0</w:t>
            </w:r>
          </w:p>
        </w:tc>
        <w:tc>
          <w:tcPr>
            <w:tcW w:w="1114" w:type="dxa"/>
            <w:tcBorders>
              <w:tl2br w:val="nil"/>
              <w:tr2bl w:val="nil"/>
            </w:tcBorders>
            <w:vAlign w:val="center"/>
          </w:tcPr>
          <w:p>
            <w:pPr>
              <w:widowControl/>
              <w:spacing w:line="240" w:lineRule="auto"/>
              <w:jc w:val="center"/>
              <w:rPr>
                <w:rFonts w:hint="eastAsia" w:eastAsia="仿宋_GB2312"/>
                <w:color w:val="auto"/>
                <w:sz w:val="21"/>
                <w:szCs w:val="21"/>
                <w:lang w:val="en-US" w:eastAsia="zh-CN"/>
              </w:rPr>
            </w:pPr>
            <w:r>
              <w:rPr>
                <w:rFonts w:hint="eastAsia" w:eastAsia="仿宋_GB2312"/>
                <w:color w:val="auto"/>
                <w:sz w:val="21"/>
                <w:szCs w:val="21"/>
                <w:lang w:val="en-US" w:eastAsia="zh-CN"/>
              </w:rPr>
              <w:t>0</w:t>
            </w:r>
          </w:p>
        </w:tc>
        <w:tc>
          <w:tcPr>
            <w:tcW w:w="1114" w:type="dxa"/>
            <w:tcBorders>
              <w:tl2br w:val="nil"/>
              <w:tr2bl w:val="nil"/>
            </w:tcBorders>
            <w:vAlign w:val="center"/>
          </w:tcPr>
          <w:p>
            <w:pPr>
              <w:widowControl/>
              <w:spacing w:line="240" w:lineRule="auto"/>
              <w:jc w:val="center"/>
              <w:rPr>
                <w:rFonts w:hint="eastAsia" w:eastAsia="仿宋_GB2312"/>
                <w:color w:val="auto"/>
                <w:sz w:val="21"/>
                <w:szCs w:val="21"/>
                <w:lang w:val="en-US" w:eastAsia="zh-CN"/>
              </w:rPr>
            </w:pPr>
            <w:r>
              <w:rPr>
                <w:rFonts w:hint="eastAsia" w:eastAsia="仿宋_GB2312"/>
                <w:color w:val="auto"/>
                <w:sz w:val="21"/>
                <w:szCs w:val="21"/>
                <w:lang w:val="en-US" w:eastAsia="zh-CN"/>
              </w:rPr>
              <w:t>0</w:t>
            </w:r>
          </w:p>
        </w:tc>
        <w:tc>
          <w:tcPr>
            <w:tcW w:w="900" w:type="dxa"/>
            <w:tcBorders>
              <w:tl2br w:val="nil"/>
              <w:tr2bl w:val="nil"/>
            </w:tcBorders>
            <w:vAlign w:val="center"/>
          </w:tcPr>
          <w:p>
            <w:pPr>
              <w:widowControl/>
              <w:spacing w:line="240" w:lineRule="auto"/>
              <w:jc w:val="center"/>
              <w:rPr>
                <w:rFonts w:hint="eastAsia" w:eastAsia="仿宋_GB2312"/>
                <w:color w:val="auto"/>
                <w:sz w:val="21"/>
                <w:szCs w:val="21"/>
                <w:lang w:val="en-US" w:eastAsia="zh-CN"/>
              </w:rPr>
            </w:pPr>
            <w:r>
              <w:rPr>
                <w:rFonts w:hint="eastAsia" w:eastAsia="仿宋_GB2312"/>
                <w:color w:val="auto"/>
                <w:sz w:val="21"/>
                <w:szCs w:val="21"/>
                <w:lang w:val="en-US" w:eastAsia="zh-CN"/>
              </w:rPr>
              <w:t>0</w:t>
            </w:r>
          </w:p>
        </w:tc>
        <w:tc>
          <w:tcPr>
            <w:tcW w:w="887" w:type="dxa"/>
            <w:tcBorders>
              <w:tl2br w:val="nil"/>
              <w:tr2bl w:val="nil"/>
            </w:tcBorders>
            <w:vAlign w:val="center"/>
          </w:tcPr>
          <w:p>
            <w:pPr>
              <w:widowControl/>
              <w:spacing w:line="240" w:lineRule="auto"/>
              <w:jc w:val="center"/>
              <w:rPr>
                <w:rFonts w:hint="eastAsia" w:eastAsia="仿宋_GB2312"/>
                <w:color w:val="auto"/>
                <w:sz w:val="21"/>
                <w:szCs w:val="21"/>
                <w:lang w:val="en-US" w:eastAsia="zh-CN"/>
              </w:rPr>
            </w:pPr>
            <w:r>
              <w:rPr>
                <w:rFonts w:hint="eastAsia" w:eastAsia="仿宋_GB2312"/>
                <w:color w:val="auto"/>
                <w:sz w:val="21"/>
                <w:szCs w:val="21"/>
                <w:lang w:val="en-US" w:eastAsia="zh-CN"/>
              </w:rPr>
              <w:t>0</w:t>
            </w:r>
          </w:p>
        </w:tc>
        <w:tc>
          <w:tcPr>
            <w:tcW w:w="887" w:type="dxa"/>
            <w:tcBorders>
              <w:tl2br w:val="nil"/>
              <w:tr2bl w:val="nil"/>
            </w:tcBorders>
            <w:vAlign w:val="center"/>
          </w:tcPr>
          <w:p>
            <w:pPr>
              <w:widowControl/>
              <w:spacing w:line="240" w:lineRule="auto"/>
              <w:jc w:val="center"/>
              <w:rPr>
                <w:rFonts w:hint="eastAsia" w:eastAsia="仿宋_GB2312"/>
                <w:color w:val="auto"/>
                <w:sz w:val="21"/>
                <w:szCs w:val="21"/>
                <w:lang w:val="en-US" w:eastAsia="zh-CN"/>
              </w:rPr>
            </w:pPr>
            <w:r>
              <w:rPr>
                <w:rFonts w:hint="eastAsia" w:eastAsia="仿宋_GB2312"/>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0"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合计</w:t>
            </w:r>
          </w:p>
        </w:tc>
        <w:tc>
          <w:tcPr>
            <w:tcW w:w="1743" w:type="dxa"/>
            <w:tcBorders>
              <w:tl2br w:val="nil"/>
              <w:tr2bl w:val="nil"/>
            </w:tcBorders>
            <w:vAlign w:val="center"/>
          </w:tcPr>
          <w:p>
            <w:pPr>
              <w:widowControl/>
              <w:spacing w:line="240" w:lineRule="auto"/>
              <w:jc w:val="center"/>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385.50</w:t>
            </w:r>
          </w:p>
        </w:tc>
        <w:tc>
          <w:tcPr>
            <w:tcW w:w="1114" w:type="dxa"/>
            <w:tcBorders>
              <w:tl2br w:val="nil"/>
              <w:tr2bl w:val="nil"/>
            </w:tcBorders>
            <w:vAlign w:val="center"/>
          </w:tcPr>
          <w:p>
            <w:pPr>
              <w:widowControl/>
              <w:spacing w:line="240" w:lineRule="auto"/>
              <w:jc w:val="center"/>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192.90</w:t>
            </w:r>
          </w:p>
        </w:tc>
        <w:tc>
          <w:tcPr>
            <w:tcW w:w="1114" w:type="dxa"/>
            <w:tcBorders>
              <w:tl2br w:val="nil"/>
              <w:tr2bl w:val="nil"/>
            </w:tcBorders>
            <w:vAlign w:val="center"/>
          </w:tcPr>
          <w:p>
            <w:pPr>
              <w:widowControl/>
              <w:spacing w:line="240" w:lineRule="auto"/>
              <w:jc w:val="center"/>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50.04</w:t>
            </w:r>
          </w:p>
        </w:tc>
        <w:tc>
          <w:tcPr>
            <w:tcW w:w="900" w:type="dxa"/>
            <w:tcBorders>
              <w:tl2br w:val="nil"/>
              <w:tr2bl w:val="nil"/>
            </w:tcBorders>
            <w:vAlign w:val="center"/>
          </w:tcPr>
          <w:p>
            <w:pPr>
              <w:widowControl/>
              <w:spacing w:line="240" w:lineRule="auto"/>
              <w:jc w:val="center"/>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38.47</w:t>
            </w:r>
          </w:p>
        </w:tc>
        <w:tc>
          <w:tcPr>
            <w:tcW w:w="887" w:type="dxa"/>
            <w:tcBorders>
              <w:tl2br w:val="nil"/>
              <w:tr2bl w:val="nil"/>
            </w:tcBorders>
            <w:vAlign w:val="center"/>
          </w:tcPr>
          <w:p>
            <w:pPr>
              <w:widowControl/>
              <w:spacing w:line="240" w:lineRule="auto"/>
              <w:jc w:val="center"/>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55.99</w:t>
            </w:r>
          </w:p>
        </w:tc>
        <w:tc>
          <w:tcPr>
            <w:tcW w:w="887" w:type="dxa"/>
            <w:tcBorders>
              <w:tl2br w:val="nil"/>
              <w:tr2bl w:val="nil"/>
            </w:tcBorders>
            <w:vAlign w:val="center"/>
          </w:tcPr>
          <w:p>
            <w:pPr>
              <w:widowControl/>
              <w:spacing w:line="240" w:lineRule="auto"/>
              <w:jc w:val="center"/>
              <w:rPr>
                <w:rFonts w:hint="default"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48.10</w:t>
            </w:r>
          </w:p>
        </w:tc>
      </w:tr>
    </w:tbl>
    <w:p>
      <w:pPr>
        <w:pStyle w:val="5"/>
        <w:spacing w:before="0" w:after="0" w:line="360" w:lineRule="auto"/>
        <w:rPr>
          <w:rFonts w:ascii="Times New Roman" w:hAnsi="Times New Roman" w:eastAsia="仿宋_GB2312"/>
          <w:color w:val="auto"/>
          <w:sz w:val="28"/>
          <w:szCs w:val="28"/>
        </w:rPr>
      </w:pPr>
      <w:bookmarkStart w:id="42" w:name="_Toc6291"/>
      <w:r>
        <w:rPr>
          <w:rFonts w:ascii="Times New Roman" w:hAnsi="Times New Roman" w:eastAsia="仿宋_GB2312"/>
          <w:color w:val="auto"/>
          <w:sz w:val="28"/>
          <w:szCs w:val="28"/>
        </w:rPr>
        <w:t>4.2水土流失自然影响因素分析</w:t>
      </w:r>
      <w:bookmarkEnd w:id="42"/>
    </w:p>
    <w:p>
      <w:pPr>
        <w:snapToGrid w:val="0"/>
        <w:spacing w:line="360" w:lineRule="auto"/>
        <w:rPr>
          <w:rFonts w:eastAsia="仿宋_GB2312"/>
          <w:color w:val="auto"/>
        </w:rPr>
      </w:pPr>
      <w:r>
        <w:rPr>
          <w:rFonts w:eastAsia="仿宋_GB2312"/>
          <w:b/>
          <w:color w:val="auto"/>
        </w:rPr>
        <w:t>4.2.1工程建设对水土流失的影响</w:t>
      </w:r>
    </w:p>
    <w:p>
      <w:pPr>
        <w:spacing w:line="360" w:lineRule="auto"/>
        <w:ind w:firstLine="480" w:firstLineChars="200"/>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（1）自然因素的影响</w:t>
      </w:r>
    </w:p>
    <w:p>
      <w:pPr>
        <w:spacing w:line="360" w:lineRule="auto"/>
        <w:ind w:firstLine="480" w:firstLineChars="200"/>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工程施工时对原有的地表产生破坏，使土壤疏松裸露，项目区</w:t>
      </w:r>
      <w:r>
        <w:rPr>
          <w:rFonts w:hint="default" w:ascii="Times New Roman" w:hAnsi="Times New Roman" w:eastAsia="仿宋_GB2312" w:cs="Times New Roman"/>
          <w:snapToGrid w:val="0"/>
          <w:color w:val="auto"/>
          <w:kern w:val="0"/>
          <w:sz w:val="24"/>
          <w:lang w:val="en-US" w:eastAsia="zh-CN"/>
        </w:rPr>
        <w:t>为水力侵蚀</w:t>
      </w:r>
      <w:r>
        <w:rPr>
          <w:rFonts w:hint="default" w:ascii="Times New Roman" w:hAnsi="Times New Roman" w:eastAsia="仿宋_GB2312" w:cs="Times New Roman"/>
          <w:color w:val="auto"/>
          <w:sz w:val="24"/>
        </w:rPr>
        <w:t>，</w:t>
      </w:r>
      <w:r>
        <w:rPr>
          <w:rFonts w:hint="default" w:ascii="Times New Roman" w:hAnsi="Times New Roman" w:eastAsia="仿宋_GB2312" w:cs="Times New Roman"/>
          <w:snapToGrid w:val="0"/>
          <w:color w:val="auto"/>
          <w:kern w:val="0"/>
          <w:sz w:val="24"/>
        </w:rPr>
        <w:t>在降雨等外营力的作用下，会使原有的水土保持功能</w:t>
      </w:r>
      <w:r>
        <w:rPr>
          <w:rFonts w:hint="eastAsia" w:eastAsia="仿宋_GB2312" w:cs="Times New Roman"/>
          <w:snapToGrid w:val="0"/>
          <w:color w:val="auto"/>
          <w:kern w:val="0"/>
          <w:sz w:val="24"/>
          <w:lang w:eastAsia="zh-CN"/>
        </w:rPr>
        <w:t>丧失</w:t>
      </w:r>
      <w:r>
        <w:rPr>
          <w:rFonts w:hint="default" w:ascii="Times New Roman" w:hAnsi="Times New Roman" w:eastAsia="仿宋_GB2312" w:cs="Times New Roman"/>
          <w:snapToGrid w:val="0"/>
          <w:color w:val="auto"/>
          <w:kern w:val="0"/>
          <w:sz w:val="24"/>
        </w:rPr>
        <w:t>，进而产生水土流失。</w:t>
      </w:r>
    </w:p>
    <w:p>
      <w:pPr>
        <w:spacing w:line="360" w:lineRule="auto"/>
        <w:ind w:firstLine="480" w:firstLineChars="200"/>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w:t>
      </w:r>
      <w:r>
        <w:rPr>
          <w:rFonts w:hint="default" w:ascii="Times New Roman" w:hAnsi="Times New Roman" w:eastAsia="仿宋_GB2312" w:cs="Times New Roman"/>
          <w:snapToGrid w:val="0"/>
          <w:color w:val="auto"/>
          <w:kern w:val="0"/>
          <w:sz w:val="24"/>
          <w:lang w:val="en-US" w:eastAsia="zh-CN"/>
        </w:rPr>
        <w:t>2</w:t>
      </w:r>
      <w:r>
        <w:rPr>
          <w:rFonts w:hint="default" w:ascii="Times New Roman" w:hAnsi="Times New Roman" w:eastAsia="仿宋_GB2312" w:cs="Times New Roman"/>
          <w:snapToGrid w:val="0"/>
          <w:color w:val="auto"/>
          <w:kern w:val="0"/>
          <w:sz w:val="24"/>
        </w:rPr>
        <w:t>）场地平整的影响</w:t>
      </w:r>
    </w:p>
    <w:p>
      <w:pPr>
        <w:spacing w:line="360" w:lineRule="auto"/>
        <w:ind w:firstLine="480" w:firstLineChars="200"/>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施工活动对原地面进行严重的扰动和破坏，由于地表保护层遭到破坏，土壤变得更加疏松，再加上原有水文系统被完全改变，排水不畅且在强烈冲刷作用下形成更有利于水土流失产生的径流路径，因而该阶段在项目整个施工过程中是最易引发水土流失和水土流失强度最大的阶段。</w:t>
      </w:r>
    </w:p>
    <w:p>
      <w:pPr>
        <w:spacing w:line="360" w:lineRule="auto"/>
        <w:ind w:firstLine="480" w:firstLineChars="200"/>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w:t>
      </w:r>
      <w:r>
        <w:rPr>
          <w:rFonts w:hint="default" w:ascii="Times New Roman" w:hAnsi="Times New Roman" w:eastAsia="仿宋_GB2312" w:cs="Times New Roman"/>
          <w:snapToGrid w:val="0"/>
          <w:color w:val="auto"/>
          <w:kern w:val="0"/>
          <w:sz w:val="24"/>
          <w:lang w:val="en-US" w:eastAsia="zh-CN"/>
        </w:rPr>
        <w:t>3</w:t>
      </w:r>
      <w:r>
        <w:rPr>
          <w:rFonts w:hint="default" w:ascii="Times New Roman" w:hAnsi="Times New Roman" w:eastAsia="仿宋_GB2312" w:cs="Times New Roman"/>
          <w:snapToGrid w:val="0"/>
          <w:color w:val="auto"/>
          <w:kern w:val="0"/>
          <w:sz w:val="24"/>
        </w:rPr>
        <w:t>）基础工程施工的影响</w:t>
      </w:r>
    </w:p>
    <w:p>
      <w:pPr>
        <w:spacing w:line="360" w:lineRule="auto"/>
        <w:ind w:firstLine="480" w:firstLineChars="200"/>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主要包括基础开挖处理、基础砌筑。基础开挖是最易引起水土流失的施工活动，随着开挖深度和开挖土方量的增加及开挖剖面增加，产生水土流失的可能性增加，水土流失强度也随之加强，而且基础开挖所产生的大量临时堆土更容易受到降雨径流的冲刷而形成水土流失。</w:t>
      </w:r>
    </w:p>
    <w:p>
      <w:pPr>
        <w:numPr>
          <w:ilvl w:val="0"/>
          <w:numId w:val="0"/>
        </w:numPr>
        <w:spacing w:line="360" w:lineRule="auto"/>
        <w:ind w:firstLine="480" w:firstLineChars="200"/>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lang w:eastAsia="zh-CN"/>
        </w:rPr>
        <w:t>（</w:t>
      </w:r>
      <w:r>
        <w:rPr>
          <w:rFonts w:hint="default" w:ascii="Times New Roman" w:hAnsi="Times New Roman" w:eastAsia="仿宋_GB2312" w:cs="Times New Roman"/>
          <w:snapToGrid w:val="0"/>
          <w:color w:val="auto"/>
          <w:kern w:val="0"/>
          <w:sz w:val="24"/>
          <w:lang w:val="en-US" w:eastAsia="zh-CN"/>
        </w:rPr>
        <w:t>4</w:t>
      </w:r>
      <w:r>
        <w:rPr>
          <w:rFonts w:hint="default" w:ascii="Times New Roman" w:hAnsi="Times New Roman" w:eastAsia="仿宋_GB2312" w:cs="Times New Roman"/>
          <w:snapToGrid w:val="0"/>
          <w:color w:val="auto"/>
          <w:kern w:val="0"/>
          <w:sz w:val="24"/>
          <w:lang w:eastAsia="zh-CN"/>
        </w:rPr>
        <w:t>）</w:t>
      </w:r>
      <w:r>
        <w:rPr>
          <w:rFonts w:hint="default" w:ascii="Times New Roman" w:hAnsi="Times New Roman" w:eastAsia="仿宋_GB2312" w:cs="Times New Roman"/>
          <w:snapToGrid w:val="0"/>
          <w:color w:val="auto"/>
          <w:kern w:val="0"/>
          <w:sz w:val="24"/>
        </w:rPr>
        <w:t xml:space="preserve">主体工程施工的影响 </w:t>
      </w:r>
    </w:p>
    <w:p>
      <w:pPr>
        <w:numPr>
          <w:ilvl w:val="0"/>
          <w:numId w:val="0"/>
        </w:numPr>
        <w:spacing w:line="360" w:lineRule="auto"/>
        <w:ind w:firstLine="480" w:firstLineChars="200"/>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包括钢筋、混凝土工程、钢木工程、砌体工程等，这一阶段虽然有大量的施工活动在进行，但主体工程已占据大部分地面面积，施工活动对地表的扰动已经 较小，而且土石方移动量也大大减少。</w:t>
      </w:r>
    </w:p>
    <w:p>
      <w:pPr>
        <w:snapToGrid w:val="0"/>
        <w:spacing w:line="360" w:lineRule="auto"/>
        <w:rPr>
          <w:rFonts w:eastAsia="仿宋_GB2312"/>
          <w:color w:val="auto"/>
          <w:szCs w:val="24"/>
        </w:rPr>
      </w:pPr>
      <w:r>
        <w:rPr>
          <w:rFonts w:eastAsia="仿宋_GB2312"/>
          <w:b/>
          <w:color w:val="auto"/>
        </w:rPr>
        <w:t>4.2.2扰动地表面积</w:t>
      </w:r>
    </w:p>
    <w:p>
      <w:pPr>
        <w:spacing w:line="360" w:lineRule="auto"/>
        <w:ind w:firstLine="480" w:firstLineChars="200"/>
        <w:jc w:val="both"/>
        <w:rPr>
          <w:rFonts w:hint="eastAsia" w:ascii="Times New Roman" w:hAnsi="Times New Roman" w:eastAsia="仿宋_GB2312" w:cs="Times New Roman"/>
          <w:snapToGrid w:val="0"/>
          <w:color w:val="auto"/>
          <w:kern w:val="0"/>
          <w:sz w:val="24"/>
          <w:highlight w:val="none"/>
          <w:lang w:eastAsia="zh-CN"/>
        </w:rPr>
      </w:pPr>
      <w:r>
        <w:rPr>
          <w:rFonts w:hint="default" w:ascii="Times New Roman" w:hAnsi="Times New Roman" w:eastAsia="仿宋_GB2312" w:cs="Times New Roman"/>
          <w:snapToGrid w:val="0"/>
          <w:color w:val="auto"/>
          <w:kern w:val="0"/>
          <w:sz w:val="24"/>
          <w:highlight w:val="none"/>
        </w:rPr>
        <w:t>本工程在建设过程中扰动原地貌、损坏土地主要是由于工程占地、开挖和回填引起的。根据主体工程相关文件，结合实地调查，本项目扰动地表面积</w:t>
      </w:r>
      <w:r>
        <w:rPr>
          <w:rFonts w:hint="eastAsia" w:eastAsia="仿宋_GB2312" w:cs="Times New Roman"/>
          <w:snapToGrid w:val="0"/>
          <w:color w:val="auto"/>
          <w:kern w:val="0"/>
          <w:sz w:val="24"/>
          <w:highlight w:val="none"/>
          <w:lang w:val="en-US" w:eastAsia="zh-CN"/>
        </w:rPr>
        <w:t>0.67</w:t>
      </w:r>
      <w:r>
        <w:rPr>
          <w:rFonts w:hint="default" w:ascii="Times New Roman" w:hAnsi="Times New Roman" w:eastAsia="仿宋_GB2312" w:cs="Times New Roman"/>
          <w:snapToGrid w:val="0"/>
          <w:color w:val="auto"/>
          <w:kern w:val="0"/>
          <w:sz w:val="24"/>
          <w:highlight w:val="none"/>
        </w:rPr>
        <w:t>hm</w:t>
      </w:r>
      <w:r>
        <w:rPr>
          <w:rFonts w:hint="default" w:ascii="Times New Roman" w:hAnsi="Times New Roman" w:eastAsia="仿宋_GB2312" w:cs="Times New Roman"/>
          <w:snapToGrid w:val="0"/>
          <w:color w:val="auto"/>
          <w:kern w:val="0"/>
          <w:sz w:val="24"/>
          <w:highlight w:val="none"/>
          <w:vertAlign w:val="superscript"/>
        </w:rPr>
        <w:t>2</w:t>
      </w:r>
      <w:r>
        <w:rPr>
          <w:rFonts w:hint="eastAsia" w:eastAsia="仿宋_GB2312" w:cs="Times New Roman"/>
          <w:snapToGrid w:val="0"/>
          <w:color w:val="auto"/>
          <w:kern w:val="0"/>
          <w:sz w:val="24"/>
          <w:highlight w:val="none"/>
          <w:lang w:eastAsia="zh-CN"/>
        </w:rPr>
        <w:t>。</w:t>
      </w:r>
    </w:p>
    <w:p>
      <w:pPr>
        <w:snapToGrid w:val="0"/>
        <w:spacing w:line="360" w:lineRule="auto"/>
        <w:rPr>
          <w:rFonts w:eastAsia="仿宋_GB2312"/>
          <w:color w:val="auto"/>
          <w:szCs w:val="24"/>
        </w:rPr>
      </w:pPr>
      <w:r>
        <w:rPr>
          <w:rFonts w:eastAsia="仿宋_GB2312"/>
          <w:b/>
          <w:color w:val="auto"/>
        </w:rPr>
        <w:t>4.2.3损毁植被面积</w:t>
      </w:r>
    </w:p>
    <w:p>
      <w:pPr>
        <w:spacing w:line="360" w:lineRule="auto"/>
        <w:ind w:firstLine="480" w:firstLineChars="200"/>
        <w:jc w:val="both"/>
        <w:rPr>
          <w:rFonts w:eastAsia="仿宋_GB2312"/>
          <w:snapToGrid w:val="0"/>
          <w:color w:val="auto"/>
          <w:szCs w:val="24"/>
        </w:rPr>
      </w:pPr>
      <w:r>
        <w:rPr>
          <w:rFonts w:hint="default" w:ascii="Times New Roman" w:hAnsi="Times New Roman" w:eastAsia="仿宋_GB2312" w:cs="Times New Roman"/>
          <w:snapToGrid w:val="0"/>
          <w:color w:val="auto"/>
          <w:kern w:val="0"/>
          <w:sz w:val="24"/>
          <w:highlight w:val="none"/>
        </w:rPr>
        <w:t>查阅主体工程设计资料及历史遥感影像，项目开工前的占地类型为</w:t>
      </w:r>
      <w:r>
        <w:rPr>
          <w:rFonts w:hint="eastAsia" w:eastAsia="仿宋_GB2312" w:cs="Times New Roman"/>
          <w:snapToGrid w:val="0"/>
          <w:color w:val="auto"/>
          <w:kern w:val="0"/>
          <w:sz w:val="24"/>
          <w:highlight w:val="none"/>
          <w:lang w:val="en-US" w:eastAsia="zh-CN"/>
        </w:rPr>
        <w:t>空地</w:t>
      </w:r>
      <w:r>
        <w:rPr>
          <w:rFonts w:hint="default" w:ascii="Times New Roman" w:hAnsi="Times New Roman" w:eastAsia="仿宋_GB2312" w:cs="Times New Roman"/>
          <w:snapToGrid w:val="0"/>
          <w:color w:val="auto"/>
          <w:kern w:val="0"/>
          <w:sz w:val="24"/>
          <w:highlight w:val="none"/>
        </w:rPr>
        <w:t>，无植被损毁</w:t>
      </w:r>
      <w:r>
        <w:rPr>
          <w:rFonts w:eastAsia="仿宋_GB2312"/>
          <w:snapToGrid w:val="0"/>
          <w:color w:val="auto"/>
          <w:szCs w:val="24"/>
        </w:rPr>
        <w:t>。</w:t>
      </w:r>
    </w:p>
    <w:p>
      <w:pPr>
        <w:snapToGrid w:val="0"/>
        <w:spacing w:line="360" w:lineRule="auto"/>
        <w:rPr>
          <w:rFonts w:eastAsia="仿宋_GB2312"/>
          <w:color w:val="auto"/>
          <w:szCs w:val="24"/>
        </w:rPr>
      </w:pPr>
      <w:r>
        <w:rPr>
          <w:rFonts w:eastAsia="仿宋_GB2312"/>
          <w:b/>
          <w:color w:val="auto"/>
        </w:rPr>
        <w:t>4.2.4废弃土量</w:t>
      </w:r>
    </w:p>
    <w:p>
      <w:pPr>
        <w:snapToGrid w:val="0"/>
        <w:spacing w:line="360" w:lineRule="auto"/>
        <w:ind w:firstLine="480" w:firstLineChars="200"/>
        <w:rPr>
          <w:rFonts w:eastAsia="仿宋_GB2312"/>
          <w:color w:val="auto"/>
          <w:highlight w:val="none"/>
        </w:rPr>
      </w:pPr>
      <w:r>
        <w:rPr>
          <w:rFonts w:hint="default" w:ascii="Times New Roman" w:hAnsi="Times New Roman" w:eastAsia="仿宋_GB2312" w:cs="Times New Roman"/>
          <w:color w:val="auto"/>
          <w:highlight w:val="none"/>
        </w:rPr>
        <w:t>本项目挖填土石方总量为</w:t>
      </w:r>
      <w:r>
        <w:rPr>
          <w:rFonts w:hint="eastAsia" w:eastAsia="仿宋_GB2312" w:cs="Times New Roman"/>
          <w:color w:val="auto"/>
          <w:highlight w:val="none"/>
          <w:lang w:val="en-US" w:eastAsia="zh-CN"/>
        </w:rPr>
        <w:t>0.20万</w:t>
      </w:r>
      <w:r>
        <w:rPr>
          <w:rFonts w:hint="default" w:ascii="Times New Roman" w:hAnsi="Times New Roman" w:eastAsia="仿宋_GB2312" w:cs="Times New Roman"/>
          <w:color w:val="auto"/>
          <w:highlight w:val="none"/>
        </w:rPr>
        <w:t>m</w:t>
      </w:r>
      <w:r>
        <w:rPr>
          <w:rFonts w:hint="default" w:ascii="Times New Roman" w:hAnsi="Times New Roman" w:eastAsia="仿宋_GB2312" w:cs="Times New Roman"/>
          <w:color w:val="auto"/>
          <w:highlight w:val="none"/>
          <w:vertAlign w:val="superscript"/>
        </w:rPr>
        <w:t>3</w:t>
      </w:r>
      <w:r>
        <w:rPr>
          <w:rFonts w:hint="default" w:ascii="Times New Roman" w:hAnsi="Times New Roman" w:eastAsia="仿宋_GB2312" w:cs="Times New Roman"/>
          <w:color w:val="auto"/>
          <w:highlight w:val="none"/>
        </w:rPr>
        <w:t>，其中挖方量为</w:t>
      </w:r>
      <w:r>
        <w:rPr>
          <w:rFonts w:hint="eastAsia" w:eastAsia="仿宋_GB2312" w:cs="Times New Roman"/>
          <w:color w:val="auto"/>
          <w:highlight w:val="none"/>
          <w:lang w:val="en-US" w:eastAsia="zh-CN"/>
        </w:rPr>
        <w:t>0.10万</w:t>
      </w:r>
      <w:r>
        <w:rPr>
          <w:rFonts w:hint="default" w:ascii="Times New Roman" w:hAnsi="Times New Roman" w:eastAsia="仿宋_GB2312" w:cs="Times New Roman"/>
          <w:color w:val="auto"/>
          <w:highlight w:val="none"/>
        </w:rPr>
        <w:t>m</w:t>
      </w:r>
      <w:r>
        <w:rPr>
          <w:rFonts w:hint="default" w:ascii="Times New Roman" w:hAnsi="Times New Roman" w:eastAsia="仿宋_GB2312" w:cs="Times New Roman"/>
          <w:color w:val="auto"/>
          <w:highlight w:val="none"/>
          <w:vertAlign w:val="superscript"/>
        </w:rPr>
        <w:t>3</w:t>
      </w:r>
      <w:r>
        <w:rPr>
          <w:rFonts w:hint="default" w:ascii="Times New Roman" w:hAnsi="Times New Roman" w:eastAsia="仿宋_GB2312" w:cs="Times New Roman"/>
          <w:color w:val="auto"/>
          <w:highlight w:val="none"/>
        </w:rPr>
        <w:t>，填方量</w:t>
      </w:r>
      <w:r>
        <w:rPr>
          <w:rFonts w:hint="eastAsia" w:eastAsia="仿宋_GB2312" w:cs="Times New Roman"/>
          <w:color w:val="auto"/>
          <w:highlight w:val="none"/>
          <w:lang w:val="en-US" w:eastAsia="zh-CN"/>
        </w:rPr>
        <w:t>为0.10万</w:t>
      </w:r>
      <w:r>
        <w:rPr>
          <w:rFonts w:hint="default" w:ascii="Times New Roman" w:hAnsi="Times New Roman" w:eastAsia="仿宋_GB2312" w:cs="Times New Roman"/>
          <w:color w:val="auto"/>
          <w:highlight w:val="none"/>
        </w:rPr>
        <w:t>m</w:t>
      </w:r>
      <w:r>
        <w:rPr>
          <w:rFonts w:hint="default" w:ascii="Times New Roman" w:hAnsi="Times New Roman" w:eastAsia="仿宋_GB2312" w:cs="Times New Roman"/>
          <w:color w:val="auto"/>
          <w:highlight w:val="none"/>
          <w:vertAlign w:val="superscript"/>
        </w:rPr>
        <w:t>3</w:t>
      </w:r>
      <w:r>
        <w:rPr>
          <w:rFonts w:hint="eastAsia" w:eastAsia="仿宋_GB2312" w:cs="Times New Roman"/>
          <w:color w:val="auto"/>
          <w:highlight w:val="none"/>
          <w:lang w:eastAsia="zh-CN"/>
        </w:rPr>
        <w:t>，</w:t>
      </w:r>
      <w:r>
        <w:rPr>
          <w:rFonts w:hint="eastAsia" w:eastAsia="仿宋_GB2312" w:cs="Times New Roman"/>
          <w:color w:val="auto"/>
          <w:highlight w:val="none"/>
          <w:lang w:val="en-US" w:eastAsia="zh-CN"/>
        </w:rPr>
        <w:t>土石方平衡，</w:t>
      </w:r>
      <w:r>
        <w:rPr>
          <w:rFonts w:hint="eastAsia" w:eastAsia="仿宋_GB2312"/>
          <w:color w:val="auto"/>
          <w:sz w:val="24"/>
          <w:szCs w:val="24"/>
          <w:highlight w:val="none"/>
          <w:lang w:val="en-US" w:eastAsia="zh-CN"/>
        </w:rPr>
        <w:t>无剩余土方</w:t>
      </w:r>
      <w:r>
        <w:rPr>
          <w:rFonts w:eastAsia="仿宋_GB2312"/>
          <w:color w:val="auto"/>
          <w:kern w:val="10"/>
          <w:highlight w:val="none"/>
        </w:rPr>
        <w:t>。</w:t>
      </w:r>
    </w:p>
    <w:p>
      <w:pPr>
        <w:pStyle w:val="5"/>
        <w:spacing w:before="0" w:after="0" w:line="360" w:lineRule="auto"/>
        <w:rPr>
          <w:rFonts w:ascii="Times New Roman" w:hAnsi="Times New Roman" w:eastAsia="仿宋_GB2312"/>
          <w:color w:val="auto"/>
          <w:sz w:val="28"/>
          <w:szCs w:val="28"/>
        </w:rPr>
      </w:pPr>
      <w:bookmarkStart w:id="43" w:name="_Toc20902"/>
      <w:r>
        <w:rPr>
          <w:rFonts w:ascii="Times New Roman" w:hAnsi="Times New Roman" w:eastAsia="仿宋_GB2312"/>
          <w:color w:val="auto"/>
          <w:sz w:val="28"/>
          <w:szCs w:val="28"/>
        </w:rPr>
        <w:t>4.3土壤流失量预测</w:t>
      </w:r>
      <w:bookmarkEnd w:id="43"/>
    </w:p>
    <w:p>
      <w:pPr>
        <w:spacing w:line="360" w:lineRule="auto"/>
        <w:jc w:val="both"/>
        <w:rPr>
          <w:rFonts w:eastAsia="仿宋_GB2312"/>
          <w:b/>
          <w:color w:val="auto"/>
        </w:rPr>
      </w:pPr>
      <w:r>
        <w:rPr>
          <w:rFonts w:eastAsia="仿宋_GB2312"/>
          <w:b/>
          <w:color w:val="auto"/>
        </w:rPr>
        <w:t>4.3.1预测单元</w:t>
      </w:r>
    </w:p>
    <w:p>
      <w:pPr>
        <w:spacing w:line="360" w:lineRule="auto"/>
        <w:ind w:firstLine="480" w:firstLineChars="200"/>
        <w:rPr>
          <w:rFonts w:eastAsia="仿宋_GB2312"/>
          <w:b/>
          <w:color w:val="auto"/>
        </w:rPr>
      </w:pPr>
      <w:r>
        <w:rPr>
          <w:rFonts w:eastAsia="仿宋_GB2312"/>
          <w:color w:val="auto"/>
        </w:rPr>
        <w:t>根据项目区地形地貌、扰动方式、扰动后地表的物质组成、气象特征等相近的原则结合工程平面布置图，将本项目水土流失的预测范围划分为建</w:t>
      </w:r>
      <w:r>
        <w:rPr>
          <w:rFonts w:hint="eastAsia" w:eastAsia="仿宋_GB2312"/>
          <w:color w:val="auto"/>
          <w:lang w:val="en-US" w:eastAsia="zh-CN"/>
        </w:rPr>
        <w:t>构</w:t>
      </w:r>
      <w:r>
        <w:rPr>
          <w:rFonts w:eastAsia="仿宋_GB2312"/>
          <w:color w:val="auto"/>
        </w:rPr>
        <w:t>筑物区域、道路及硬化区域</w:t>
      </w:r>
      <w:r>
        <w:rPr>
          <w:rFonts w:hint="eastAsia" w:eastAsia="仿宋_GB2312"/>
          <w:color w:val="auto"/>
          <w:lang w:val="en-US" w:eastAsia="zh-CN"/>
        </w:rPr>
        <w:t>2</w:t>
      </w:r>
      <w:r>
        <w:rPr>
          <w:rFonts w:eastAsia="仿宋_GB2312"/>
          <w:color w:val="auto"/>
        </w:rPr>
        <w:t>个预测单元。</w:t>
      </w:r>
    </w:p>
    <w:p>
      <w:pPr>
        <w:spacing w:line="360" w:lineRule="auto"/>
        <w:jc w:val="both"/>
        <w:rPr>
          <w:rFonts w:eastAsia="仿宋_GB2312"/>
          <w:color w:val="auto"/>
        </w:rPr>
      </w:pPr>
      <w:r>
        <w:rPr>
          <w:rFonts w:eastAsia="仿宋_GB2312"/>
          <w:b/>
          <w:color w:val="auto"/>
        </w:rPr>
        <w:t>4.3.2预测时段</w:t>
      </w:r>
    </w:p>
    <w:p>
      <w:pPr>
        <w:spacing w:line="360" w:lineRule="auto"/>
        <w:ind w:firstLine="480" w:firstLineChars="200"/>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根据《生产建设项目水土保持技术标准》（GB50433-2018）和《生产建设项目水土流失防治标准》（GB/T50434-2018）的规定。预测时段为施工期（含施工准备期）</w:t>
      </w:r>
      <w:r>
        <w:rPr>
          <w:rFonts w:hint="default" w:ascii="Times New Roman" w:hAnsi="Times New Roman" w:eastAsia="仿宋_GB2312" w:cs="Times New Roman"/>
          <w:snapToGrid w:val="0"/>
          <w:color w:val="auto"/>
          <w:kern w:val="0"/>
          <w:sz w:val="24"/>
          <w:lang w:val="en-US" w:eastAsia="zh-CN"/>
        </w:rPr>
        <w:t>和自然恢复期</w:t>
      </w:r>
      <w:r>
        <w:rPr>
          <w:rFonts w:hint="default" w:ascii="Times New Roman" w:hAnsi="Times New Roman" w:eastAsia="仿宋_GB2312" w:cs="Times New Roman"/>
          <w:snapToGrid w:val="0"/>
          <w:color w:val="auto"/>
          <w:kern w:val="0"/>
          <w:sz w:val="24"/>
        </w:rPr>
        <w:t>。</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施工期预测时间应按连续12个月为一年计；不足12个月，但达到一个雨（风）季长度的，按一年计；不足一个雨（风）季长度的，按占雨（风）季长度的比例计算。</w:t>
      </w:r>
    </w:p>
    <w:p>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施工期（含施工准备期）</w:t>
      </w:r>
    </w:p>
    <w:p>
      <w:pPr>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施工期指各预测单元进行工</w:t>
      </w:r>
      <w:r>
        <w:rPr>
          <w:rFonts w:hint="default" w:ascii="Times New Roman" w:hAnsi="Times New Roman" w:eastAsia="仿宋_GB2312" w:cs="Times New Roman"/>
          <w:color w:val="auto"/>
          <w:sz w:val="24"/>
          <w:highlight w:val="none"/>
        </w:rPr>
        <w:t>程建设的时期，对于本方案而言，该项目</w:t>
      </w:r>
      <w:r>
        <w:rPr>
          <w:rFonts w:hint="eastAsia" w:eastAsia="仿宋_GB2312" w:cs="Times New Roman"/>
          <w:color w:val="auto"/>
          <w:sz w:val="24"/>
          <w:highlight w:val="none"/>
          <w:lang w:val="en-US" w:eastAsia="zh-CN"/>
        </w:rPr>
        <w:t>已</w:t>
      </w:r>
      <w:r>
        <w:rPr>
          <w:rFonts w:hint="default" w:ascii="Times New Roman" w:hAnsi="Times New Roman" w:eastAsia="仿宋_GB2312" w:cs="Times New Roman"/>
          <w:color w:val="auto"/>
          <w:sz w:val="24"/>
          <w:highlight w:val="none"/>
        </w:rPr>
        <w:t>于202</w:t>
      </w:r>
      <w:r>
        <w:rPr>
          <w:rFonts w:hint="eastAsia" w:eastAsia="仿宋_GB2312" w:cs="Times New Roman"/>
          <w:color w:val="auto"/>
          <w:sz w:val="24"/>
          <w:highlight w:val="none"/>
          <w:lang w:val="en-US" w:eastAsia="zh-CN"/>
        </w:rPr>
        <w:t>2</w:t>
      </w:r>
      <w:r>
        <w:rPr>
          <w:rFonts w:hint="default" w:ascii="Times New Roman" w:hAnsi="Times New Roman" w:eastAsia="仿宋_GB2312" w:cs="Times New Roman"/>
          <w:color w:val="auto"/>
          <w:sz w:val="24"/>
          <w:highlight w:val="none"/>
        </w:rPr>
        <w:t>年</w:t>
      </w:r>
      <w:r>
        <w:rPr>
          <w:rFonts w:hint="eastAsia" w:eastAsia="仿宋_GB2312" w:cs="Times New Roman"/>
          <w:color w:val="auto"/>
          <w:sz w:val="24"/>
          <w:highlight w:val="none"/>
          <w:lang w:val="en-US" w:eastAsia="zh-CN"/>
        </w:rPr>
        <w:t>8</w:t>
      </w:r>
      <w:r>
        <w:rPr>
          <w:rFonts w:hint="default" w:ascii="Times New Roman" w:hAnsi="Times New Roman" w:eastAsia="仿宋_GB2312" w:cs="Times New Roman"/>
          <w:color w:val="auto"/>
          <w:sz w:val="24"/>
          <w:highlight w:val="none"/>
        </w:rPr>
        <w:t>月开工，20</w:t>
      </w:r>
      <w:r>
        <w:rPr>
          <w:rFonts w:hint="default" w:ascii="Times New Roman" w:hAnsi="Times New Roman" w:eastAsia="仿宋_GB2312" w:cs="Times New Roman"/>
          <w:color w:val="auto"/>
          <w:sz w:val="24"/>
          <w:highlight w:val="none"/>
          <w:lang w:val="en-US" w:eastAsia="zh-CN"/>
        </w:rPr>
        <w:t>2</w:t>
      </w:r>
      <w:r>
        <w:rPr>
          <w:rFonts w:hint="eastAsia" w:eastAsia="仿宋_GB2312" w:cs="Times New Roman"/>
          <w:color w:val="auto"/>
          <w:sz w:val="24"/>
          <w:highlight w:val="none"/>
          <w:lang w:val="en-US" w:eastAsia="zh-CN"/>
        </w:rPr>
        <w:t>3</w:t>
      </w:r>
      <w:r>
        <w:rPr>
          <w:rFonts w:hint="default" w:ascii="Times New Roman" w:hAnsi="Times New Roman" w:eastAsia="仿宋_GB2312" w:cs="Times New Roman"/>
          <w:color w:val="auto"/>
          <w:sz w:val="24"/>
          <w:highlight w:val="none"/>
        </w:rPr>
        <w:t>年</w:t>
      </w:r>
      <w:r>
        <w:rPr>
          <w:rFonts w:hint="eastAsia" w:eastAsia="仿宋_GB2312" w:cs="Times New Roman"/>
          <w:color w:val="auto"/>
          <w:sz w:val="24"/>
          <w:highlight w:val="none"/>
          <w:lang w:val="en-US" w:eastAsia="zh-CN"/>
        </w:rPr>
        <w:t>4</w:t>
      </w:r>
      <w:r>
        <w:rPr>
          <w:rFonts w:hint="default" w:ascii="Times New Roman" w:hAnsi="Times New Roman" w:eastAsia="仿宋_GB2312" w:cs="Times New Roman"/>
          <w:color w:val="auto"/>
          <w:sz w:val="24"/>
          <w:highlight w:val="none"/>
        </w:rPr>
        <w:t>月完工。</w:t>
      </w:r>
      <w:r>
        <w:rPr>
          <w:rFonts w:hint="default" w:ascii="Times New Roman" w:hAnsi="Times New Roman" w:eastAsia="仿宋_GB2312" w:cs="Times New Roman"/>
          <w:color w:val="auto"/>
          <w:sz w:val="24"/>
        </w:rPr>
        <w:t>各预测单元的施工期预测时段，根据施工准备期预测时段与施工期预测时段，按照最大不利因素原则确定。</w:t>
      </w:r>
    </w:p>
    <w:p>
      <w:pPr>
        <w:pStyle w:val="67"/>
        <w:ind w:right="-57"/>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（2）自然恢复期</w:t>
      </w:r>
    </w:p>
    <w:p>
      <w:pPr>
        <w:pStyle w:val="67"/>
        <w:ind w:right="-57"/>
        <w:rPr>
          <w:rFonts w:hint="default" w:eastAsia="仿宋_GB2312"/>
          <w:color w:val="auto"/>
          <w:szCs w:val="24"/>
          <w:lang w:val="en-US" w:eastAsia="zh-CN"/>
        </w:rPr>
      </w:pPr>
      <w:r>
        <w:rPr>
          <w:rFonts w:hint="default" w:ascii="Times New Roman" w:hAnsi="Times New Roman" w:eastAsia="仿宋_GB2312" w:cs="Times New Roman"/>
          <w:color w:val="auto"/>
          <w:sz w:val="24"/>
        </w:rPr>
        <w:t>自然恢复期为施工扰动结束后，不采取水土保持措施的情况下，土壤侵蚀强度自然恢复到扰动前土壤侵蚀强度所需要的时间，应根据当地自然条件确定，一般情况湿润区取2年，半湿润区取3年，干旱半干旱区取5年。本项目属半湿润区，自然恢复期为3年。</w:t>
      </w:r>
      <w:r>
        <w:rPr>
          <w:rFonts w:hint="eastAsia" w:eastAsia="仿宋_GB2312" w:cs="Times New Roman"/>
          <w:color w:val="auto"/>
          <w:sz w:val="24"/>
          <w:lang w:val="en-US" w:eastAsia="zh-CN"/>
        </w:rPr>
        <w:t>本项目不设置绿化区域，故无自然恢复期。</w:t>
      </w:r>
    </w:p>
    <w:p>
      <w:pPr>
        <w:pStyle w:val="67"/>
        <w:ind w:right="-57"/>
        <w:rPr>
          <w:rFonts w:eastAsia="仿宋_GB2312"/>
          <w:bCs/>
          <w:color w:val="auto"/>
        </w:rPr>
      </w:pPr>
      <w:r>
        <w:rPr>
          <w:rFonts w:eastAsia="仿宋_GB2312"/>
          <w:color w:val="auto"/>
          <w:szCs w:val="24"/>
        </w:rPr>
        <w:t>各预测单元具体预测时段见表4-</w:t>
      </w:r>
      <w:r>
        <w:rPr>
          <w:rFonts w:hint="eastAsia" w:eastAsia="仿宋_GB2312"/>
          <w:color w:val="auto"/>
          <w:szCs w:val="24"/>
          <w:lang w:val="en-US" w:eastAsia="zh-CN"/>
        </w:rPr>
        <w:t>2</w:t>
      </w:r>
      <w:r>
        <w:rPr>
          <w:rFonts w:eastAsia="仿宋_GB2312"/>
          <w:color w:val="auto"/>
          <w:szCs w:val="24"/>
        </w:rPr>
        <w:t>。</w:t>
      </w:r>
    </w:p>
    <w:p>
      <w:pPr>
        <w:pStyle w:val="65"/>
        <w:ind w:firstLine="0" w:firstLineChars="0"/>
        <w:jc w:val="center"/>
        <w:rPr>
          <w:rFonts w:ascii="Times New Roman" w:hAnsi="Times New Roman" w:eastAsia="仿宋_GB2312" w:cs="Times New Roman"/>
          <w:bCs/>
          <w:color w:val="auto"/>
        </w:rPr>
      </w:pPr>
      <w:r>
        <w:rPr>
          <w:rFonts w:ascii="Times New Roman" w:hAnsi="Times New Roman" w:eastAsia="仿宋_GB2312" w:cs="Times New Roman"/>
          <w:bCs/>
          <w:color w:val="auto"/>
        </w:rPr>
        <w:t>表4-</w:t>
      </w:r>
      <w:r>
        <w:rPr>
          <w:rFonts w:hint="eastAsia" w:ascii="Times New Roman" w:hAnsi="Times New Roman" w:eastAsia="仿宋_GB2312" w:cs="Times New Roman"/>
          <w:bCs/>
          <w:color w:val="auto"/>
          <w:lang w:val="en-US" w:eastAsia="zh-CN"/>
        </w:rPr>
        <w:t>2</w:t>
      </w:r>
      <w:r>
        <w:rPr>
          <w:rFonts w:ascii="Times New Roman" w:hAnsi="Times New Roman" w:eastAsia="仿宋_GB2312" w:cs="Times New Roman"/>
          <w:bCs/>
          <w:color w:val="auto"/>
        </w:rPr>
        <w:t xml:space="preserve">                    预测时段划分表</w:t>
      </w:r>
    </w:p>
    <w:tbl>
      <w:tblPr>
        <w:tblStyle w:val="24"/>
        <w:tblW w:w="8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4"/>
        <w:gridCol w:w="1893"/>
        <w:gridCol w:w="2955"/>
        <w:gridCol w:w="1126"/>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74" w:type="dxa"/>
            <w:vAlign w:val="center"/>
          </w:tcPr>
          <w:p>
            <w:pPr>
              <w:pStyle w:val="71"/>
              <w:rPr>
                <w:rFonts w:ascii="Times New Roman" w:hAnsi="Times New Roman" w:eastAsia="仿宋_GB2312"/>
                <w:color w:val="auto"/>
              </w:rPr>
            </w:pPr>
            <w:r>
              <w:rPr>
                <w:rFonts w:ascii="Times New Roman" w:hAnsi="Times New Roman" w:eastAsia="仿宋_GB2312"/>
                <w:color w:val="auto"/>
              </w:rPr>
              <w:t>预测时期</w:t>
            </w:r>
          </w:p>
        </w:tc>
        <w:tc>
          <w:tcPr>
            <w:tcW w:w="1893" w:type="dxa"/>
            <w:vAlign w:val="center"/>
          </w:tcPr>
          <w:p>
            <w:pPr>
              <w:pStyle w:val="71"/>
              <w:rPr>
                <w:rFonts w:ascii="Times New Roman" w:hAnsi="Times New Roman" w:eastAsia="仿宋_GB2312"/>
                <w:color w:val="auto"/>
              </w:rPr>
            </w:pPr>
            <w:r>
              <w:rPr>
                <w:rFonts w:ascii="Times New Roman" w:hAnsi="Times New Roman" w:eastAsia="仿宋_GB2312"/>
                <w:color w:val="auto"/>
              </w:rPr>
              <w:t>预测单元</w:t>
            </w:r>
          </w:p>
        </w:tc>
        <w:tc>
          <w:tcPr>
            <w:tcW w:w="2955" w:type="dxa"/>
            <w:vAlign w:val="center"/>
          </w:tcPr>
          <w:p>
            <w:pPr>
              <w:pStyle w:val="71"/>
              <w:rPr>
                <w:rFonts w:ascii="Times New Roman" w:hAnsi="Times New Roman" w:eastAsia="仿宋_GB2312"/>
                <w:color w:val="auto"/>
              </w:rPr>
            </w:pPr>
            <w:r>
              <w:rPr>
                <w:rFonts w:ascii="Times New Roman" w:hAnsi="Times New Roman" w:eastAsia="仿宋_GB2312"/>
                <w:color w:val="auto"/>
              </w:rPr>
              <w:t>施工进度</w:t>
            </w:r>
          </w:p>
        </w:tc>
        <w:tc>
          <w:tcPr>
            <w:tcW w:w="1126" w:type="dxa"/>
            <w:vAlign w:val="center"/>
          </w:tcPr>
          <w:p>
            <w:pPr>
              <w:pStyle w:val="71"/>
              <w:rPr>
                <w:rFonts w:ascii="Times New Roman" w:hAnsi="Times New Roman" w:eastAsia="仿宋_GB2312"/>
                <w:color w:val="auto"/>
              </w:rPr>
            </w:pPr>
            <w:r>
              <w:rPr>
                <w:rFonts w:ascii="Times New Roman" w:hAnsi="Times New Roman" w:eastAsia="仿宋_GB2312"/>
                <w:color w:val="auto"/>
              </w:rPr>
              <w:t>预测时段</w:t>
            </w:r>
          </w:p>
          <w:p>
            <w:pPr>
              <w:pStyle w:val="71"/>
              <w:rPr>
                <w:rFonts w:ascii="Times New Roman" w:hAnsi="Times New Roman" w:eastAsia="仿宋_GB2312"/>
                <w:color w:val="auto"/>
              </w:rPr>
            </w:pPr>
            <w:r>
              <w:rPr>
                <w:rFonts w:ascii="Times New Roman" w:hAnsi="Times New Roman" w:eastAsia="仿宋_GB2312"/>
                <w:color w:val="auto"/>
              </w:rPr>
              <w:t>（a）</w:t>
            </w:r>
          </w:p>
        </w:tc>
        <w:tc>
          <w:tcPr>
            <w:tcW w:w="1201" w:type="dxa"/>
            <w:vAlign w:val="center"/>
          </w:tcPr>
          <w:p>
            <w:pPr>
              <w:pStyle w:val="71"/>
              <w:rPr>
                <w:rFonts w:ascii="Times New Roman" w:hAnsi="Times New Roman" w:eastAsia="仿宋_GB2312"/>
                <w:color w:val="auto"/>
              </w:rPr>
            </w:pPr>
            <w:r>
              <w:rPr>
                <w:rFonts w:ascii="Times New Roman" w:hAnsi="Times New Roman" w:eastAsia="仿宋_GB2312"/>
                <w:color w:val="auto"/>
              </w:rPr>
              <w:t>预测面积</w:t>
            </w:r>
          </w:p>
          <w:p>
            <w:pPr>
              <w:pStyle w:val="71"/>
              <w:rPr>
                <w:rFonts w:ascii="Times New Roman" w:hAnsi="Times New Roman" w:eastAsia="仿宋_GB2312"/>
                <w:color w:val="auto"/>
              </w:rPr>
            </w:pPr>
            <w:r>
              <w:rPr>
                <w:rFonts w:ascii="Times New Roman" w:hAnsi="Times New Roman" w:eastAsia="仿宋_GB2312"/>
                <w:color w:val="auto"/>
              </w:rPr>
              <w:t>（hm</w:t>
            </w:r>
            <w:r>
              <w:rPr>
                <w:rFonts w:ascii="Times New Roman" w:hAnsi="Times New Roman" w:eastAsia="仿宋_GB2312"/>
                <w:color w:val="auto"/>
                <w:vertAlign w:val="superscript"/>
              </w:rPr>
              <w:t>2</w:t>
            </w:r>
            <w:r>
              <w:rPr>
                <w:rFonts w:ascii="Times New Roman" w:hAnsi="Times New Roman" w:eastAsia="仿宋_GB2312"/>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174" w:type="dxa"/>
            <w:vMerge w:val="restart"/>
            <w:vAlign w:val="center"/>
          </w:tcPr>
          <w:p>
            <w:pPr>
              <w:pStyle w:val="71"/>
              <w:rPr>
                <w:rFonts w:ascii="Times New Roman" w:hAnsi="Times New Roman" w:eastAsia="仿宋_GB2312"/>
                <w:color w:val="auto"/>
              </w:rPr>
            </w:pPr>
            <w:r>
              <w:rPr>
                <w:rFonts w:ascii="Times New Roman" w:hAnsi="Times New Roman" w:eastAsia="仿宋_GB2312"/>
                <w:color w:val="auto"/>
              </w:rPr>
              <w:t>施工期</w:t>
            </w:r>
          </w:p>
        </w:tc>
        <w:tc>
          <w:tcPr>
            <w:tcW w:w="1893" w:type="dxa"/>
            <w:vAlign w:val="center"/>
          </w:tcPr>
          <w:p>
            <w:pPr>
              <w:pStyle w:val="71"/>
              <w:rPr>
                <w:rFonts w:ascii="Times New Roman" w:hAnsi="Times New Roman" w:eastAsia="仿宋_GB2312"/>
                <w:color w:val="auto"/>
              </w:rPr>
            </w:pPr>
            <w:r>
              <w:rPr>
                <w:rFonts w:ascii="Times New Roman" w:hAnsi="Times New Roman" w:eastAsia="仿宋_GB2312"/>
                <w:color w:val="auto"/>
              </w:rPr>
              <w:t>建筑物区域</w:t>
            </w:r>
          </w:p>
        </w:tc>
        <w:tc>
          <w:tcPr>
            <w:tcW w:w="2955" w:type="dxa"/>
            <w:vAlign w:val="center"/>
          </w:tcPr>
          <w:p>
            <w:pPr>
              <w:pStyle w:val="71"/>
              <w:rPr>
                <w:rFonts w:ascii="Times New Roman" w:hAnsi="Times New Roman" w:eastAsia="仿宋_GB2312"/>
                <w:color w:val="auto"/>
              </w:rPr>
            </w:pPr>
            <w:r>
              <w:rPr>
                <w:rFonts w:ascii="Times New Roman" w:hAnsi="Times New Roman" w:eastAsia="仿宋_GB2312"/>
                <w:color w:val="auto"/>
              </w:rPr>
              <w:t>202</w:t>
            </w:r>
            <w:r>
              <w:rPr>
                <w:rFonts w:hint="eastAsia" w:ascii="Times New Roman" w:hAnsi="Times New Roman" w:eastAsia="仿宋_GB2312"/>
                <w:color w:val="auto"/>
                <w:lang w:val="en-US" w:eastAsia="zh-CN"/>
              </w:rPr>
              <w:t>2</w:t>
            </w:r>
            <w:r>
              <w:rPr>
                <w:rFonts w:ascii="Times New Roman" w:hAnsi="Times New Roman" w:eastAsia="仿宋_GB2312"/>
                <w:color w:val="auto"/>
              </w:rPr>
              <w:t>年</w:t>
            </w:r>
            <w:r>
              <w:rPr>
                <w:rFonts w:hint="eastAsia" w:ascii="Times New Roman" w:hAnsi="Times New Roman" w:eastAsia="仿宋_GB2312"/>
                <w:color w:val="auto"/>
                <w:lang w:val="en-US" w:eastAsia="zh-CN"/>
              </w:rPr>
              <w:t>8</w:t>
            </w:r>
            <w:r>
              <w:rPr>
                <w:rFonts w:ascii="Times New Roman" w:hAnsi="Times New Roman" w:eastAsia="仿宋_GB2312"/>
                <w:color w:val="auto"/>
              </w:rPr>
              <w:t>月～2022年</w:t>
            </w:r>
            <w:r>
              <w:rPr>
                <w:rFonts w:hint="eastAsia" w:ascii="Times New Roman" w:hAnsi="Times New Roman" w:eastAsia="仿宋_GB2312"/>
                <w:color w:val="auto"/>
                <w:lang w:val="en-US" w:eastAsia="zh-CN"/>
              </w:rPr>
              <w:t>10</w:t>
            </w:r>
            <w:r>
              <w:rPr>
                <w:rFonts w:ascii="Times New Roman" w:hAnsi="Times New Roman" w:eastAsia="仿宋_GB2312"/>
                <w:color w:val="auto"/>
              </w:rPr>
              <w:t>月</w:t>
            </w:r>
          </w:p>
        </w:tc>
        <w:tc>
          <w:tcPr>
            <w:tcW w:w="1126" w:type="dxa"/>
            <w:vAlign w:val="center"/>
          </w:tcPr>
          <w:p>
            <w:pPr>
              <w:pStyle w:val="71"/>
              <w:rPr>
                <w:rFonts w:hint="default" w:ascii="Times New Roman" w:hAnsi="Times New Roman" w:eastAsia="仿宋_GB2312"/>
                <w:color w:val="auto"/>
                <w:lang w:val="en-US" w:eastAsia="zh-CN"/>
              </w:rPr>
            </w:pPr>
            <w:r>
              <w:rPr>
                <w:rFonts w:hint="eastAsia" w:ascii="Times New Roman" w:hAnsi="Times New Roman" w:eastAsia="仿宋_GB2312"/>
                <w:color w:val="auto"/>
                <w:lang w:val="en-US" w:eastAsia="zh-CN"/>
              </w:rPr>
              <w:t>0.5</w:t>
            </w:r>
          </w:p>
        </w:tc>
        <w:tc>
          <w:tcPr>
            <w:tcW w:w="1201" w:type="dxa"/>
            <w:vAlign w:val="center"/>
          </w:tcPr>
          <w:p>
            <w:pPr>
              <w:widowControl/>
              <w:adjustRightInd/>
              <w:spacing w:line="240" w:lineRule="auto"/>
              <w:jc w:val="center"/>
              <w:textAlignment w:val="auto"/>
              <w:rPr>
                <w:rFonts w:hint="default" w:eastAsia="仿宋_GB2312"/>
                <w:color w:val="auto"/>
                <w:sz w:val="21"/>
                <w:szCs w:val="21"/>
                <w:lang w:val="en-US" w:eastAsia="zh-CN"/>
              </w:rPr>
            </w:pPr>
            <w:r>
              <w:rPr>
                <w:rFonts w:hint="eastAsia" w:eastAsia="仿宋_GB2312"/>
                <w:color w:val="auto"/>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74" w:type="dxa"/>
            <w:vMerge w:val="continue"/>
            <w:vAlign w:val="center"/>
          </w:tcPr>
          <w:p>
            <w:pPr>
              <w:pStyle w:val="71"/>
              <w:rPr>
                <w:rFonts w:ascii="Times New Roman" w:hAnsi="Times New Roman" w:eastAsia="仿宋_GB2312"/>
                <w:color w:val="auto"/>
              </w:rPr>
            </w:pPr>
          </w:p>
        </w:tc>
        <w:tc>
          <w:tcPr>
            <w:tcW w:w="1893" w:type="dxa"/>
            <w:vAlign w:val="center"/>
          </w:tcPr>
          <w:p>
            <w:pPr>
              <w:pStyle w:val="71"/>
              <w:rPr>
                <w:rFonts w:ascii="Times New Roman" w:hAnsi="Times New Roman" w:eastAsia="仿宋_GB2312"/>
                <w:color w:val="auto"/>
              </w:rPr>
            </w:pPr>
            <w:r>
              <w:rPr>
                <w:rFonts w:ascii="Times New Roman" w:hAnsi="Times New Roman" w:eastAsia="仿宋_GB2312"/>
                <w:color w:val="auto"/>
              </w:rPr>
              <w:t>道路及硬化区域</w:t>
            </w:r>
          </w:p>
        </w:tc>
        <w:tc>
          <w:tcPr>
            <w:tcW w:w="2955" w:type="dxa"/>
            <w:vAlign w:val="center"/>
          </w:tcPr>
          <w:p>
            <w:pPr>
              <w:pStyle w:val="71"/>
              <w:rPr>
                <w:rFonts w:ascii="Times New Roman" w:hAnsi="Times New Roman" w:eastAsia="仿宋_GB2312"/>
                <w:color w:val="auto"/>
              </w:rPr>
            </w:pPr>
            <w:r>
              <w:rPr>
                <w:rFonts w:ascii="Times New Roman" w:hAnsi="Times New Roman" w:eastAsia="仿宋_GB2312"/>
                <w:color w:val="auto"/>
              </w:rPr>
              <w:t>202</w:t>
            </w:r>
            <w:r>
              <w:rPr>
                <w:rFonts w:hint="eastAsia" w:ascii="Times New Roman" w:hAnsi="Times New Roman" w:eastAsia="仿宋_GB2312"/>
                <w:color w:val="auto"/>
                <w:lang w:val="en-US" w:eastAsia="zh-CN"/>
              </w:rPr>
              <w:t>2</w:t>
            </w:r>
            <w:r>
              <w:rPr>
                <w:rFonts w:ascii="Times New Roman" w:hAnsi="Times New Roman" w:eastAsia="仿宋_GB2312"/>
                <w:color w:val="auto"/>
              </w:rPr>
              <w:t>年</w:t>
            </w:r>
            <w:r>
              <w:rPr>
                <w:rFonts w:hint="eastAsia" w:ascii="Times New Roman" w:hAnsi="Times New Roman" w:eastAsia="仿宋_GB2312"/>
                <w:color w:val="auto"/>
                <w:lang w:val="en-US" w:eastAsia="zh-CN"/>
              </w:rPr>
              <w:t>8</w:t>
            </w:r>
            <w:r>
              <w:rPr>
                <w:rFonts w:ascii="Times New Roman" w:hAnsi="Times New Roman" w:eastAsia="仿宋_GB2312"/>
                <w:color w:val="auto"/>
              </w:rPr>
              <w:t>月～202</w:t>
            </w:r>
            <w:r>
              <w:rPr>
                <w:rFonts w:hint="eastAsia" w:ascii="Times New Roman" w:hAnsi="Times New Roman" w:eastAsia="仿宋_GB2312"/>
                <w:color w:val="auto"/>
                <w:lang w:val="en-US" w:eastAsia="zh-CN"/>
              </w:rPr>
              <w:t>3</w:t>
            </w:r>
            <w:r>
              <w:rPr>
                <w:rFonts w:ascii="Times New Roman" w:hAnsi="Times New Roman" w:eastAsia="仿宋_GB2312"/>
                <w:color w:val="auto"/>
              </w:rPr>
              <w:t>年</w:t>
            </w:r>
            <w:r>
              <w:rPr>
                <w:rFonts w:hint="eastAsia" w:ascii="Times New Roman" w:hAnsi="Times New Roman" w:eastAsia="仿宋_GB2312"/>
                <w:color w:val="auto"/>
                <w:lang w:val="en-US" w:eastAsia="zh-CN"/>
              </w:rPr>
              <w:t>4</w:t>
            </w:r>
            <w:r>
              <w:rPr>
                <w:rFonts w:ascii="Times New Roman" w:hAnsi="Times New Roman" w:eastAsia="仿宋_GB2312"/>
                <w:color w:val="auto"/>
              </w:rPr>
              <w:t>月</w:t>
            </w:r>
          </w:p>
        </w:tc>
        <w:tc>
          <w:tcPr>
            <w:tcW w:w="1126" w:type="dxa"/>
            <w:vAlign w:val="center"/>
          </w:tcPr>
          <w:p>
            <w:pPr>
              <w:pStyle w:val="71"/>
              <w:rPr>
                <w:rFonts w:hint="default" w:ascii="Times New Roman" w:hAnsi="Times New Roman" w:eastAsia="仿宋_GB2312"/>
                <w:color w:val="auto"/>
                <w:lang w:val="en-US" w:eastAsia="zh-CN"/>
              </w:rPr>
            </w:pPr>
            <w:r>
              <w:rPr>
                <w:rFonts w:hint="eastAsia" w:ascii="Times New Roman" w:hAnsi="Times New Roman" w:eastAsia="仿宋_GB2312"/>
                <w:color w:val="auto"/>
                <w:lang w:val="en-US" w:eastAsia="zh-CN"/>
              </w:rPr>
              <w:t>1.0</w:t>
            </w:r>
          </w:p>
        </w:tc>
        <w:tc>
          <w:tcPr>
            <w:tcW w:w="1201" w:type="dxa"/>
            <w:vAlign w:val="center"/>
          </w:tcPr>
          <w:p>
            <w:pPr>
              <w:widowControl/>
              <w:adjustRightInd/>
              <w:spacing w:line="240" w:lineRule="auto"/>
              <w:jc w:val="center"/>
              <w:textAlignment w:val="auto"/>
              <w:rPr>
                <w:rFonts w:hint="default" w:eastAsia="仿宋_GB2312"/>
                <w:color w:val="auto"/>
                <w:sz w:val="21"/>
                <w:szCs w:val="21"/>
                <w:lang w:val="en-US" w:eastAsia="zh-CN"/>
              </w:rPr>
            </w:pPr>
            <w:r>
              <w:rPr>
                <w:rFonts w:hint="eastAsia" w:eastAsia="仿宋_GB2312"/>
                <w:color w:val="auto"/>
                <w:sz w:val="21"/>
                <w:szCs w:val="21"/>
                <w:lang w:val="en-US" w:eastAsia="zh-CN"/>
              </w:rPr>
              <w:t>0.55</w:t>
            </w:r>
          </w:p>
        </w:tc>
      </w:tr>
    </w:tbl>
    <w:p>
      <w:pPr>
        <w:spacing w:line="360" w:lineRule="auto"/>
        <w:jc w:val="both"/>
        <w:rPr>
          <w:rFonts w:eastAsia="仿宋_GB2312"/>
          <w:color w:val="auto"/>
        </w:rPr>
      </w:pPr>
      <w:r>
        <w:rPr>
          <w:rFonts w:eastAsia="仿宋_GB2312"/>
          <w:b/>
          <w:color w:val="auto"/>
        </w:rPr>
        <w:t>4.3.3土壤侵蚀模数</w:t>
      </w:r>
    </w:p>
    <w:p>
      <w:pPr>
        <w:spacing w:line="360" w:lineRule="auto"/>
        <w:ind w:firstLine="470" w:firstLineChars="196"/>
        <w:jc w:val="both"/>
        <w:rPr>
          <w:rFonts w:eastAsia="仿宋_GB2312"/>
          <w:bCs/>
          <w:color w:val="auto"/>
        </w:rPr>
      </w:pPr>
      <w:r>
        <w:rPr>
          <w:rFonts w:eastAsia="仿宋_GB2312"/>
          <w:color w:val="auto"/>
        </w:rPr>
        <w:t>原地貌土壤侵蚀模数根据土壤侵蚀模数等值线图结合现场实地调查综合分析，确定本工程建设扰动前原地貌土壤侵蚀模数。扰动后土壤侵蚀模数采用参照市区内同类项目选取扰动后土壤侵蚀模数。土壤侵蚀模数预测数据见表4-</w:t>
      </w:r>
      <w:r>
        <w:rPr>
          <w:rFonts w:hint="eastAsia" w:eastAsia="仿宋_GB2312"/>
          <w:color w:val="auto"/>
          <w:lang w:val="en-US" w:eastAsia="zh-CN"/>
        </w:rPr>
        <w:t>3</w:t>
      </w:r>
      <w:r>
        <w:rPr>
          <w:rFonts w:eastAsia="仿宋_GB2312"/>
          <w:color w:val="auto"/>
        </w:rPr>
        <w:t>。</w:t>
      </w:r>
    </w:p>
    <w:p>
      <w:pPr>
        <w:pStyle w:val="65"/>
        <w:ind w:firstLine="0" w:firstLineChars="0"/>
        <w:jc w:val="center"/>
        <w:rPr>
          <w:rFonts w:ascii="Times New Roman" w:hAnsi="Times New Roman" w:eastAsia="仿宋_GB2312" w:cs="Times New Roman"/>
          <w:b w:val="0"/>
          <w:color w:val="auto"/>
        </w:rPr>
      </w:pPr>
      <w:r>
        <w:rPr>
          <w:rFonts w:ascii="Times New Roman" w:hAnsi="Times New Roman" w:eastAsia="仿宋_GB2312" w:cs="Times New Roman"/>
          <w:bCs/>
          <w:color w:val="auto"/>
        </w:rPr>
        <w:t>表4-</w:t>
      </w:r>
      <w:r>
        <w:rPr>
          <w:rFonts w:hint="eastAsia" w:ascii="Times New Roman" w:hAnsi="Times New Roman" w:eastAsia="仿宋_GB2312" w:cs="Times New Roman"/>
          <w:bCs/>
          <w:color w:val="auto"/>
          <w:lang w:val="en-US" w:eastAsia="zh-CN"/>
        </w:rPr>
        <w:t>3</w:t>
      </w:r>
      <w:r>
        <w:rPr>
          <w:rFonts w:ascii="Times New Roman" w:hAnsi="Times New Roman" w:eastAsia="仿宋_GB2312" w:cs="Times New Roman"/>
          <w:bCs/>
          <w:color w:val="auto"/>
        </w:rPr>
        <w:t xml:space="preserve">              </w:t>
      </w:r>
      <w:r>
        <w:rPr>
          <w:rFonts w:ascii="Times New Roman" w:hAnsi="Times New Roman" w:eastAsia="仿宋_GB2312" w:cs="Times New Roman"/>
          <w:bCs/>
          <w:color w:val="auto"/>
          <w:kern w:val="0"/>
          <w:szCs w:val="28"/>
        </w:rPr>
        <w:t>各分区扰动地貌土壤侵蚀模数表</w:t>
      </w:r>
    </w:p>
    <w:tbl>
      <w:tblPr>
        <w:tblStyle w:val="24"/>
        <w:tblW w:w="85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9"/>
        <w:gridCol w:w="1064"/>
        <w:gridCol w:w="1192"/>
        <w:gridCol w:w="1615"/>
        <w:gridCol w:w="1432"/>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99" w:type="dxa"/>
            <w:vAlign w:val="center"/>
          </w:tcPr>
          <w:p>
            <w:pPr>
              <w:pStyle w:val="71"/>
              <w:rPr>
                <w:rFonts w:ascii="Times New Roman" w:hAnsi="Times New Roman" w:eastAsia="仿宋_GB2312"/>
                <w:color w:val="auto"/>
              </w:rPr>
            </w:pPr>
            <w:r>
              <w:rPr>
                <w:rFonts w:ascii="Times New Roman" w:hAnsi="Times New Roman" w:eastAsia="仿宋_GB2312"/>
                <w:color w:val="auto"/>
              </w:rPr>
              <w:t>预测单元</w:t>
            </w:r>
          </w:p>
        </w:tc>
        <w:tc>
          <w:tcPr>
            <w:tcW w:w="1064" w:type="dxa"/>
            <w:vAlign w:val="center"/>
          </w:tcPr>
          <w:p>
            <w:pPr>
              <w:pStyle w:val="71"/>
              <w:rPr>
                <w:rFonts w:ascii="Times New Roman" w:hAnsi="Times New Roman" w:eastAsia="仿宋_GB2312"/>
                <w:color w:val="auto"/>
              </w:rPr>
            </w:pPr>
            <w:r>
              <w:rPr>
                <w:rFonts w:ascii="Times New Roman" w:hAnsi="Times New Roman" w:eastAsia="仿宋_GB2312"/>
                <w:color w:val="auto"/>
              </w:rPr>
              <w:t>土壤侵蚀</w:t>
            </w:r>
          </w:p>
          <w:p>
            <w:pPr>
              <w:pStyle w:val="71"/>
              <w:rPr>
                <w:rFonts w:ascii="Times New Roman" w:hAnsi="Times New Roman" w:eastAsia="仿宋_GB2312"/>
                <w:color w:val="auto"/>
              </w:rPr>
            </w:pPr>
            <w:r>
              <w:rPr>
                <w:rFonts w:ascii="Times New Roman" w:hAnsi="Times New Roman" w:eastAsia="仿宋_GB2312"/>
                <w:color w:val="auto"/>
              </w:rPr>
              <w:t>背景值</w:t>
            </w:r>
          </w:p>
        </w:tc>
        <w:tc>
          <w:tcPr>
            <w:tcW w:w="1192" w:type="dxa"/>
            <w:vAlign w:val="center"/>
          </w:tcPr>
          <w:p>
            <w:pPr>
              <w:pStyle w:val="71"/>
              <w:rPr>
                <w:rFonts w:ascii="Times New Roman" w:hAnsi="Times New Roman" w:eastAsia="仿宋_GB2312"/>
                <w:color w:val="auto"/>
              </w:rPr>
            </w:pPr>
            <w:r>
              <w:rPr>
                <w:rFonts w:ascii="Times New Roman" w:hAnsi="Times New Roman" w:eastAsia="仿宋_GB2312"/>
                <w:color w:val="auto"/>
              </w:rPr>
              <w:t>施工期土壤侵蚀模数</w:t>
            </w:r>
          </w:p>
        </w:tc>
        <w:tc>
          <w:tcPr>
            <w:tcW w:w="1615" w:type="dxa"/>
            <w:vAlign w:val="center"/>
          </w:tcPr>
          <w:p>
            <w:pPr>
              <w:pStyle w:val="71"/>
              <w:rPr>
                <w:rFonts w:ascii="Times New Roman" w:hAnsi="Times New Roman" w:eastAsia="仿宋_GB2312"/>
                <w:color w:val="auto"/>
              </w:rPr>
            </w:pPr>
            <w:r>
              <w:rPr>
                <w:rFonts w:ascii="Times New Roman" w:hAnsi="Times New Roman" w:eastAsia="仿宋_GB2312"/>
                <w:color w:val="auto"/>
              </w:rPr>
              <w:t>自然恢复期</w:t>
            </w:r>
          </w:p>
          <w:p>
            <w:pPr>
              <w:pStyle w:val="71"/>
              <w:rPr>
                <w:rFonts w:ascii="Times New Roman" w:hAnsi="Times New Roman" w:eastAsia="仿宋_GB2312"/>
                <w:color w:val="auto"/>
              </w:rPr>
            </w:pPr>
            <w:r>
              <w:rPr>
                <w:rFonts w:ascii="Times New Roman" w:hAnsi="Times New Roman" w:eastAsia="仿宋_GB2312"/>
                <w:color w:val="auto"/>
              </w:rPr>
              <w:t>（第1年）</w:t>
            </w:r>
          </w:p>
          <w:p>
            <w:pPr>
              <w:pStyle w:val="71"/>
              <w:rPr>
                <w:rFonts w:ascii="Times New Roman" w:hAnsi="Times New Roman" w:eastAsia="仿宋_GB2312"/>
                <w:color w:val="auto"/>
              </w:rPr>
            </w:pPr>
            <w:r>
              <w:rPr>
                <w:rFonts w:ascii="Times New Roman" w:hAnsi="Times New Roman" w:eastAsia="仿宋_GB2312"/>
                <w:color w:val="auto"/>
              </w:rPr>
              <w:t>土壤侵蚀模数</w:t>
            </w:r>
          </w:p>
        </w:tc>
        <w:tc>
          <w:tcPr>
            <w:tcW w:w="1432" w:type="dxa"/>
            <w:vAlign w:val="center"/>
          </w:tcPr>
          <w:p>
            <w:pPr>
              <w:pStyle w:val="71"/>
              <w:rPr>
                <w:rFonts w:ascii="Times New Roman" w:hAnsi="Times New Roman" w:eastAsia="仿宋_GB2312"/>
                <w:color w:val="auto"/>
              </w:rPr>
            </w:pPr>
            <w:r>
              <w:rPr>
                <w:rFonts w:ascii="Times New Roman" w:hAnsi="Times New Roman" w:eastAsia="仿宋_GB2312"/>
                <w:color w:val="auto"/>
              </w:rPr>
              <w:t>自然恢复期</w:t>
            </w:r>
          </w:p>
          <w:p>
            <w:pPr>
              <w:pStyle w:val="71"/>
              <w:rPr>
                <w:rFonts w:ascii="Times New Roman" w:hAnsi="Times New Roman" w:eastAsia="仿宋_GB2312"/>
                <w:color w:val="auto"/>
              </w:rPr>
            </w:pPr>
            <w:r>
              <w:rPr>
                <w:rFonts w:ascii="Times New Roman" w:hAnsi="Times New Roman" w:eastAsia="仿宋_GB2312"/>
                <w:color w:val="auto"/>
              </w:rPr>
              <w:t>（第2年）</w:t>
            </w:r>
          </w:p>
          <w:p>
            <w:pPr>
              <w:pStyle w:val="71"/>
              <w:rPr>
                <w:rFonts w:ascii="Times New Roman" w:hAnsi="Times New Roman" w:eastAsia="仿宋_GB2312"/>
                <w:color w:val="auto"/>
              </w:rPr>
            </w:pPr>
            <w:r>
              <w:rPr>
                <w:rFonts w:ascii="Times New Roman" w:hAnsi="Times New Roman" w:eastAsia="仿宋_GB2312"/>
                <w:color w:val="auto"/>
              </w:rPr>
              <w:t>土壤侵蚀模数</w:t>
            </w:r>
          </w:p>
        </w:tc>
        <w:tc>
          <w:tcPr>
            <w:tcW w:w="1421" w:type="dxa"/>
            <w:vAlign w:val="center"/>
          </w:tcPr>
          <w:p>
            <w:pPr>
              <w:pStyle w:val="71"/>
              <w:rPr>
                <w:rFonts w:ascii="Times New Roman" w:hAnsi="Times New Roman" w:eastAsia="仿宋_GB2312"/>
                <w:color w:val="auto"/>
              </w:rPr>
            </w:pPr>
            <w:r>
              <w:rPr>
                <w:rFonts w:ascii="Times New Roman" w:hAnsi="Times New Roman" w:eastAsia="仿宋_GB2312"/>
                <w:color w:val="auto"/>
              </w:rPr>
              <w:t>自然恢复期</w:t>
            </w:r>
          </w:p>
          <w:p>
            <w:pPr>
              <w:pStyle w:val="71"/>
              <w:rPr>
                <w:rFonts w:ascii="Times New Roman" w:hAnsi="Times New Roman" w:eastAsia="仿宋_GB2312"/>
                <w:color w:val="auto"/>
              </w:rPr>
            </w:pPr>
            <w:r>
              <w:rPr>
                <w:rFonts w:ascii="Times New Roman" w:hAnsi="Times New Roman" w:eastAsia="仿宋_GB2312"/>
                <w:color w:val="auto"/>
              </w:rPr>
              <w:t>（第3年）</w:t>
            </w:r>
          </w:p>
          <w:p>
            <w:pPr>
              <w:pStyle w:val="71"/>
              <w:rPr>
                <w:rFonts w:ascii="Times New Roman" w:hAnsi="Times New Roman" w:eastAsia="仿宋_GB2312"/>
                <w:color w:val="auto"/>
              </w:rPr>
            </w:pPr>
            <w:r>
              <w:rPr>
                <w:rFonts w:ascii="Times New Roman" w:hAnsi="Times New Roman" w:eastAsia="仿宋_GB2312"/>
                <w:color w:val="auto"/>
              </w:rPr>
              <w:t>土壤侵蚀模数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99" w:type="dxa"/>
            <w:vAlign w:val="center"/>
          </w:tcPr>
          <w:p>
            <w:pPr>
              <w:pStyle w:val="71"/>
              <w:rPr>
                <w:rFonts w:ascii="Times New Roman" w:hAnsi="Times New Roman" w:eastAsia="仿宋_GB2312"/>
                <w:color w:val="auto"/>
              </w:rPr>
            </w:pPr>
            <w:r>
              <w:rPr>
                <w:rFonts w:ascii="Times New Roman" w:hAnsi="Times New Roman" w:eastAsia="仿宋_GB2312"/>
                <w:color w:val="auto"/>
              </w:rPr>
              <w:t>建筑物区域</w:t>
            </w:r>
          </w:p>
        </w:tc>
        <w:tc>
          <w:tcPr>
            <w:tcW w:w="1064"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400</w:t>
            </w:r>
          </w:p>
        </w:tc>
        <w:tc>
          <w:tcPr>
            <w:tcW w:w="1192" w:type="dxa"/>
            <w:vAlign w:val="center"/>
          </w:tcPr>
          <w:p>
            <w:pPr>
              <w:spacing w:line="240" w:lineRule="auto"/>
              <w:jc w:val="center"/>
              <w:rPr>
                <w:rFonts w:eastAsia="仿宋_GB2312"/>
                <w:color w:val="auto"/>
                <w:sz w:val="21"/>
                <w:szCs w:val="21"/>
              </w:rPr>
            </w:pPr>
            <w:r>
              <w:rPr>
                <w:rFonts w:eastAsia="仿宋_GB2312"/>
                <w:bCs/>
                <w:color w:val="auto"/>
                <w:kern w:val="2"/>
                <w:sz w:val="21"/>
                <w:szCs w:val="21"/>
              </w:rPr>
              <w:t>4200</w:t>
            </w:r>
          </w:p>
        </w:tc>
        <w:tc>
          <w:tcPr>
            <w:tcW w:w="1615" w:type="dxa"/>
            <w:vAlign w:val="center"/>
          </w:tcPr>
          <w:p>
            <w:pPr>
              <w:spacing w:line="240" w:lineRule="auto"/>
              <w:jc w:val="center"/>
              <w:rPr>
                <w:rFonts w:hint="eastAsia" w:eastAsia="仿宋_GB2312"/>
                <w:color w:val="auto"/>
                <w:sz w:val="21"/>
                <w:szCs w:val="21"/>
                <w:lang w:val="en-US" w:eastAsia="zh-CN"/>
              </w:rPr>
            </w:pPr>
            <w:r>
              <w:rPr>
                <w:rFonts w:hint="eastAsia" w:eastAsia="仿宋_GB2312"/>
                <w:color w:val="auto"/>
                <w:sz w:val="21"/>
                <w:szCs w:val="21"/>
                <w:lang w:val="en-US" w:eastAsia="zh-CN"/>
              </w:rPr>
              <w:t>/</w:t>
            </w:r>
          </w:p>
        </w:tc>
        <w:tc>
          <w:tcPr>
            <w:tcW w:w="1432" w:type="dxa"/>
            <w:vAlign w:val="center"/>
          </w:tcPr>
          <w:p>
            <w:pPr>
              <w:spacing w:line="240" w:lineRule="auto"/>
              <w:jc w:val="center"/>
              <w:rPr>
                <w:rFonts w:eastAsia="仿宋_GB2312"/>
                <w:color w:val="auto"/>
                <w:sz w:val="21"/>
                <w:szCs w:val="21"/>
              </w:rPr>
            </w:pPr>
            <w:r>
              <w:rPr>
                <w:rFonts w:hint="eastAsia" w:eastAsia="仿宋_GB2312"/>
                <w:color w:val="auto"/>
                <w:sz w:val="21"/>
                <w:szCs w:val="21"/>
                <w:lang w:val="en-US" w:eastAsia="zh-CN"/>
              </w:rPr>
              <w:t>/</w:t>
            </w:r>
          </w:p>
        </w:tc>
        <w:tc>
          <w:tcPr>
            <w:tcW w:w="1421" w:type="dxa"/>
            <w:vAlign w:val="center"/>
          </w:tcPr>
          <w:p>
            <w:pPr>
              <w:spacing w:line="240" w:lineRule="auto"/>
              <w:jc w:val="center"/>
              <w:rPr>
                <w:rFonts w:eastAsia="仿宋_GB2312"/>
                <w:color w:val="auto"/>
                <w:sz w:val="21"/>
                <w:szCs w:val="21"/>
              </w:rPr>
            </w:pPr>
            <w:r>
              <w:rPr>
                <w:rFonts w:hint="eastAsia" w:eastAsia="仿宋_GB2312"/>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99" w:type="dxa"/>
            <w:vAlign w:val="center"/>
          </w:tcPr>
          <w:p>
            <w:pPr>
              <w:pStyle w:val="71"/>
              <w:rPr>
                <w:rFonts w:ascii="Times New Roman" w:hAnsi="Times New Roman" w:eastAsia="仿宋_GB2312"/>
                <w:color w:val="auto"/>
              </w:rPr>
            </w:pPr>
            <w:r>
              <w:rPr>
                <w:rFonts w:ascii="Times New Roman" w:hAnsi="Times New Roman" w:eastAsia="仿宋_GB2312"/>
                <w:color w:val="auto"/>
              </w:rPr>
              <w:t>道路及硬化区域</w:t>
            </w:r>
          </w:p>
        </w:tc>
        <w:tc>
          <w:tcPr>
            <w:tcW w:w="1064" w:type="dxa"/>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400</w:t>
            </w:r>
          </w:p>
        </w:tc>
        <w:tc>
          <w:tcPr>
            <w:tcW w:w="1192" w:type="dxa"/>
            <w:vAlign w:val="center"/>
          </w:tcPr>
          <w:p>
            <w:pPr>
              <w:pStyle w:val="71"/>
              <w:rPr>
                <w:rFonts w:ascii="Times New Roman" w:hAnsi="Times New Roman" w:eastAsia="仿宋_GB2312"/>
                <w:color w:val="auto"/>
              </w:rPr>
            </w:pPr>
            <w:r>
              <w:rPr>
                <w:rFonts w:ascii="Times New Roman" w:hAnsi="Times New Roman" w:eastAsia="仿宋_GB2312"/>
                <w:bCs/>
                <w:color w:val="auto"/>
              </w:rPr>
              <w:t>4000</w:t>
            </w:r>
          </w:p>
        </w:tc>
        <w:tc>
          <w:tcPr>
            <w:tcW w:w="1615" w:type="dxa"/>
            <w:vAlign w:val="center"/>
          </w:tcPr>
          <w:p>
            <w:pPr>
              <w:jc w:val="center"/>
              <w:rPr>
                <w:rFonts w:ascii="Times New Roman" w:hAnsi="Times New Roman" w:eastAsia="仿宋_GB2312"/>
                <w:color w:val="auto"/>
              </w:rPr>
            </w:pPr>
            <w:r>
              <w:rPr>
                <w:rFonts w:hint="eastAsia" w:eastAsia="仿宋_GB2312"/>
                <w:color w:val="auto"/>
                <w:sz w:val="21"/>
                <w:szCs w:val="21"/>
                <w:lang w:val="en-US" w:eastAsia="zh-CN"/>
              </w:rPr>
              <w:t>/</w:t>
            </w:r>
          </w:p>
        </w:tc>
        <w:tc>
          <w:tcPr>
            <w:tcW w:w="1432" w:type="dxa"/>
            <w:vAlign w:val="center"/>
          </w:tcPr>
          <w:p>
            <w:pPr>
              <w:jc w:val="center"/>
              <w:rPr>
                <w:rFonts w:ascii="Times New Roman" w:hAnsi="Times New Roman" w:eastAsia="仿宋_GB2312"/>
                <w:color w:val="auto"/>
              </w:rPr>
            </w:pPr>
            <w:r>
              <w:rPr>
                <w:rFonts w:hint="eastAsia" w:eastAsia="仿宋_GB2312"/>
                <w:color w:val="auto"/>
                <w:sz w:val="21"/>
                <w:szCs w:val="21"/>
                <w:lang w:val="en-US" w:eastAsia="zh-CN"/>
              </w:rPr>
              <w:t>/</w:t>
            </w:r>
          </w:p>
        </w:tc>
        <w:tc>
          <w:tcPr>
            <w:tcW w:w="1421" w:type="dxa"/>
            <w:vAlign w:val="center"/>
          </w:tcPr>
          <w:p>
            <w:pPr>
              <w:jc w:val="center"/>
              <w:rPr>
                <w:rFonts w:ascii="Times New Roman" w:hAnsi="Times New Roman" w:eastAsia="仿宋_GB2312"/>
                <w:color w:val="auto"/>
              </w:rPr>
            </w:pPr>
            <w:r>
              <w:rPr>
                <w:rFonts w:hint="eastAsia" w:eastAsia="仿宋_GB2312"/>
                <w:color w:val="auto"/>
                <w:sz w:val="21"/>
                <w:szCs w:val="21"/>
                <w:lang w:val="en-US" w:eastAsia="zh-CN"/>
              </w:rPr>
              <w:t>/</w:t>
            </w:r>
          </w:p>
        </w:tc>
      </w:tr>
    </w:tbl>
    <w:p>
      <w:pPr>
        <w:spacing w:line="360" w:lineRule="auto"/>
        <w:jc w:val="both"/>
        <w:rPr>
          <w:rStyle w:val="30"/>
          <w:color w:val="auto"/>
        </w:rPr>
      </w:pPr>
      <w:r>
        <w:rPr>
          <w:rFonts w:eastAsia="仿宋_GB2312"/>
          <w:b/>
          <w:color w:val="auto"/>
        </w:rPr>
        <w:t>4.3.4预测结果</w:t>
      </w:r>
    </w:p>
    <w:p>
      <w:pPr>
        <w:spacing w:line="360" w:lineRule="auto"/>
        <w:jc w:val="both"/>
        <w:rPr>
          <w:rStyle w:val="30"/>
          <w:rFonts w:eastAsia="仿宋_GB2312"/>
          <w:b/>
          <w:bCs/>
          <w:color w:val="auto"/>
          <w:sz w:val="24"/>
          <w:szCs w:val="24"/>
        </w:rPr>
      </w:pPr>
      <w:r>
        <w:rPr>
          <w:rStyle w:val="30"/>
          <w:rFonts w:eastAsia="仿宋_GB2312"/>
          <w:b/>
          <w:bCs/>
          <w:color w:val="auto"/>
          <w:sz w:val="24"/>
          <w:szCs w:val="24"/>
        </w:rPr>
        <w:t>4.3.4.1 预测方法</w:t>
      </w:r>
    </w:p>
    <w:p>
      <w:pPr>
        <w:pStyle w:val="48"/>
        <w:ind w:firstLine="48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土壤侵蚀主要指在自然营力和人类活动作用下，土壤或其他地面组成物质被破坏、剥蚀、搬运和沉积的过程。对于该项工程来说，主要指施工过程中产生的地貌形态、土壤机构及地表植被破坏后造成的加速侵蚀量。利用下面的公式计算出本项目各个预测单元在施工期和自然恢复期的新增土壤流失量。土壤流失量计算公式如下：</w:t>
      </w:r>
    </w:p>
    <w:p>
      <w:pPr>
        <w:snapToGrid w:val="0"/>
        <w:spacing w:line="360" w:lineRule="auto"/>
        <w:ind w:firstLine="480" w:firstLineChars="200"/>
        <w:rPr>
          <w:rFonts w:eastAsia="仿宋_GB2312"/>
          <w:color w:val="auto"/>
        </w:rPr>
      </w:pPr>
      <w:r>
        <w:rPr>
          <w:rFonts w:eastAsia="仿宋_GB2312"/>
          <w:color w:val="auto"/>
        </w:rPr>
        <w:t>项目区土壤流失量预测采取侵蚀模数法。公式为：</w:t>
      </w:r>
    </w:p>
    <w:p>
      <w:pPr>
        <w:snapToGrid w:val="0"/>
        <w:spacing w:line="360" w:lineRule="auto"/>
        <w:ind w:firstLine="480" w:firstLineChars="200"/>
        <w:rPr>
          <w:rFonts w:eastAsia="仿宋_GB2312"/>
          <w:color w:val="auto"/>
        </w:rPr>
      </w:pPr>
      <w:r>
        <w:rPr>
          <w:rFonts w:eastAsia="仿宋_GB2312"/>
          <w:color w:val="auto"/>
          <w:position w:val="-30"/>
        </w:rPr>
        <w:object>
          <v:shape id="_x0000_i1025" o:spt="75" type="#_x0000_t75" style="height:35pt;width:132pt;" o:ole="t" filled="f" o:preferrelative="t" stroked="f" coordsize="21600,21600">
            <v:path/>
            <v:fill on="f" focussize="0,0"/>
            <v:stroke on="f" joinstyle="miter"/>
            <v:imagedata r:id="rId33" o:title=""/>
            <o:lock v:ext="edit" aspectratio="t"/>
            <w10:wrap type="none"/>
            <w10:anchorlock/>
          </v:shape>
          <o:OLEObject Type="Embed" ProgID="Equation.3" ShapeID="_x0000_i1025" DrawAspect="Content" ObjectID="_1468075725" r:id="rId32">
            <o:LockedField>false</o:LockedField>
          </o:OLEObject>
        </w:object>
      </w:r>
    </w:p>
    <w:p>
      <w:pPr>
        <w:snapToGrid w:val="0"/>
        <w:spacing w:line="360" w:lineRule="auto"/>
        <w:ind w:firstLine="480" w:firstLineChars="200"/>
        <w:rPr>
          <w:rFonts w:eastAsia="仿宋_GB2312"/>
          <w:color w:val="auto"/>
        </w:rPr>
      </w:pPr>
      <w:r>
        <w:rPr>
          <w:rFonts w:eastAsia="仿宋_GB2312"/>
          <w:color w:val="auto"/>
        </w:rPr>
        <w:t>式中：</w:t>
      </w:r>
      <w:r>
        <w:rPr>
          <w:rFonts w:eastAsia="仿宋_GB2312"/>
          <w:color w:val="auto"/>
          <w:position w:val="-6"/>
        </w:rPr>
        <w:object>
          <v:shape id="_x0000_i1026" o:spt="75" type="#_x0000_t75" style="height:13.5pt;width:13.5pt;" o:ole="t" filled="f" o:preferrelative="t" stroked="f" coordsize="21600,21600">
            <v:path/>
            <v:fill on="f" focussize="0,0"/>
            <v:stroke on="f" joinstyle="miter"/>
            <v:imagedata r:id="rId35" o:title=""/>
            <o:lock v:ext="edit" aspectratio="t"/>
            <w10:wrap type="none"/>
            <w10:anchorlock/>
          </v:shape>
          <o:OLEObject Type="Embed" ProgID="Equation.3" ShapeID="_x0000_i1026" DrawAspect="Content" ObjectID="_1468075726" r:id="rId34">
            <o:LockedField>false</o:LockedField>
          </o:OLEObject>
        </w:object>
      </w:r>
      <w:r>
        <w:rPr>
          <w:rFonts w:eastAsia="仿宋_GB2312"/>
          <w:color w:val="auto"/>
        </w:rPr>
        <w:t>——土壤流失量，t；</w:t>
      </w:r>
    </w:p>
    <w:p>
      <w:pPr>
        <w:snapToGrid w:val="0"/>
        <w:spacing w:line="360" w:lineRule="auto"/>
        <w:ind w:firstLine="480" w:firstLineChars="200"/>
        <w:rPr>
          <w:rFonts w:eastAsia="仿宋_GB2312"/>
          <w:color w:val="auto"/>
        </w:rPr>
      </w:pPr>
      <w:r>
        <w:rPr>
          <w:rFonts w:eastAsia="仿宋_GB2312"/>
          <w:color w:val="auto"/>
        </w:rPr>
        <w:t>F</w:t>
      </w:r>
      <w:r>
        <w:rPr>
          <w:rFonts w:eastAsia="仿宋_GB2312"/>
          <w:color w:val="auto"/>
          <w:vertAlign w:val="subscript"/>
        </w:rPr>
        <w:t>ji</w:t>
      </w:r>
      <w:r>
        <w:rPr>
          <w:rFonts w:eastAsia="仿宋_GB2312"/>
          <w:color w:val="auto"/>
        </w:rPr>
        <w:t>——第j预测时段、第i预测单元的面积，km</w:t>
      </w:r>
      <w:r>
        <w:rPr>
          <w:rFonts w:eastAsia="仿宋_GB2312"/>
          <w:color w:val="auto"/>
          <w:vertAlign w:val="superscript"/>
        </w:rPr>
        <w:t>2</w:t>
      </w:r>
      <w:r>
        <w:rPr>
          <w:rFonts w:eastAsia="仿宋_GB2312"/>
          <w:color w:val="auto"/>
        </w:rPr>
        <w:t>；</w:t>
      </w:r>
    </w:p>
    <w:p>
      <w:pPr>
        <w:snapToGrid w:val="0"/>
        <w:spacing w:line="360" w:lineRule="auto"/>
        <w:ind w:firstLine="480" w:firstLineChars="200"/>
        <w:rPr>
          <w:rFonts w:eastAsia="仿宋_GB2312"/>
          <w:color w:val="auto"/>
        </w:rPr>
      </w:pPr>
      <w:r>
        <w:rPr>
          <w:rFonts w:eastAsia="仿宋_GB2312"/>
          <w:color w:val="auto"/>
        </w:rPr>
        <w:t>M</w:t>
      </w:r>
      <w:r>
        <w:rPr>
          <w:rFonts w:eastAsia="仿宋_GB2312"/>
          <w:color w:val="auto"/>
          <w:vertAlign w:val="subscript"/>
        </w:rPr>
        <w:t>ji—</w:t>
      </w:r>
      <w:r>
        <w:rPr>
          <w:rFonts w:eastAsia="仿宋_GB2312"/>
          <w:color w:val="auto"/>
        </w:rPr>
        <w:t>——第j预测时段、第i预测单元的土壤侵蚀模数，t/km</w:t>
      </w:r>
      <w:r>
        <w:rPr>
          <w:rFonts w:eastAsia="仿宋_GB2312"/>
          <w:color w:val="auto"/>
          <w:vertAlign w:val="superscript"/>
        </w:rPr>
        <w:t>2</w:t>
      </w:r>
      <w:r>
        <w:rPr>
          <w:rFonts w:eastAsia="仿宋_GB2312"/>
          <w:color w:val="auto"/>
        </w:rPr>
        <w:t>·a；</w:t>
      </w:r>
    </w:p>
    <w:p>
      <w:pPr>
        <w:snapToGrid w:val="0"/>
        <w:spacing w:line="360" w:lineRule="auto"/>
        <w:ind w:firstLine="480" w:firstLineChars="200"/>
        <w:rPr>
          <w:rFonts w:hint="default" w:ascii="Times New Roman" w:hAnsi="Times New Roman" w:eastAsia="仿宋_GB2312" w:cs="Times New Roman"/>
          <w:color w:val="auto"/>
        </w:rPr>
      </w:pPr>
      <w:r>
        <w:rPr>
          <w:rFonts w:eastAsia="仿宋_GB2312"/>
          <w:color w:val="auto"/>
        </w:rPr>
        <w:t>T</w:t>
      </w:r>
      <w:r>
        <w:rPr>
          <w:rFonts w:eastAsia="仿宋_GB2312"/>
          <w:color w:val="auto"/>
          <w:vertAlign w:val="subscript"/>
        </w:rPr>
        <w:t>ji</w:t>
      </w:r>
      <w:r>
        <w:rPr>
          <w:rFonts w:eastAsia="仿宋_GB2312"/>
          <w:color w:val="auto"/>
        </w:rPr>
        <w:t>——第j预测时段、第i预测单元的预测时段，a。</w:t>
      </w:r>
    </w:p>
    <w:p>
      <w:pPr>
        <w:snapToGrid w:val="0"/>
        <w:spacing w:line="360" w:lineRule="auto"/>
        <w:ind w:firstLine="480" w:firstLineChars="200"/>
        <w:rPr>
          <w:rFonts w:eastAsia="仿宋_GB2312"/>
          <w:color w:val="auto"/>
        </w:rPr>
      </w:pPr>
      <w:r>
        <w:rPr>
          <w:rFonts w:eastAsia="仿宋_GB2312"/>
          <w:color w:val="auto"/>
        </w:rPr>
        <w:t>i——预测单元，i=</w:t>
      </w:r>
      <w:r>
        <w:rPr>
          <w:rFonts w:hint="eastAsia" w:eastAsia="仿宋_GB2312"/>
          <w:color w:val="auto"/>
          <w:lang w:val="en-US" w:eastAsia="zh-CN"/>
        </w:rPr>
        <w:t>2</w:t>
      </w:r>
      <w:r>
        <w:rPr>
          <w:rFonts w:eastAsia="仿宋_GB2312"/>
          <w:color w:val="auto"/>
        </w:rPr>
        <w:t>，指建筑物区域、道路及硬化区域；</w:t>
      </w:r>
    </w:p>
    <w:p>
      <w:pPr>
        <w:adjustRightInd/>
        <w:spacing w:line="360" w:lineRule="auto"/>
        <w:ind w:firstLine="480" w:firstLineChars="200"/>
        <w:textAlignment w:val="auto"/>
        <w:rPr>
          <w:rFonts w:eastAsia="仿宋_GB2312"/>
          <w:color w:val="auto"/>
          <w:szCs w:val="24"/>
        </w:rPr>
      </w:pPr>
      <w:r>
        <w:rPr>
          <w:rFonts w:eastAsia="仿宋_GB2312"/>
          <w:color w:val="auto"/>
        </w:rPr>
        <w:t>j——预测时段，j=1，指施工期（含施工准备期）</w:t>
      </w:r>
      <w:r>
        <w:rPr>
          <w:rFonts w:eastAsia="仿宋_GB2312"/>
          <w:color w:val="auto"/>
          <w:szCs w:val="24"/>
        </w:rPr>
        <w:t>。</w:t>
      </w:r>
    </w:p>
    <w:p>
      <w:pPr>
        <w:adjustRightInd/>
        <w:spacing w:line="360" w:lineRule="auto"/>
        <w:textAlignment w:val="auto"/>
        <w:rPr>
          <w:rFonts w:eastAsia="仿宋_GB2312"/>
          <w:color w:val="auto"/>
          <w:szCs w:val="24"/>
        </w:rPr>
      </w:pPr>
      <w:r>
        <w:rPr>
          <w:rStyle w:val="30"/>
          <w:rFonts w:eastAsia="仿宋_GB2312"/>
          <w:b/>
          <w:bCs/>
          <w:color w:val="auto"/>
          <w:sz w:val="24"/>
          <w:szCs w:val="24"/>
        </w:rPr>
        <w:t>4.3.4.2 施工期土壤流失量预测</w:t>
      </w:r>
    </w:p>
    <w:p>
      <w:pPr>
        <w:spacing w:line="360" w:lineRule="auto"/>
        <w:ind w:firstLine="470" w:firstLineChars="196"/>
        <w:jc w:val="both"/>
        <w:rPr>
          <w:rFonts w:eastAsia="仿宋_GB2312"/>
          <w:b/>
          <w:color w:val="auto"/>
        </w:rPr>
      </w:pPr>
      <w:r>
        <w:rPr>
          <w:rFonts w:eastAsia="仿宋_GB2312"/>
          <w:color w:val="auto"/>
        </w:rPr>
        <w:t>工程建设可能造成的土壤流失量见表4-</w:t>
      </w:r>
      <w:r>
        <w:rPr>
          <w:rFonts w:hint="eastAsia" w:eastAsia="仿宋_GB2312"/>
          <w:color w:val="auto"/>
          <w:lang w:val="en-US" w:eastAsia="zh-CN"/>
        </w:rPr>
        <w:t>4</w:t>
      </w:r>
      <w:r>
        <w:rPr>
          <w:rFonts w:eastAsia="仿宋_GB2312"/>
          <w:color w:val="auto"/>
        </w:rPr>
        <w:t>。</w:t>
      </w:r>
    </w:p>
    <w:p>
      <w:pPr>
        <w:jc w:val="both"/>
        <w:rPr>
          <w:rFonts w:eastAsia="仿宋_GB2312"/>
          <w:bCs/>
          <w:color w:val="auto"/>
          <w:highlight w:val="none"/>
        </w:rPr>
      </w:pPr>
      <w:r>
        <w:rPr>
          <w:rFonts w:eastAsia="仿宋_GB2312"/>
          <w:b/>
          <w:color w:val="auto"/>
          <w:highlight w:val="none"/>
        </w:rPr>
        <w:t>表4-</w:t>
      </w:r>
      <w:r>
        <w:rPr>
          <w:rFonts w:hint="eastAsia" w:eastAsia="仿宋_GB2312"/>
          <w:b/>
          <w:color w:val="auto"/>
          <w:highlight w:val="none"/>
          <w:lang w:val="en-US" w:eastAsia="zh-CN"/>
        </w:rPr>
        <w:t>4</w:t>
      </w:r>
      <w:r>
        <w:rPr>
          <w:rFonts w:eastAsia="仿宋_GB2312"/>
          <w:b/>
          <w:color w:val="auto"/>
          <w:highlight w:val="none"/>
        </w:rPr>
        <w:t xml:space="preserve">       </w:t>
      </w:r>
      <w:r>
        <w:rPr>
          <w:rFonts w:hint="eastAsia" w:eastAsia="仿宋_GB2312"/>
          <w:b/>
          <w:color w:val="auto"/>
          <w:highlight w:val="none"/>
          <w:lang w:val="en-US" w:eastAsia="zh-CN"/>
        </w:rPr>
        <w:t xml:space="preserve">    </w:t>
      </w:r>
      <w:r>
        <w:rPr>
          <w:rFonts w:eastAsia="仿宋_GB2312"/>
          <w:b/>
          <w:color w:val="auto"/>
          <w:highlight w:val="none"/>
        </w:rPr>
        <w:t xml:space="preserve">  工程建设可能造成的土壤流失量表</w:t>
      </w:r>
    </w:p>
    <w:tbl>
      <w:tblPr>
        <w:tblStyle w:val="24"/>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1921"/>
        <w:gridCol w:w="1125"/>
        <w:gridCol w:w="1125"/>
        <w:gridCol w:w="900"/>
        <w:gridCol w:w="673"/>
        <w:gridCol w:w="794"/>
        <w:gridCol w:w="796"/>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3" w:type="dxa"/>
            <w:vMerge w:val="restart"/>
            <w:vAlign w:val="center"/>
          </w:tcPr>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预测</w:t>
            </w:r>
          </w:p>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单元</w:t>
            </w:r>
          </w:p>
        </w:tc>
        <w:tc>
          <w:tcPr>
            <w:tcW w:w="1921" w:type="dxa"/>
            <w:vMerge w:val="restart"/>
            <w:vAlign w:val="center"/>
          </w:tcPr>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预测时段</w:t>
            </w:r>
          </w:p>
        </w:tc>
        <w:tc>
          <w:tcPr>
            <w:tcW w:w="1125" w:type="dxa"/>
            <w:vMerge w:val="restart"/>
            <w:vAlign w:val="center"/>
          </w:tcPr>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土壤侵蚀背景值[t/(km</w:t>
            </w:r>
            <w:r>
              <w:rPr>
                <w:rFonts w:hint="default" w:ascii="Times New Roman" w:hAnsi="Times New Roman" w:eastAsia="仿宋_GB2312" w:cs="Times New Roman"/>
                <w:color w:val="auto"/>
                <w:sz w:val="21"/>
                <w:szCs w:val="21"/>
                <w:highlight w:val="none"/>
                <w:vertAlign w:val="superscript"/>
              </w:rPr>
              <w:t>2</w:t>
            </w:r>
            <w:r>
              <w:rPr>
                <w:rFonts w:hint="default" w:ascii="Times New Roman" w:hAnsi="Times New Roman" w:eastAsia="仿宋_GB2312" w:cs="Times New Roman"/>
                <w:color w:val="auto"/>
                <w:sz w:val="21"/>
                <w:szCs w:val="21"/>
                <w:highlight w:val="none"/>
              </w:rPr>
              <w:t>·a)]</w:t>
            </w:r>
          </w:p>
        </w:tc>
        <w:tc>
          <w:tcPr>
            <w:tcW w:w="1125" w:type="dxa"/>
            <w:vMerge w:val="restart"/>
            <w:vAlign w:val="center"/>
          </w:tcPr>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扰动侵蚀模数[t/(km</w:t>
            </w:r>
            <w:r>
              <w:rPr>
                <w:rFonts w:hint="default" w:ascii="Times New Roman" w:hAnsi="Times New Roman" w:eastAsia="仿宋_GB2312" w:cs="Times New Roman"/>
                <w:color w:val="auto"/>
                <w:sz w:val="21"/>
                <w:szCs w:val="21"/>
                <w:highlight w:val="none"/>
                <w:vertAlign w:val="superscript"/>
              </w:rPr>
              <w:t>2</w:t>
            </w:r>
            <w:r>
              <w:rPr>
                <w:rFonts w:hint="default" w:ascii="Times New Roman" w:hAnsi="Times New Roman" w:eastAsia="仿宋_GB2312" w:cs="Times New Roman"/>
                <w:color w:val="auto"/>
                <w:sz w:val="21"/>
                <w:szCs w:val="21"/>
                <w:highlight w:val="none"/>
              </w:rPr>
              <w:t>·a)]</w:t>
            </w:r>
          </w:p>
        </w:tc>
        <w:tc>
          <w:tcPr>
            <w:tcW w:w="900" w:type="dxa"/>
            <w:vMerge w:val="restart"/>
            <w:vAlign w:val="center"/>
          </w:tcPr>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侵蚀</w:t>
            </w:r>
          </w:p>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面积</w:t>
            </w:r>
          </w:p>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（hm</w:t>
            </w:r>
            <w:r>
              <w:rPr>
                <w:rFonts w:hint="default" w:ascii="Times New Roman" w:hAnsi="Times New Roman" w:eastAsia="仿宋_GB2312" w:cs="Times New Roman"/>
                <w:color w:val="auto"/>
                <w:sz w:val="21"/>
                <w:szCs w:val="21"/>
                <w:highlight w:val="none"/>
                <w:vertAlign w:val="superscript"/>
              </w:rPr>
              <w:t>2</w:t>
            </w:r>
            <w:r>
              <w:rPr>
                <w:rFonts w:hint="default" w:ascii="Times New Roman" w:hAnsi="Times New Roman" w:eastAsia="仿宋_GB2312" w:cs="Times New Roman"/>
                <w:color w:val="auto"/>
                <w:sz w:val="21"/>
                <w:szCs w:val="21"/>
                <w:highlight w:val="none"/>
              </w:rPr>
              <w:t>）</w:t>
            </w:r>
          </w:p>
        </w:tc>
        <w:tc>
          <w:tcPr>
            <w:tcW w:w="673" w:type="dxa"/>
            <w:vMerge w:val="restart"/>
            <w:vAlign w:val="center"/>
          </w:tcPr>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侵蚀时间（a）</w:t>
            </w:r>
          </w:p>
        </w:tc>
        <w:tc>
          <w:tcPr>
            <w:tcW w:w="794" w:type="dxa"/>
            <w:vMerge w:val="restart"/>
            <w:vAlign w:val="center"/>
          </w:tcPr>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背景流失量(t)</w:t>
            </w:r>
          </w:p>
        </w:tc>
        <w:tc>
          <w:tcPr>
            <w:tcW w:w="796" w:type="dxa"/>
            <w:vMerge w:val="restart"/>
            <w:vAlign w:val="center"/>
          </w:tcPr>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预测流失量（t）</w:t>
            </w:r>
          </w:p>
        </w:tc>
        <w:tc>
          <w:tcPr>
            <w:tcW w:w="796" w:type="dxa"/>
            <w:vMerge w:val="restart"/>
            <w:vAlign w:val="center"/>
          </w:tcPr>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新增流失量（t）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3"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1921"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1125"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1125"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900"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673"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794"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796"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796"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3"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1921"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1125"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1125"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900"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673"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794"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796"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796"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3" w:type="dxa"/>
            <w:vMerge w:val="restart"/>
            <w:vAlign w:val="center"/>
          </w:tcPr>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工程</w:t>
            </w:r>
          </w:p>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建设</w:t>
            </w:r>
          </w:p>
          <w:p>
            <w:pPr>
              <w:widowControl/>
              <w:spacing w:line="240" w:lineRule="auto"/>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区</w:t>
            </w:r>
          </w:p>
        </w:tc>
        <w:tc>
          <w:tcPr>
            <w:tcW w:w="1921" w:type="dxa"/>
            <w:vAlign w:val="center"/>
          </w:tcPr>
          <w:p>
            <w:pPr>
              <w:pStyle w:val="71"/>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建筑物区域施工期</w:t>
            </w:r>
          </w:p>
        </w:tc>
        <w:tc>
          <w:tcPr>
            <w:tcW w:w="1125" w:type="dxa"/>
            <w:vAlign w:val="center"/>
          </w:tcPr>
          <w:p>
            <w:pPr>
              <w:widowControl/>
              <w:adjustRightInd/>
              <w:spacing w:line="240" w:lineRule="auto"/>
              <w:jc w:val="center"/>
              <w:textAlignment w:val="auto"/>
              <w:rPr>
                <w:rFonts w:hint="default" w:ascii="Times New Roman" w:hAnsi="Times New Roman" w:eastAsia="仿宋_GB2312" w:cs="Times New Roman"/>
                <w:color w:val="auto"/>
                <w:sz w:val="21"/>
                <w:szCs w:val="21"/>
                <w:highlight w:val="none"/>
              </w:rPr>
            </w:pPr>
            <w:r>
              <w:rPr>
                <w:rFonts w:hint="eastAsia" w:eastAsia="仿宋_GB2312" w:cs="Times New Roman"/>
                <w:color w:val="auto"/>
                <w:sz w:val="21"/>
                <w:szCs w:val="21"/>
                <w:highlight w:val="none"/>
                <w:lang w:val="en-US" w:eastAsia="zh-CN"/>
              </w:rPr>
              <w:t>4</w:t>
            </w:r>
            <w:r>
              <w:rPr>
                <w:rFonts w:hint="default" w:ascii="Times New Roman" w:hAnsi="Times New Roman" w:eastAsia="仿宋_GB2312" w:cs="Times New Roman"/>
                <w:color w:val="auto"/>
                <w:sz w:val="21"/>
                <w:szCs w:val="21"/>
                <w:highlight w:val="none"/>
              </w:rPr>
              <w:t>00</w:t>
            </w:r>
          </w:p>
        </w:tc>
        <w:tc>
          <w:tcPr>
            <w:tcW w:w="1125" w:type="dxa"/>
            <w:vAlign w:val="center"/>
          </w:tcPr>
          <w:p>
            <w:pPr>
              <w:widowControl/>
              <w:adjustRightInd/>
              <w:spacing w:line="240" w:lineRule="auto"/>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4200</w:t>
            </w:r>
          </w:p>
        </w:tc>
        <w:tc>
          <w:tcPr>
            <w:tcW w:w="900" w:type="dxa"/>
            <w:vAlign w:val="center"/>
          </w:tcPr>
          <w:p>
            <w:pPr>
              <w:widowControl/>
              <w:adjustRightInd/>
              <w:spacing w:line="240" w:lineRule="auto"/>
              <w:jc w:val="center"/>
              <w:textAlignment w:val="auto"/>
              <w:rPr>
                <w:rFonts w:hint="default" w:ascii="Times New Roman" w:hAnsi="Times New Roman" w:eastAsia="仿宋_GB2312" w:cs="Times New Roman"/>
                <w:color w:val="auto"/>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0.12</w:t>
            </w:r>
          </w:p>
        </w:tc>
        <w:tc>
          <w:tcPr>
            <w:tcW w:w="673" w:type="dxa"/>
            <w:vAlign w:val="center"/>
          </w:tcPr>
          <w:p>
            <w:pPr>
              <w:pStyle w:val="71"/>
              <w:jc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0.5</w:t>
            </w:r>
          </w:p>
        </w:tc>
        <w:tc>
          <w:tcPr>
            <w:tcW w:w="794"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796" w:type="dxa"/>
            <w:vAlign w:val="center"/>
          </w:tcPr>
          <w:p>
            <w:pPr>
              <w:keepNext w:val="0"/>
              <w:keepLines w:val="0"/>
              <w:widowControl/>
              <w:suppressLineNumbers w:val="0"/>
              <w:jc w:val="center"/>
              <w:textAlignment w:val="bottom"/>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2.52</w:t>
            </w:r>
          </w:p>
        </w:tc>
        <w:tc>
          <w:tcPr>
            <w:tcW w:w="796" w:type="dxa"/>
            <w:vAlign w:val="center"/>
          </w:tcPr>
          <w:p>
            <w:pPr>
              <w:keepNext w:val="0"/>
              <w:keepLines w:val="0"/>
              <w:widowControl/>
              <w:suppressLineNumbers w:val="0"/>
              <w:jc w:val="center"/>
              <w:textAlignment w:val="bottom"/>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3"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1921" w:type="dxa"/>
            <w:vAlign w:val="center"/>
          </w:tcPr>
          <w:p>
            <w:pPr>
              <w:pStyle w:val="71"/>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道路及硬化区域施工期</w:t>
            </w:r>
          </w:p>
        </w:tc>
        <w:tc>
          <w:tcPr>
            <w:tcW w:w="1125" w:type="dxa"/>
            <w:vAlign w:val="center"/>
          </w:tcPr>
          <w:p>
            <w:pPr>
              <w:widowControl/>
              <w:adjustRightInd/>
              <w:spacing w:line="240" w:lineRule="auto"/>
              <w:jc w:val="center"/>
              <w:textAlignment w:val="auto"/>
              <w:rPr>
                <w:rFonts w:hint="default" w:ascii="Times New Roman" w:hAnsi="Times New Roman" w:eastAsia="仿宋_GB2312" w:cs="Times New Roman"/>
                <w:color w:val="auto"/>
                <w:sz w:val="21"/>
                <w:szCs w:val="21"/>
                <w:highlight w:val="none"/>
              </w:rPr>
            </w:pPr>
            <w:r>
              <w:rPr>
                <w:rFonts w:hint="eastAsia" w:eastAsia="仿宋_GB2312" w:cs="Times New Roman"/>
                <w:color w:val="auto"/>
                <w:sz w:val="21"/>
                <w:szCs w:val="21"/>
                <w:highlight w:val="none"/>
                <w:lang w:val="en-US" w:eastAsia="zh-CN"/>
              </w:rPr>
              <w:t>4</w:t>
            </w:r>
            <w:r>
              <w:rPr>
                <w:rFonts w:hint="default" w:ascii="Times New Roman" w:hAnsi="Times New Roman" w:eastAsia="仿宋_GB2312" w:cs="Times New Roman"/>
                <w:color w:val="auto"/>
                <w:sz w:val="21"/>
                <w:szCs w:val="21"/>
                <w:highlight w:val="none"/>
              </w:rPr>
              <w:t>00</w:t>
            </w:r>
          </w:p>
        </w:tc>
        <w:tc>
          <w:tcPr>
            <w:tcW w:w="1125" w:type="dxa"/>
            <w:vAlign w:val="center"/>
          </w:tcPr>
          <w:p>
            <w:pPr>
              <w:widowControl/>
              <w:adjustRightInd/>
              <w:spacing w:line="240" w:lineRule="auto"/>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4000</w:t>
            </w:r>
          </w:p>
        </w:tc>
        <w:tc>
          <w:tcPr>
            <w:tcW w:w="900" w:type="dxa"/>
            <w:vAlign w:val="center"/>
          </w:tcPr>
          <w:p>
            <w:pPr>
              <w:widowControl/>
              <w:adjustRightInd/>
              <w:spacing w:line="240" w:lineRule="auto"/>
              <w:jc w:val="center"/>
              <w:textAlignment w:val="auto"/>
              <w:rPr>
                <w:rFonts w:hint="default" w:ascii="Times New Roman" w:hAnsi="Times New Roman" w:eastAsia="仿宋_GB2312" w:cs="Times New Roman"/>
                <w:color w:val="auto"/>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0.55</w:t>
            </w:r>
          </w:p>
        </w:tc>
        <w:tc>
          <w:tcPr>
            <w:tcW w:w="673" w:type="dxa"/>
            <w:vAlign w:val="center"/>
          </w:tcPr>
          <w:p>
            <w:pPr>
              <w:pStyle w:val="71"/>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1.0</w:t>
            </w:r>
          </w:p>
        </w:tc>
        <w:tc>
          <w:tcPr>
            <w:tcW w:w="794"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2.2</w:t>
            </w:r>
            <w:r>
              <w:rPr>
                <w:rFonts w:hint="eastAsia" w:ascii="Times New Roman" w:hAnsi="Times New Roman" w:eastAsia="宋体" w:cs="Times New Roman"/>
                <w:i w:val="0"/>
                <w:iCs w:val="0"/>
                <w:color w:val="auto"/>
                <w:kern w:val="0"/>
                <w:sz w:val="21"/>
                <w:szCs w:val="21"/>
                <w:u w:val="none"/>
                <w:lang w:val="en-US" w:eastAsia="zh-CN" w:bidi="ar"/>
              </w:rPr>
              <w:t>0</w:t>
            </w:r>
          </w:p>
        </w:tc>
        <w:tc>
          <w:tcPr>
            <w:tcW w:w="796" w:type="dxa"/>
            <w:vAlign w:val="center"/>
          </w:tcPr>
          <w:p>
            <w:pPr>
              <w:keepNext w:val="0"/>
              <w:keepLines w:val="0"/>
              <w:widowControl/>
              <w:suppressLineNumbers w:val="0"/>
              <w:jc w:val="center"/>
              <w:textAlignment w:val="bottom"/>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22</w:t>
            </w:r>
            <w:r>
              <w:rPr>
                <w:rFonts w:hint="eastAsia" w:ascii="Times New Roman" w:hAnsi="Times New Roman" w:eastAsia="宋体" w:cs="Times New Roman"/>
                <w:i w:val="0"/>
                <w:iCs w:val="0"/>
                <w:color w:val="auto"/>
                <w:kern w:val="0"/>
                <w:sz w:val="21"/>
                <w:szCs w:val="21"/>
                <w:u w:val="none"/>
                <w:lang w:val="en-US" w:eastAsia="zh-CN" w:bidi="ar"/>
              </w:rPr>
              <w:t>.00</w:t>
            </w:r>
          </w:p>
        </w:tc>
        <w:tc>
          <w:tcPr>
            <w:tcW w:w="796" w:type="dxa"/>
            <w:vAlign w:val="center"/>
          </w:tcPr>
          <w:p>
            <w:pPr>
              <w:keepNext w:val="0"/>
              <w:keepLines w:val="0"/>
              <w:widowControl/>
              <w:suppressLineNumbers w:val="0"/>
              <w:jc w:val="center"/>
              <w:textAlignment w:val="bottom"/>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19.8</w:t>
            </w:r>
            <w:r>
              <w:rPr>
                <w:rFonts w:hint="eastAsia"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393" w:type="dxa"/>
            <w:vMerge w:val="continue"/>
            <w:vAlign w:val="center"/>
          </w:tcPr>
          <w:p>
            <w:pPr>
              <w:widowControl/>
              <w:spacing w:line="240" w:lineRule="auto"/>
              <w:jc w:val="center"/>
              <w:rPr>
                <w:rFonts w:hint="default" w:ascii="Times New Roman" w:hAnsi="Times New Roman" w:eastAsia="仿宋_GB2312" w:cs="Times New Roman"/>
                <w:color w:val="auto"/>
                <w:sz w:val="21"/>
                <w:szCs w:val="21"/>
                <w:highlight w:val="none"/>
              </w:rPr>
            </w:pPr>
          </w:p>
        </w:tc>
        <w:tc>
          <w:tcPr>
            <w:tcW w:w="1921" w:type="dxa"/>
            <w:vAlign w:val="center"/>
          </w:tcPr>
          <w:p>
            <w:pPr>
              <w:pStyle w:val="71"/>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小计</w:t>
            </w:r>
          </w:p>
        </w:tc>
        <w:tc>
          <w:tcPr>
            <w:tcW w:w="1125" w:type="dxa"/>
            <w:vAlign w:val="center"/>
          </w:tcPr>
          <w:p>
            <w:pPr>
              <w:widowControl/>
              <w:adjustRightInd/>
              <w:spacing w:line="240" w:lineRule="auto"/>
              <w:jc w:val="center"/>
              <w:textAlignment w:val="auto"/>
              <w:rPr>
                <w:rFonts w:hint="default" w:ascii="Times New Roman" w:hAnsi="Times New Roman" w:eastAsia="仿宋_GB2312" w:cs="Times New Roman"/>
                <w:color w:val="auto"/>
                <w:sz w:val="21"/>
                <w:szCs w:val="21"/>
                <w:highlight w:val="none"/>
              </w:rPr>
            </w:pPr>
          </w:p>
        </w:tc>
        <w:tc>
          <w:tcPr>
            <w:tcW w:w="1125" w:type="dxa"/>
            <w:vAlign w:val="center"/>
          </w:tcPr>
          <w:p>
            <w:pPr>
              <w:widowControl/>
              <w:adjustRightInd/>
              <w:spacing w:line="240" w:lineRule="auto"/>
              <w:jc w:val="center"/>
              <w:textAlignment w:val="auto"/>
              <w:rPr>
                <w:rFonts w:hint="default" w:ascii="Times New Roman" w:hAnsi="Times New Roman" w:eastAsia="仿宋_GB2312" w:cs="Times New Roman"/>
                <w:color w:val="auto"/>
                <w:sz w:val="21"/>
                <w:szCs w:val="21"/>
                <w:highlight w:val="none"/>
              </w:rPr>
            </w:pPr>
          </w:p>
        </w:tc>
        <w:tc>
          <w:tcPr>
            <w:tcW w:w="900" w:type="dxa"/>
            <w:vAlign w:val="center"/>
          </w:tcPr>
          <w:p>
            <w:pPr>
              <w:widowControl/>
              <w:adjustRightInd/>
              <w:spacing w:line="240" w:lineRule="auto"/>
              <w:jc w:val="center"/>
              <w:textAlignment w:val="auto"/>
              <w:rPr>
                <w:rFonts w:hint="default" w:ascii="Times New Roman" w:hAnsi="Times New Roman" w:eastAsia="仿宋_GB2312" w:cs="Times New Roman"/>
                <w:color w:val="auto"/>
                <w:sz w:val="21"/>
                <w:szCs w:val="21"/>
                <w:highlight w:val="none"/>
              </w:rPr>
            </w:pPr>
          </w:p>
        </w:tc>
        <w:tc>
          <w:tcPr>
            <w:tcW w:w="673" w:type="dxa"/>
            <w:vAlign w:val="center"/>
          </w:tcPr>
          <w:p>
            <w:pPr>
              <w:pStyle w:val="71"/>
              <w:jc w:val="center"/>
              <w:rPr>
                <w:rFonts w:hint="default" w:ascii="Times New Roman" w:hAnsi="Times New Roman" w:eastAsia="仿宋_GB2312" w:cs="Times New Roman"/>
                <w:color w:val="auto"/>
                <w:sz w:val="21"/>
                <w:szCs w:val="21"/>
                <w:highlight w:val="none"/>
              </w:rPr>
            </w:pPr>
          </w:p>
        </w:tc>
        <w:tc>
          <w:tcPr>
            <w:tcW w:w="794"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2.44</w:t>
            </w:r>
          </w:p>
        </w:tc>
        <w:tc>
          <w:tcPr>
            <w:tcW w:w="796"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24.52</w:t>
            </w:r>
          </w:p>
        </w:tc>
        <w:tc>
          <w:tcPr>
            <w:tcW w:w="796" w:type="dxa"/>
            <w:vAlign w:val="center"/>
          </w:tcPr>
          <w:p>
            <w:pPr>
              <w:keepNext w:val="0"/>
              <w:keepLines w:val="0"/>
              <w:widowControl/>
              <w:suppressLineNumbers w:val="0"/>
              <w:jc w:val="center"/>
              <w:textAlignment w:val="bottom"/>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22.08</w:t>
            </w:r>
          </w:p>
        </w:tc>
      </w:tr>
    </w:tbl>
    <w:p>
      <w:pPr>
        <w:spacing w:line="360" w:lineRule="auto"/>
        <w:ind w:firstLine="480" w:firstLineChars="200"/>
        <w:rPr>
          <w:rFonts w:eastAsia="仿宋_GB2312"/>
          <w:color w:val="auto"/>
          <w:szCs w:val="24"/>
        </w:rPr>
      </w:pPr>
    </w:p>
    <w:p>
      <w:pPr>
        <w:spacing w:line="360" w:lineRule="auto"/>
        <w:ind w:firstLine="480" w:firstLineChars="200"/>
        <w:rPr>
          <w:rFonts w:eastAsia="仿宋_GB2312"/>
          <w:color w:val="auto"/>
          <w:szCs w:val="24"/>
        </w:rPr>
      </w:pPr>
      <w:r>
        <w:rPr>
          <w:color w:val="auto"/>
        </w:rPr>
        <w:drawing>
          <wp:inline distT="0" distB="0" distL="114300" distR="114300">
            <wp:extent cx="4572000" cy="2743200"/>
            <wp:effectExtent l="4445" t="4445" r="1460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spacing w:line="360" w:lineRule="auto"/>
        <w:ind w:firstLine="480" w:firstLineChars="200"/>
        <w:rPr>
          <w:rFonts w:eastAsia="仿宋_GB2312"/>
          <w:color w:val="auto"/>
        </w:rPr>
      </w:pPr>
      <w:r>
        <w:rPr>
          <w:rFonts w:eastAsia="仿宋_GB2312"/>
          <w:color w:val="auto"/>
          <w:szCs w:val="24"/>
        </w:rPr>
        <w:t>经计算</w:t>
      </w:r>
      <w:r>
        <w:rPr>
          <w:rFonts w:hint="eastAsia" w:eastAsia="仿宋_GB2312"/>
          <w:color w:val="auto"/>
          <w:szCs w:val="24"/>
        </w:rPr>
        <w:t>预测</w:t>
      </w:r>
      <w:r>
        <w:rPr>
          <w:rFonts w:eastAsia="仿宋_GB2312"/>
          <w:color w:val="auto"/>
          <w:szCs w:val="24"/>
        </w:rPr>
        <w:t>，本项目建设过程中可能产生土壤流失量</w:t>
      </w:r>
      <w:r>
        <w:rPr>
          <w:rFonts w:hint="eastAsia" w:eastAsia="仿宋_GB2312"/>
          <w:color w:val="auto"/>
          <w:szCs w:val="24"/>
          <w:lang w:val="en-US" w:eastAsia="zh-CN"/>
        </w:rPr>
        <w:t>24.52</w:t>
      </w:r>
      <w:r>
        <w:rPr>
          <w:rFonts w:eastAsia="仿宋_GB2312"/>
          <w:color w:val="auto"/>
          <w:szCs w:val="24"/>
        </w:rPr>
        <w:t>t，新增水土流失</w:t>
      </w:r>
      <w:r>
        <w:rPr>
          <w:rFonts w:hint="eastAsia" w:eastAsia="仿宋_GB2312"/>
          <w:color w:val="auto"/>
          <w:szCs w:val="24"/>
          <w:lang w:val="en-US" w:eastAsia="zh-CN"/>
        </w:rPr>
        <w:t>22.08</w:t>
      </w:r>
      <w:r>
        <w:rPr>
          <w:rFonts w:eastAsia="仿宋_GB2312"/>
          <w:color w:val="auto"/>
          <w:szCs w:val="24"/>
        </w:rPr>
        <w:t>t</w:t>
      </w:r>
      <w:r>
        <w:rPr>
          <w:rFonts w:hint="eastAsia" w:eastAsia="仿宋_GB2312"/>
          <w:color w:val="auto"/>
          <w:szCs w:val="24"/>
          <w:lang w:eastAsia="zh-CN"/>
        </w:rPr>
        <w:t>，</w:t>
      </w:r>
      <w:r>
        <w:rPr>
          <w:rFonts w:hint="eastAsia" w:eastAsia="仿宋_GB2312"/>
          <w:color w:val="auto"/>
          <w:szCs w:val="24"/>
          <w:lang w:val="en-US" w:eastAsia="zh-CN"/>
        </w:rPr>
        <w:t>其中建构筑物施工期新增水土流失量2.28t，道路及硬化区域施工期新增水土流失量为19.80t，因此，将道路及硬化区域作为水土保持重点监测区域</w:t>
      </w:r>
      <w:r>
        <w:rPr>
          <w:rFonts w:eastAsia="仿宋_GB2312"/>
          <w:color w:val="auto"/>
          <w:szCs w:val="24"/>
        </w:rPr>
        <w:t>。</w:t>
      </w:r>
    </w:p>
    <w:p>
      <w:pPr>
        <w:pStyle w:val="5"/>
        <w:spacing w:before="0" w:after="0" w:line="360" w:lineRule="auto"/>
        <w:rPr>
          <w:rFonts w:ascii="Times New Roman" w:hAnsi="Times New Roman" w:eastAsia="仿宋_GB2312"/>
          <w:color w:val="auto"/>
          <w:sz w:val="24"/>
          <w:szCs w:val="24"/>
        </w:rPr>
      </w:pPr>
      <w:bookmarkStart w:id="44" w:name="_Toc21723"/>
      <w:r>
        <w:rPr>
          <w:rFonts w:ascii="Times New Roman" w:hAnsi="Times New Roman" w:eastAsia="仿宋_GB2312"/>
          <w:color w:val="auto"/>
          <w:sz w:val="28"/>
          <w:szCs w:val="28"/>
        </w:rPr>
        <w:t>4.4水土流失危害分析</w:t>
      </w:r>
      <w:bookmarkEnd w:id="44"/>
    </w:p>
    <w:p>
      <w:pPr>
        <w:spacing w:line="360" w:lineRule="auto"/>
        <w:ind w:firstLine="480" w:firstLineChars="200"/>
        <w:jc w:val="both"/>
        <w:rPr>
          <w:rFonts w:eastAsia="仿宋_GB2312"/>
          <w:color w:val="auto"/>
        </w:rPr>
      </w:pPr>
      <w:r>
        <w:rPr>
          <w:rFonts w:eastAsia="仿宋_GB2312"/>
          <w:color w:val="auto"/>
        </w:rPr>
        <w:t>工程建设造成的水土流失主要表现在场地平整、基础开挖等人为活动改变了原地貌，破坏了表层土壤结构，加剧了项目区水土流失。根据项目区地形地貌、气象条件和施工建设特点，工程建设不会引发泥石流、滑坡等地质灾害。但必然加剧项目区水土流失，如不采取必要的水土流失防治措施，可能造成以下几方面的危害：</w:t>
      </w:r>
    </w:p>
    <w:p>
      <w:pPr>
        <w:spacing w:line="360" w:lineRule="auto"/>
        <w:ind w:firstLine="480" w:firstLineChars="200"/>
        <w:jc w:val="both"/>
        <w:rPr>
          <w:rFonts w:eastAsia="仿宋_GB2312"/>
          <w:color w:val="auto"/>
        </w:rPr>
      </w:pPr>
      <w:r>
        <w:rPr>
          <w:rFonts w:hint="eastAsia" w:eastAsia="仿宋_GB2312"/>
          <w:color w:val="auto"/>
        </w:rPr>
        <w:t>（1）</w:t>
      </w:r>
      <w:r>
        <w:rPr>
          <w:rFonts w:eastAsia="仿宋_GB2312"/>
          <w:color w:val="auto"/>
        </w:rPr>
        <w:t>现状水土流失危害</w:t>
      </w:r>
    </w:p>
    <w:p>
      <w:pPr>
        <w:spacing w:line="360" w:lineRule="auto"/>
        <w:ind w:firstLine="480" w:firstLineChars="200"/>
        <w:jc w:val="both"/>
        <w:rPr>
          <w:rFonts w:eastAsia="仿宋_GB2312"/>
          <w:color w:val="auto"/>
        </w:rPr>
      </w:pPr>
      <w:r>
        <w:rPr>
          <w:rFonts w:hint="default" w:ascii="Times New Roman" w:hAnsi="Times New Roman" w:eastAsia="仿宋_GB2312" w:cs="Times New Roman"/>
          <w:color w:val="auto"/>
          <w:sz w:val="24"/>
          <w:szCs w:val="24"/>
        </w:rPr>
        <w:t>本项目已于202</w:t>
      </w:r>
      <w:r>
        <w:rPr>
          <w:rFonts w:hint="eastAsia"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年</w:t>
      </w:r>
      <w:r>
        <w:rPr>
          <w:rFonts w:hint="eastAsia"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月开工建设，根据现场调查及咨询建设单位，项目施工时对</w:t>
      </w:r>
      <w:r>
        <w:rPr>
          <w:rFonts w:hint="default" w:ascii="Times New Roman" w:hAnsi="Times New Roman" w:eastAsia="仿宋_GB2312" w:cs="Times New Roman"/>
          <w:color w:val="auto"/>
          <w:sz w:val="24"/>
          <w:szCs w:val="24"/>
          <w:lang w:val="en-US" w:eastAsia="zh-CN"/>
        </w:rPr>
        <w:t>临时堆土</w:t>
      </w:r>
      <w:r>
        <w:rPr>
          <w:rFonts w:hint="default" w:ascii="Times New Roman" w:hAnsi="Times New Roman" w:eastAsia="仿宋_GB2312" w:cs="Times New Roman"/>
          <w:color w:val="auto"/>
          <w:sz w:val="24"/>
          <w:szCs w:val="24"/>
        </w:rPr>
        <w:t>进行了苫盖，土方随挖随填，产生的水土流失危害较小，区域水土流失不明显，未对周边环境产生明显影响。</w:t>
      </w:r>
    </w:p>
    <w:p>
      <w:pPr>
        <w:spacing w:line="360" w:lineRule="auto"/>
        <w:ind w:firstLine="480" w:firstLineChars="200"/>
        <w:jc w:val="both"/>
        <w:rPr>
          <w:rFonts w:eastAsia="仿宋_GB2312"/>
          <w:color w:val="auto"/>
        </w:rPr>
      </w:pPr>
      <w:r>
        <w:rPr>
          <w:rFonts w:eastAsia="仿宋_GB2312"/>
          <w:color w:val="auto"/>
        </w:rPr>
        <w:t>（</w:t>
      </w:r>
      <w:r>
        <w:rPr>
          <w:rFonts w:hint="eastAsia" w:eastAsia="仿宋_GB2312"/>
          <w:color w:val="auto"/>
        </w:rPr>
        <w:t>2</w:t>
      </w:r>
      <w:r>
        <w:rPr>
          <w:rFonts w:eastAsia="仿宋_GB2312"/>
          <w:color w:val="auto"/>
        </w:rPr>
        <w:t>）对当地的水土流失危害</w:t>
      </w:r>
    </w:p>
    <w:p>
      <w:pPr>
        <w:spacing w:line="360" w:lineRule="auto"/>
        <w:ind w:firstLine="480" w:firstLineChars="200"/>
        <w:jc w:val="both"/>
        <w:rPr>
          <w:rFonts w:eastAsia="仿宋_GB2312"/>
          <w:color w:val="auto"/>
        </w:rPr>
      </w:pPr>
      <w:r>
        <w:rPr>
          <w:rFonts w:eastAsia="仿宋_GB2312"/>
          <w:color w:val="auto"/>
        </w:rPr>
        <w:t>本工程建设扰动地表面积共计</w:t>
      </w:r>
      <w:r>
        <w:rPr>
          <w:rFonts w:hint="eastAsia" w:eastAsia="仿宋_GB2312"/>
          <w:color w:val="auto"/>
          <w:lang w:val="en-US" w:eastAsia="zh-CN"/>
        </w:rPr>
        <w:t>0.67</w:t>
      </w:r>
      <w:r>
        <w:rPr>
          <w:rFonts w:eastAsia="仿宋_GB2312"/>
          <w:color w:val="auto"/>
        </w:rPr>
        <w:t>hm</w:t>
      </w:r>
      <w:r>
        <w:rPr>
          <w:rFonts w:eastAsia="仿宋_GB2312"/>
          <w:color w:val="auto"/>
          <w:vertAlign w:val="superscript"/>
        </w:rPr>
        <w:t>2</w:t>
      </w:r>
      <w:r>
        <w:rPr>
          <w:rFonts w:eastAsia="仿宋_GB2312"/>
          <w:color w:val="auto"/>
        </w:rPr>
        <w:t>，建设初期地表结构破坏，造成地表裸露土质疏松，必然加剧项目区水土流失，造成局部的生态环境恶化。</w:t>
      </w:r>
    </w:p>
    <w:p>
      <w:pPr>
        <w:spacing w:line="360" w:lineRule="auto"/>
        <w:ind w:firstLine="480" w:firstLineChars="200"/>
        <w:jc w:val="both"/>
        <w:rPr>
          <w:rFonts w:eastAsia="仿宋_GB2312"/>
          <w:color w:val="auto"/>
        </w:rPr>
      </w:pPr>
      <w:r>
        <w:rPr>
          <w:rFonts w:eastAsia="仿宋_GB2312"/>
          <w:color w:val="auto"/>
        </w:rPr>
        <w:t>（</w:t>
      </w:r>
      <w:r>
        <w:rPr>
          <w:rFonts w:hint="eastAsia" w:eastAsia="仿宋_GB2312"/>
          <w:color w:val="auto"/>
        </w:rPr>
        <w:t>3</w:t>
      </w:r>
      <w:r>
        <w:rPr>
          <w:rFonts w:eastAsia="仿宋_GB2312"/>
          <w:color w:val="auto"/>
        </w:rPr>
        <w:t>）对周边的水土流失危害</w:t>
      </w:r>
    </w:p>
    <w:p>
      <w:pPr>
        <w:spacing w:line="360" w:lineRule="auto"/>
        <w:ind w:firstLine="480" w:firstLineChars="200"/>
        <w:jc w:val="both"/>
        <w:rPr>
          <w:rFonts w:eastAsia="仿宋_GB2312"/>
          <w:color w:val="auto"/>
        </w:rPr>
      </w:pPr>
      <w:r>
        <w:rPr>
          <w:rFonts w:eastAsia="仿宋_GB2312"/>
          <w:color w:val="auto"/>
        </w:rPr>
        <w:t>本工程建设期间，地表裸露，如不采取水土保持措施，遇大风天气极易形成扬尘，影响当地空气质量；施工期间临时堆土易产生水土流失。</w:t>
      </w:r>
    </w:p>
    <w:p>
      <w:pPr>
        <w:spacing w:line="360" w:lineRule="auto"/>
        <w:ind w:firstLine="480" w:firstLineChars="200"/>
        <w:jc w:val="both"/>
        <w:rPr>
          <w:rFonts w:eastAsia="仿宋_GB2312"/>
          <w:color w:val="auto"/>
        </w:rPr>
      </w:pPr>
      <w:r>
        <w:rPr>
          <w:rFonts w:eastAsia="仿宋_GB2312"/>
          <w:color w:val="auto"/>
        </w:rPr>
        <w:t>（</w:t>
      </w:r>
      <w:r>
        <w:rPr>
          <w:rFonts w:hint="eastAsia" w:eastAsia="仿宋_GB2312"/>
          <w:color w:val="auto"/>
        </w:rPr>
        <w:t>4</w:t>
      </w:r>
      <w:r>
        <w:rPr>
          <w:rFonts w:eastAsia="仿宋_GB2312"/>
          <w:color w:val="auto"/>
        </w:rPr>
        <w:t>）对工程本身的水土流失危害</w:t>
      </w:r>
    </w:p>
    <w:p>
      <w:pPr>
        <w:pStyle w:val="31"/>
        <w:spacing w:line="360" w:lineRule="auto"/>
        <w:ind w:firstLine="480"/>
        <w:rPr>
          <w:rFonts w:ascii="Times New Roman" w:hAnsi="Times New Roman" w:cs="Times New Roman"/>
          <w:color w:val="auto"/>
        </w:rPr>
      </w:pPr>
      <w:r>
        <w:rPr>
          <w:rFonts w:ascii="Times New Roman" w:hAnsi="Times New Roman" w:eastAsia="仿宋_GB2312" w:cs="Times New Roman"/>
          <w:color w:val="auto"/>
          <w:sz w:val="24"/>
          <w:szCs w:val="24"/>
        </w:rPr>
        <w:t>基础开挖、机械碾压后的地表降雨入渗能力降低，坡面极易形成径流，对建筑物基础开挖形成的边坡稳定造成影响，易产生安全事故。</w:t>
      </w:r>
    </w:p>
    <w:p>
      <w:pPr>
        <w:pStyle w:val="5"/>
        <w:spacing w:before="0" w:after="0" w:line="360" w:lineRule="auto"/>
        <w:rPr>
          <w:rFonts w:ascii="Times New Roman" w:hAnsi="Times New Roman" w:eastAsia="仿宋_GB2312"/>
          <w:b w:val="0"/>
          <w:color w:val="auto"/>
          <w:szCs w:val="24"/>
        </w:rPr>
      </w:pPr>
      <w:bookmarkStart w:id="45" w:name="_Toc13987"/>
      <w:r>
        <w:rPr>
          <w:rFonts w:ascii="Times New Roman" w:hAnsi="Times New Roman" w:eastAsia="仿宋_GB2312"/>
          <w:color w:val="auto"/>
          <w:sz w:val="28"/>
          <w:szCs w:val="28"/>
        </w:rPr>
        <w:t>4.5指导性意见</w:t>
      </w:r>
      <w:bookmarkEnd w:id="45"/>
    </w:p>
    <w:p>
      <w:pPr>
        <w:pStyle w:val="48"/>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根据《中华人民共和国水土保持法》规定，为控制项目建设期新增水土流失， 保护生态环境，同时保障工程施工、运行安全，对本工程进行水土保持治理是十分必要的。本方案将通过对主体工程已采取水土保持措施</w:t>
      </w:r>
      <w:r>
        <w:rPr>
          <w:rFonts w:hint="default" w:ascii="Times New Roman" w:hAnsi="Times New Roman" w:eastAsia="仿宋_GB2312" w:cs="Times New Roman"/>
          <w:color w:val="auto"/>
          <w:sz w:val="24"/>
          <w:szCs w:val="24"/>
          <w:lang w:val="en-US" w:eastAsia="zh-CN"/>
        </w:rPr>
        <w:t>的</w:t>
      </w:r>
      <w:r>
        <w:rPr>
          <w:rFonts w:hint="default" w:ascii="Times New Roman" w:hAnsi="Times New Roman" w:eastAsia="仿宋_GB2312" w:cs="Times New Roman"/>
          <w:color w:val="auto"/>
          <w:sz w:val="24"/>
          <w:szCs w:val="24"/>
        </w:rPr>
        <w:t>分析评价，将具有水 土保持功能的各项措施纳入水土保持总体布局中，按水土保持要求对主体工程施 工提出补充和完善措施，充分发挥保障工程安全、减小水土流失的目的。</w:t>
      </w:r>
    </w:p>
    <w:p>
      <w:pPr>
        <w:pStyle w:val="48"/>
        <w:numPr>
          <w:ilvl w:val="0"/>
          <w:numId w:val="5"/>
        </w:numPr>
        <w:spacing w:line="360" w:lineRule="auto"/>
        <w:ind w:left="0" w:leftChars="0"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施工时序指导意见 </w:t>
      </w:r>
    </w:p>
    <w:p>
      <w:pPr>
        <w:pStyle w:val="48"/>
        <w:numPr>
          <w:ilvl w:val="0"/>
          <w:numId w:val="0"/>
        </w:num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工程已</w:t>
      </w:r>
      <w:r>
        <w:rPr>
          <w:rFonts w:hint="eastAsia" w:ascii="Times New Roman" w:hAnsi="Times New Roman" w:eastAsia="仿宋_GB2312" w:cs="Times New Roman"/>
          <w:color w:val="auto"/>
          <w:sz w:val="24"/>
          <w:szCs w:val="24"/>
          <w:lang w:val="en-US" w:eastAsia="zh-CN"/>
        </w:rPr>
        <w:t>开工</w:t>
      </w:r>
      <w:r>
        <w:rPr>
          <w:rFonts w:hint="default" w:ascii="Times New Roman" w:hAnsi="Times New Roman" w:eastAsia="仿宋_GB2312" w:cs="Times New Roman"/>
          <w:color w:val="auto"/>
          <w:sz w:val="24"/>
          <w:szCs w:val="24"/>
        </w:rPr>
        <w:t>建成</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 xml:space="preserve">工程运行过程中存在裸露的地表仍存在一定量的水土流失，因此，对本方案建议建设单位做好裸露区域的防护措施，以最大限度减少水土流失和环境污染。 </w:t>
      </w:r>
    </w:p>
    <w:p>
      <w:pPr>
        <w:pStyle w:val="48"/>
        <w:numPr>
          <w:ilvl w:val="0"/>
          <w:numId w:val="5"/>
        </w:numPr>
        <w:spacing w:line="360" w:lineRule="auto"/>
        <w:ind w:left="0" w:leftChars="0"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水土保持监测指导意见 </w:t>
      </w:r>
    </w:p>
    <w:p>
      <w:pPr>
        <w:spacing w:line="360" w:lineRule="auto"/>
        <w:ind w:firstLine="480" w:firstLineChars="200"/>
        <w:jc w:val="both"/>
        <w:rPr>
          <w:rFonts w:ascii="Times New Roman" w:hAnsi="Times New Roman" w:eastAsia="仿宋_GB2312" w:cs="Times New Roman"/>
          <w:color w:val="auto"/>
          <w:sz w:val="24"/>
          <w:szCs w:val="24"/>
        </w:rPr>
      </w:pPr>
      <w:r>
        <w:rPr>
          <w:rFonts w:hint="default" w:ascii="Times New Roman" w:hAnsi="Times New Roman" w:eastAsia="仿宋_GB2312" w:cs="Times New Roman"/>
          <w:color w:val="auto"/>
          <w:szCs w:val="24"/>
        </w:rPr>
        <w:t>根据水土流失量预测结果，</w:t>
      </w:r>
      <w:r>
        <w:rPr>
          <w:rFonts w:hint="eastAsia" w:ascii="Times New Roman" w:hAnsi="Times New Roman" w:eastAsia="仿宋_GB2312" w:cs="Times New Roman"/>
          <w:color w:val="auto"/>
          <w:szCs w:val="24"/>
          <w:lang w:val="en-US" w:eastAsia="zh-CN"/>
        </w:rPr>
        <w:t>道路及</w:t>
      </w:r>
      <w:r>
        <w:rPr>
          <w:rFonts w:hint="default" w:ascii="Times New Roman" w:hAnsi="Times New Roman" w:eastAsia="仿宋_GB2312" w:cs="Times New Roman"/>
          <w:color w:val="auto"/>
          <w:szCs w:val="24"/>
        </w:rPr>
        <w:t>硬化区水土流失量远大于其他区域，因此，本方案将</w:t>
      </w:r>
      <w:r>
        <w:rPr>
          <w:rFonts w:hint="eastAsia" w:ascii="Times New Roman" w:hAnsi="Times New Roman" w:eastAsia="仿宋_GB2312" w:cs="Times New Roman"/>
          <w:color w:val="auto"/>
          <w:szCs w:val="24"/>
          <w:lang w:val="en-US" w:eastAsia="zh-CN"/>
        </w:rPr>
        <w:t>道路及</w:t>
      </w:r>
      <w:r>
        <w:rPr>
          <w:rFonts w:hint="default" w:ascii="Times New Roman" w:hAnsi="Times New Roman" w:eastAsia="仿宋_GB2312" w:cs="Times New Roman"/>
          <w:color w:val="auto"/>
          <w:szCs w:val="24"/>
        </w:rPr>
        <w:t>硬化区域作为水土保持重点监测区域，同时加大对工程汛期的监测频次。</w:t>
      </w:r>
    </w:p>
    <w:p>
      <w:pPr>
        <w:pStyle w:val="48"/>
        <w:ind w:firstLine="0" w:firstLineChars="0"/>
        <w:rPr>
          <w:rFonts w:ascii="Times New Roman" w:hAnsi="Times New Roman" w:eastAsia="仿宋_GB2312" w:cs="Times New Roman"/>
          <w:color w:val="auto"/>
          <w:sz w:val="24"/>
          <w:szCs w:val="24"/>
        </w:rPr>
        <w:sectPr>
          <w:headerReference r:id="rId15" w:type="default"/>
          <w:footerReference r:id="rId16" w:type="default"/>
          <w:pgSz w:w="11906" w:h="16838"/>
          <w:pgMar w:top="1440" w:right="1797" w:bottom="1440" w:left="1797" w:header="851" w:footer="992" w:gutter="0"/>
          <w:pgNumType w:fmt="decimal"/>
          <w:cols w:space="720" w:num="1"/>
          <w:docGrid w:linePitch="312" w:charSpace="0"/>
        </w:sectPr>
      </w:pPr>
    </w:p>
    <w:p>
      <w:pPr>
        <w:pStyle w:val="4"/>
        <w:spacing w:before="0" w:after="0" w:line="360" w:lineRule="auto"/>
        <w:rPr>
          <w:rFonts w:eastAsia="仿宋_GB2312"/>
          <w:color w:val="auto"/>
          <w:sz w:val="28"/>
          <w:szCs w:val="28"/>
        </w:rPr>
      </w:pPr>
      <w:bookmarkStart w:id="46" w:name="_Toc11016"/>
      <w:r>
        <w:rPr>
          <w:rFonts w:eastAsia="仿宋_GB2312"/>
          <w:color w:val="auto"/>
          <w:sz w:val="28"/>
          <w:szCs w:val="28"/>
        </w:rPr>
        <w:t>5.水土保持措施</w:t>
      </w:r>
      <w:bookmarkEnd w:id="46"/>
    </w:p>
    <w:p>
      <w:pPr>
        <w:pStyle w:val="5"/>
        <w:spacing w:before="0" w:after="0" w:line="360" w:lineRule="auto"/>
        <w:rPr>
          <w:rFonts w:ascii="Times New Roman" w:hAnsi="Times New Roman" w:eastAsia="仿宋_GB2312"/>
          <w:color w:val="auto"/>
          <w:sz w:val="28"/>
          <w:szCs w:val="28"/>
        </w:rPr>
      </w:pPr>
      <w:bookmarkStart w:id="47" w:name="_Toc11471"/>
      <w:r>
        <w:rPr>
          <w:rFonts w:ascii="Times New Roman" w:hAnsi="Times New Roman" w:eastAsia="仿宋_GB2312"/>
          <w:color w:val="auto"/>
          <w:sz w:val="28"/>
          <w:szCs w:val="28"/>
        </w:rPr>
        <w:t>5.1防治区划分</w:t>
      </w:r>
      <w:bookmarkEnd w:id="47"/>
    </w:p>
    <w:p>
      <w:pPr>
        <w:spacing w:line="360" w:lineRule="auto"/>
        <w:ind w:firstLine="480" w:firstLineChars="200"/>
        <w:rPr>
          <w:rFonts w:eastAsia="仿宋_GB2312"/>
          <w:color w:val="auto"/>
        </w:rPr>
      </w:pPr>
      <w:r>
        <w:rPr>
          <w:rFonts w:eastAsia="仿宋_GB2312"/>
          <w:color w:val="auto"/>
        </w:rPr>
        <w:t>根据水土流失防治责任范围内地貌类型、主体工程布局及水土流失特点等，按照分区之间有显著差异性，各分区具有代表性和区内造成水土流失的主导因子一致或相似进行分区，将本工程分为工程建设区1个防治分区。</w:t>
      </w:r>
    </w:p>
    <w:p>
      <w:pPr>
        <w:jc w:val="center"/>
        <w:rPr>
          <w:rFonts w:eastAsia="仿宋_GB2312"/>
          <w:b/>
          <w:color w:val="auto"/>
          <w:szCs w:val="24"/>
        </w:rPr>
      </w:pPr>
      <w:r>
        <w:rPr>
          <w:rFonts w:eastAsia="仿宋_GB2312"/>
          <w:b/>
          <w:color w:val="auto"/>
          <w:szCs w:val="24"/>
        </w:rPr>
        <w:t xml:space="preserve">表5-1                </w:t>
      </w:r>
      <w:r>
        <w:rPr>
          <w:rFonts w:eastAsia="仿宋_GB2312"/>
          <w:b/>
          <w:bCs/>
          <w:color w:val="auto"/>
          <w:szCs w:val="24"/>
        </w:rPr>
        <w:t>防治分区表</w:t>
      </w:r>
    </w:p>
    <w:tbl>
      <w:tblPr>
        <w:tblStyle w:val="24"/>
        <w:tblW w:w="8794"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133"/>
        <w:gridCol w:w="628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06" w:type="dxa"/>
            <w:gridSpan w:val="2"/>
            <w:tcBorders>
              <w:tl2br w:val="nil"/>
              <w:tr2bl w:val="nil"/>
            </w:tcBorders>
            <w:vAlign w:val="center"/>
          </w:tcPr>
          <w:p>
            <w:pPr>
              <w:pStyle w:val="71"/>
              <w:rPr>
                <w:rFonts w:ascii="Times New Roman" w:hAnsi="Times New Roman" w:eastAsia="仿宋_GB2312"/>
                <w:color w:val="auto"/>
              </w:rPr>
            </w:pPr>
            <w:r>
              <w:rPr>
                <w:rFonts w:ascii="Times New Roman" w:hAnsi="Times New Roman" w:eastAsia="仿宋_GB2312"/>
                <w:color w:val="auto"/>
              </w:rPr>
              <w:t>分区</w:t>
            </w:r>
          </w:p>
        </w:tc>
        <w:tc>
          <w:tcPr>
            <w:tcW w:w="6288" w:type="dxa"/>
            <w:tcBorders>
              <w:tl2br w:val="nil"/>
              <w:tr2bl w:val="nil"/>
            </w:tcBorders>
            <w:vAlign w:val="center"/>
          </w:tcPr>
          <w:p>
            <w:pPr>
              <w:pStyle w:val="71"/>
              <w:rPr>
                <w:rFonts w:ascii="Times New Roman" w:hAnsi="Times New Roman" w:eastAsia="仿宋_GB2312"/>
                <w:color w:val="auto"/>
              </w:rPr>
            </w:pPr>
            <w:r>
              <w:rPr>
                <w:rFonts w:ascii="Times New Roman" w:hAnsi="Times New Roman" w:eastAsia="仿宋_GB2312"/>
                <w:color w:val="auto"/>
              </w:rPr>
              <w:t>水土流失特征</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73" w:type="dxa"/>
            <w:vMerge w:val="restart"/>
            <w:tcBorders>
              <w:tl2br w:val="nil"/>
              <w:tr2bl w:val="nil"/>
            </w:tcBorders>
            <w:vAlign w:val="center"/>
          </w:tcPr>
          <w:p>
            <w:pPr>
              <w:pStyle w:val="71"/>
              <w:rPr>
                <w:rFonts w:ascii="Times New Roman" w:hAnsi="Times New Roman" w:eastAsia="仿宋_GB2312"/>
                <w:color w:val="auto"/>
              </w:rPr>
            </w:pPr>
            <w:r>
              <w:rPr>
                <w:rFonts w:ascii="Times New Roman" w:hAnsi="Times New Roman" w:eastAsia="仿宋_GB2312"/>
                <w:color w:val="auto"/>
              </w:rPr>
              <w:t>工程建设区</w:t>
            </w:r>
          </w:p>
        </w:tc>
        <w:tc>
          <w:tcPr>
            <w:tcW w:w="1133" w:type="dxa"/>
            <w:tcBorders>
              <w:tl2br w:val="nil"/>
              <w:tr2bl w:val="nil"/>
            </w:tcBorders>
            <w:vAlign w:val="center"/>
          </w:tcPr>
          <w:p>
            <w:pPr>
              <w:pStyle w:val="71"/>
              <w:rPr>
                <w:rFonts w:ascii="Times New Roman" w:hAnsi="Times New Roman" w:eastAsia="仿宋_GB2312"/>
                <w:color w:val="auto"/>
              </w:rPr>
            </w:pPr>
            <w:r>
              <w:rPr>
                <w:rFonts w:ascii="Times New Roman" w:hAnsi="Times New Roman" w:eastAsia="仿宋_GB2312"/>
                <w:color w:val="auto"/>
              </w:rPr>
              <w:t>建构筑物区域</w:t>
            </w:r>
          </w:p>
        </w:tc>
        <w:tc>
          <w:tcPr>
            <w:tcW w:w="6288" w:type="dxa"/>
            <w:tcBorders>
              <w:tl2br w:val="nil"/>
              <w:tr2bl w:val="nil"/>
            </w:tcBorders>
            <w:vAlign w:val="center"/>
          </w:tcPr>
          <w:p>
            <w:pPr>
              <w:pStyle w:val="71"/>
              <w:jc w:val="both"/>
              <w:rPr>
                <w:rFonts w:ascii="Times New Roman" w:hAnsi="Times New Roman" w:eastAsia="仿宋_GB2312"/>
                <w:color w:val="auto"/>
              </w:rPr>
            </w:pPr>
            <w:r>
              <w:rPr>
                <w:rFonts w:ascii="Times New Roman" w:hAnsi="Times New Roman" w:eastAsia="仿宋_GB2312"/>
                <w:color w:val="auto"/>
              </w:rPr>
              <w:t>地表挖损改变地貌，地表裸露，施工机械碾压，人员交通碾压，造成水土流失。</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73" w:type="dxa"/>
            <w:vMerge w:val="continue"/>
            <w:tcBorders>
              <w:tl2br w:val="nil"/>
              <w:tr2bl w:val="nil"/>
            </w:tcBorders>
            <w:vAlign w:val="center"/>
          </w:tcPr>
          <w:p>
            <w:pPr>
              <w:pStyle w:val="71"/>
              <w:rPr>
                <w:rFonts w:ascii="Times New Roman" w:hAnsi="Times New Roman" w:eastAsia="仿宋_GB2312"/>
                <w:color w:val="auto"/>
              </w:rPr>
            </w:pPr>
          </w:p>
        </w:tc>
        <w:tc>
          <w:tcPr>
            <w:tcW w:w="1133" w:type="dxa"/>
            <w:tcBorders>
              <w:tl2br w:val="nil"/>
              <w:tr2bl w:val="nil"/>
            </w:tcBorders>
            <w:vAlign w:val="center"/>
          </w:tcPr>
          <w:p>
            <w:pPr>
              <w:pStyle w:val="71"/>
              <w:rPr>
                <w:rFonts w:ascii="Times New Roman" w:hAnsi="Times New Roman" w:eastAsia="仿宋_GB2312"/>
                <w:color w:val="auto"/>
              </w:rPr>
            </w:pPr>
            <w:r>
              <w:rPr>
                <w:rFonts w:ascii="Times New Roman" w:hAnsi="Times New Roman" w:eastAsia="仿宋_GB2312"/>
                <w:color w:val="auto"/>
              </w:rPr>
              <w:t>道路及硬化区域</w:t>
            </w:r>
          </w:p>
        </w:tc>
        <w:tc>
          <w:tcPr>
            <w:tcW w:w="6288" w:type="dxa"/>
            <w:tcBorders>
              <w:tl2br w:val="nil"/>
              <w:tr2bl w:val="nil"/>
            </w:tcBorders>
            <w:vAlign w:val="center"/>
          </w:tcPr>
          <w:p>
            <w:pPr>
              <w:pStyle w:val="71"/>
              <w:jc w:val="both"/>
              <w:rPr>
                <w:rFonts w:ascii="Times New Roman" w:hAnsi="Times New Roman" w:eastAsia="仿宋_GB2312"/>
                <w:color w:val="auto"/>
              </w:rPr>
            </w:pPr>
            <w:r>
              <w:rPr>
                <w:rFonts w:ascii="Times New Roman" w:hAnsi="Times New Roman" w:eastAsia="仿宋_GB2312"/>
                <w:color w:val="auto"/>
              </w:rPr>
              <w:t>地表挖损改变地貌，造成水土流失。</w:t>
            </w:r>
          </w:p>
        </w:tc>
      </w:tr>
    </w:tbl>
    <w:p>
      <w:pPr>
        <w:pStyle w:val="5"/>
        <w:spacing w:before="0" w:after="0" w:line="360" w:lineRule="auto"/>
        <w:rPr>
          <w:rFonts w:ascii="Times New Roman" w:hAnsi="Times New Roman" w:eastAsia="仿宋_GB2312"/>
          <w:color w:val="auto"/>
          <w:sz w:val="28"/>
          <w:szCs w:val="28"/>
        </w:rPr>
      </w:pPr>
      <w:bookmarkStart w:id="48" w:name="_Toc17922"/>
      <w:r>
        <w:rPr>
          <w:rFonts w:ascii="Times New Roman" w:hAnsi="Times New Roman" w:eastAsia="仿宋_GB2312"/>
          <w:color w:val="auto"/>
          <w:sz w:val="28"/>
          <w:szCs w:val="28"/>
        </w:rPr>
        <w:t>5.2措施总体布局</w:t>
      </w:r>
      <w:bookmarkEnd w:id="48"/>
    </w:p>
    <w:p>
      <w:pPr>
        <w:spacing w:line="360" w:lineRule="auto"/>
        <w:jc w:val="both"/>
        <w:rPr>
          <w:rFonts w:eastAsia="仿宋_GB2312"/>
          <w:b/>
          <w:color w:val="auto"/>
          <w:szCs w:val="24"/>
        </w:rPr>
      </w:pPr>
      <w:r>
        <w:rPr>
          <w:rFonts w:eastAsia="仿宋_GB2312"/>
          <w:b/>
          <w:color w:val="auto"/>
          <w:szCs w:val="24"/>
        </w:rPr>
        <w:t>5.2.1总体防治思路</w:t>
      </w:r>
    </w:p>
    <w:p>
      <w:pPr>
        <w:spacing w:line="360" w:lineRule="auto"/>
        <w:ind w:firstLine="480" w:firstLineChars="200"/>
        <w:rPr>
          <w:rFonts w:eastAsia="仿宋_GB2312"/>
          <w:color w:val="auto"/>
        </w:rPr>
      </w:pPr>
      <w:r>
        <w:rPr>
          <w:rFonts w:eastAsia="仿宋_GB2312"/>
          <w:color w:val="auto"/>
        </w:rPr>
        <w:t>根据该项工程建设特点和当地的自然条件，针对建设施工活动引发水土流失的特点和造成危害程度，依据分区治理、突出重点的原则，对项目区水土流失进行综合治理。把主体工程中具有水土保持功能的工程纳入水土流失防治措施体系中，合理确定水土保持措施的总体布局，以形成完整的、科学的水土流失防治体系。</w:t>
      </w:r>
    </w:p>
    <w:p>
      <w:pPr>
        <w:pStyle w:val="48"/>
        <w:ind w:firstLine="0" w:firstLineChars="0"/>
        <w:rPr>
          <w:rFonts w:ascii="Times New Roman" w:hAnsi="Times New Roman" w:eastAsia="仿宋_GB2312" w:cs="Times New Roman"/>
          <w:b/>
          <w:color w:val="auto"/>
          <w:kern w:val="0"/>
          <w:sz w:val="24"/>
          <w:szCs w:val="24"/>
        </w:rPr>
      </w:pPr>
      <w:r>
        <w:rPr>
          <w:rFonts w:ascii="Times New Roman" w:hAnsi="Times New Roman" w:eastAsia="仿宋_GB2312" w:cs="Times New Roman"/>
          <w:b/>
          <w:color w:val="auto"/>
          <w:kern w:val="0"/>
          <w:sz w:val="24"/>
          <w:szCs w:val="24"/>
        </w:rPr>
        <w:t>5.2.</w:t>
      </w:r>
      <w:r>
        <w:rPr>
          <w:rFonts w:hint="eastAsia" w:ascii="Times New Roman" w:hAnsi="Times New Roman" w:eastAsia="仿宋_GB2312" w:cs="Times New Roman"/>
          <w:b/>
          <w:color w:val="auto"/>
          <w:kern w:val="0"/>
          <w:sz w:val="24"/>
          <w:szCs w:val="24"/>
          <w:lang w:val="en-US" w:eastAsia="zh-CN"/>
        </w:rPr>
        <w:t>2</w:t>
      </w:r>
      <w:r>
        <w:rPr>
          <w:rFonts w:ascii="Times New Roman" w:hAnsi="Times New Roman" w:eastAsia="仿宋_GB2312" w:cs="Times New Roman"/>
          <w:b/>
          <w:color w:val="auto"/>
          <w:kern w:val="0"/>
          <w:sz w:val="24"/>
          <w:szCs w:val="24"/>
        </w:rPr>
        <w:t>防治措施体系</w:t>
      </w:r>
    </w:p>
    <w:p>
      <w:pPr>
        <w:pStyle w:val="48"/>
        <w:ind w:firstLine="48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工程建设过程中土方开挖、填筑、调运和堆置，扰动了原地貌，破坏、占压地表，降低了原地表的水土保持功能，加大了项目区的水土流失强度。防治措施布局应全面、严密、科学，能够有效防治水土流失。根据对主体工程设计的具有水土保持功能工程的分析评价结果，结合水土保持防治措施总体布局，确定本方案水土流失防治措施布局如下：</w:t>
      </w:r>
    </w:p>
    <w:p>
      <w:pPr>
        <w:spacing w:line="360" w:lineRule="auto"/>
        <w:ind w:firstLine="480" w:firstLineChars="200"/>
        <w:rPr>
          <w:rFonts w:hint="eastAsia" w:eastAsia="仿宋_GB2312"/>
          <w:color w:val="auto"/>
          <w:szCs w:val="24"/>
          <w:lang w:val="en-US" w:eastAsia="zh-CN"/>
        </w:rPr>
      </w:pPr>
      <w:r>
        <w:rPr>
          <w:rFonts w:eastAsia="仿宋_GB2312"/>
          <w:color w:val="auto"/>
          <w:szCs w:val="24"/>
        </w:rPr>
        <w:t>对临时堆土进行</w:t>
      </w:r>
      <w:r>
        <w:rPr>
          <w:rFonts w:hint="eastAsia" w:eastAsia="仿宋_GB2312"/>
          <w:color w:val="auto"/>
          <w:szCs w:val="24"/>
          <w:lang w:val="en-US" w:eastAsia="zh-CN"/>
        </w:rPr>
        <w:t>密目网苫盖措施、钻井泥浆采取泥浆池措施。</w:t>
      </w:r>
    </w:p>
    <w:p>
      <w:pPr>
        <w:pStyle w:val="48"/>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分区措施布设见表5-2。水土流失综合防治措施体系见图5-1。</w:t>
      </w:r>
    </w:p>
    <w:p>
      <w:pPr>
        <w:jc w:val="center"/>
        <w:rPr>
          <w:rFonts w:hint="default" w:ascii="Times New Roman" w:hAnsi="Times New Roman" w:eastAsia="仿宋_GB2312" w:cs="Times New Roman"/>
          <w:b/>
          <w:bCs/>
          <w:color w:val="auto"/>
          <w:sz w:val="24"/>
        </w:rPr>
      </w:pPr>
      <w:r>
        <w:rPr>
          <w:rFonts w:hint="default" w:ascii="Times New Roman" w:hAnsi="Times New Roman" w:eastAsia="仿宋_GB2312" w:cs="Times New Roman"/>
          <w:b/>
          <w:bCs/>
          <w:color w:val="auto"/>
          <w:sz w:val="24"/>
        </w:rPr>
        <w:t>表5-2    水土保持措施布设</w:t>
      </w:r>
    </w:p>
    <w:tbl>
      <w:tblPr>
        <w:tblStyle w:val="24"/>
        <w:tblW w:w="843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856"/>
        <w:gridCol w:w="1834"/>
        <w:gridCol w:w="2190"/>
        <w:gridCol w:w="255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856" w:type="dxa"/>
            <w:noWrap w:val="0"/>
            <w:tcMar>
              <w:top w:w="0" w:type="dxa"/>
              <w:left w:w="0" w:type="dxa"/>
              <w:bottom w:w="0" w:type="dxa"/>
              <w:right w:w="0" w:type="dxa"/>
            </w:tcMar>
            <w:vAlign w:val="center"/>
          </w:tcPr>
          <w:p>
            <w:pPr>
              <w:widowControl/>
              <w:snapToGrid w:val="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防治分区</w:t>
            </w:r>
          </w:p>
        </w:tc>
        <w:tc>
          <w:tcPr>
            <w:tcW w:w="1834" w:type="dxa"/>
            <w:noWrap w:val="0"/>
            <w:vAlign w:val="center"/>
          </w:tcPr>
          <w:p>
            <w:pPr>
              <w:widowControl/>
              <w:snapToGrid w:val="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防治措施</w:t>
            </w:r>
          </w:p>
        </w:tc>
        <w:tc>
          <w:tcPr>
            <w:tcW w:w="2190" w:type="dxa"/>
            <w:tcBorders>
              <w:right w:val="single" w:color="auto" w:sz="4" w:space="0"/>
            </w:tcBorders>
            <w:noWrap w:val="0"/>
            <w:vAlign w:val="center"/>
          </w:tcPr>
          <w:p>
            <w:pPr>
              <w:widowControl/>
              <w:snapToGrid w:val="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具体措施</w:t>
            </w:r>
          </w:p>
        </w:tc>
        <w:tc>
          <w:tcPr>
            <w:tcW w:w="2552" w:type="dxa"/>
            <w:tcBorders>
              <w:left w:val="single" w:color="auto" w:sz="4" w:space="0"/>
            </w:tcBorders>
            <w:noWrap w:val="0"/>
            <w:vAlign w:val="center"/>
          </w:tcPr>
          <w:p>
            <w:pPr>
              <w:widowControl/>
              <w:snapToGrid w:val="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856" w:type="dxa"/>
            <w:noWrap w:val="0"/>
            <w:tcMar>
              <w:top w:w="0" w:type="dxa"/>
              <w:left w:w="0" w:type="dxa"/>
              <w:bottom w:w="0" w:type="dxa"/>
              <w:right w:w="0" w:type="dxa"/>
            </w:tcMar>
            <w:vAlign w:val="center"/>
          </w:tcPr>
          <w:p>
            <w:pPr>
              <w:widowControl/>
              <w:snapToGrid w:val="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color w:val="auto"/>
                <w:sz w:val="21"/>
                <w:szCs w:val="21"/>
              </w:rPr>
              <w:t>工程建设区</w:t>
            </w:r>
          </w:p>
        </w:tc>
        <w:tc>
          <w:tcPr>
            <w:tcW w:w="1834" w:type="dxa"/>
            <w:noWrap w:val="0"/>
            <w:vAlign w:val="center"/>
          </w:tcPr>
          <w:p>
            <w:pPr>
              <w:widowControl/>
              <w:snapToGrid w:val="0"/>
              <w:jc w:val="center"/>
              <w:rPr>
                <w:rFonts w:hint="default" w:ascii="Times New Roman" w:hAnsi="Times New Roman" w:eastAsia="仿宋_GB2312" w:cs="Times New Roman"/>
                <w:bCs/>
                <w:color w:val="auto"/>
                <w:kern w:val="0"/>
                <w:sz w:val="21"/>
                <w:szCs w:val="21"/>
              </w:rPr>
            </w:pPr>
            <w:r>
              <w:rPr>
                <w:rFonts w:hint="eastAsia" w:eastAsia="仿宋_GB2312" w:cs="Times New Roman"/>
                <w:bCs/>
                <w:color w:val="auto"/>
                <w:kern w:val="0"/>
                <w:sz w:val="21"/>
                <w:szCs w:val="21"/>
                <w:lang w:val="en-US" w:eastAsia="zh-CN"/>
              </w:rPr>
              <w:t>临时</w:t>
            </w:r>
            <w:r>
              <w:rPr>
                <w:rFonts w:hint="default" w:ascii="Times New Roman" w:hAnsi="Times New Roman" w:eastAsia="仿宋_GB2312" w:cs="Times New Roman"/>
                <w:bCs/>
                <w:color w:val="auto"/>
                <w:kern w:val="0"/>
                <w:sz w:val="21"/>
                <w:szCs w:val="21"/>
              </w:rPr>
              <w:t>措施</w:t>
            </w:r>
          </w:p>
        </w:tc>
        <w:tc>
          <w:tcPr>
            <w:tcW w:w="2190" w:type="dxa"/>
            <w:tcBorders>
              <w:right w:val="single" w:color="auto" w:sz="4" w:space="0"/>
            </w:tcBorders>
            <w:noWrap w:val="0"/>
            <w:vAlign w:val="center"/>
          </w:tcPr>
          <w:p>
            <w:pPr>
              <w:widowControl/>
              <w:snapToGrid w:val="0"/>
              <w:jc w:val="center"/>
              <w:rPr>
                <w:rFonts w:hint="default" w:ascii="Times New Roman" w:hAnsi="Times New Roman" w:eastAsia="仿宋_GB2312" w:cs="Times New Roman"/>
                <w:bCs/>
                <w:color w:val="auto"/>
                <w:kern w:val="0"/>
                <w:sz w:val="21"/>
                <w:szCs w:val="21"/>
                <w:lang w:val="en-US" w:eastAsia="zh-CN" w:bidi="ar-SA"/>
              </w:rPr>
            </w:pPr>
            <w:r>
              <w:rPr>
                <w:rFonts w:hint="default" w:ascii="Times New Roman" w:hAnsi="Times New Roman" w:eastAsia="仿宋_GB2312" w:cs="Times New Roman"/>
                <w:bCs/>
                <w:color w:val="auto"/>
                <w:kern w:val="0"/>
                <w:sz w:val="21"/>
                <w:szCs w:val="21"/>
              </w:rPr>
              <w:t>密目网苫盖</w:t>
            </w:r>
            <w:r>
              <w:rPr>
                <w:rFonts w:hint="eastAsia" w:eastAsia="仿宋_GB2312" w:cs="Times New Roman"/>
                <w:bCs/>
                <w:color w:val="auto"/>
                <w:kern w:val="0"/>
                <w:sz w:val="21"/>
                <w:szCs w:val="21"/>
                <w:lang w:eastAsia="zh-CN"/>
              </w:rPr>
              <w:t>、</w:t>
            </w:r>
            <w:r>
              <w:rPr>
                <w:rFonts w:hint="eastAsia" w:eastAsia="仿宋_GB2312" w:cs="Times New Roman"/>
                <w:bCs/>
                <w:color w:val="auto"/>
                <w:kern w:val="0"/>
                <w:sz w:val="21"/>
                <w:szCs w:val="21"/>
                <w:lang w:val="en-US" w:eastAsia="zh-CN"/>
              </w:rPr>
              <w:t>泥浆池</w:t>
            </w:r>
          </w:p>
        </w:tc>
        <w:tc>
          <w:tcPr>
            <w:tcW w:w="2552" w:type="dxa"/>
            <w:tcBorders>
              <w:left w:val="single" w:color="auto" w:sz="4" w:space="0"/>
            </w:tcBorders>
            <w:noWrap w:val="0"/>
            <w:vAlign w:val="center"/>
          </w:tcPr>
          <w:p>
            <w:pPr>
              <w:widowControl/>
              <w:snapToGrid w:val="0"/>
              <w:jc w:val="center"/>
              <w:rPr>
                <w:rFonts w:hint="default" w:ascii="Times New Roman" w:hAnsi="Times New Roman" w:eastAsia="仿宋_GB2312" w:cs="Times New Roman"/>
                <w:bCs/>
                <w:color w:val="auto"/>
                <w:kern w:val="0"/>
                <w:sz w:val="21"/>
                <w:szCs w:val="21"/>
                <w:lang w:val="en-US" w:eastAsia="zh-CN" w:bidi="ar-SA"/>
              </w:rPr>
            </w:pPr>
            <w:r>
              <w:rPr>
                <w:rFonts w:hint="default" w:ascii="Times New Roman" w:hAnsi="Times New Roman" w:eastAsia="仿宋_GB2312" w:cs="Times New Roman"/>
                <w:bCs/>
                <w:color w:val="auto"/>
                <w:kern w:val="0"/>
                <w:sz w:val="21"/>
                <w:szCs w:val="21"/>
              </w:rPr>
              <w:t>主体已有措施</w:t>
            </w:r>
          </w:p>
        </w:tc>
      </w:tr>
    </w:tbl>
    <w:p>
      <w:pPr>
        <w:spacing w:line="360" w:lineRule="auto"/>
        <w:ind w:firstLine="480" w:firstLineChars="200"/>
        <w:rPr>
          <w:rFonts w:hint="eastAsia" w:eastAsia="仿宋_GB2312"/>
          <w:color w:val="auto"/>
          <w:szCs w:val="24"/>
          <w:lang w:val="en-US" w:eastAsia="zh-CN"/>
        </w:rPr>
      </w:pPr>
    </w:p>
    <w:p>
      <w:pPr>
        <w:spacing w:line="360" w:lineRule="auto"/>
        <w:ind w:firstLine="480" w:firstLineChars="200"/>
        <w:rPr>
          <w:rFonts w:eastAsia="仿宋_GB2312"/>
          <w:color w:val="auto"/>
          <w:szCs w:val="24"/>
        </w:rPr>
      </w:pPr>
    </w:p>
    <w:p>
      <w:pPr>
        <w:spacing w:line="360" w:lineRule="auto"/>
        <w:ind w:firstLine="480" w:firstLineChars="200"/>
        <w:rPr>
          <w:rFonts w:eastAsia="仿宋_GB2312"/>
          <w:color w:val="auto"/>
          <w:szCs w:val="24"/>
        </w:rPr>
      </w:pPr>
    </w:p>
    <w:p>
      <w:pPr>
        <w:spacing w:line="240" w:lineRule="auto"/>
        <w:jc w:val="center"/>
        <w:rPr>
          <w:rFonts w:hint="default" w:ascii="Times New Roman" w:hAnsi="Times New Roman" w:eastAsia="仿宋_GB2312" w:cs="Times New Roman"/>
          <w:b/>
          <w:color w:val="auto"/>
          <w:sz w:val="24"/>
        </w:rPr>
      </w:pPr>
      <w:r>
        <w:rPr>
          <w:color w:val="auto"/>
          <w:sz w:val="21"/>
          <w:szCs w:val="21"/>
        </w:rPr>
        <w:object>
          <v:shape id="_x0000_i1027" o:spt="75" type="#_x0000_t75" style="height:55.9pt;width:352.5pt;" o:ole="t" filled="f" o:preferrelative="t" stroked="f" coordsize="21600,21600">
            <v:path/>
            <v:fill on="f" focussize="0,0"/>
            <v:stroke on="f"/>
            <v:imagedata r:id="rId38" o:title=""/>
            <o:lock v:ext="edit" aspectratio="f"/>
            <w10:wrap type="none"/>
            <w10:anchorlock/>
          </v:shape>
          <o:OLEObject Type="Embed" ProgID="Visio.Drawing.11" ShapeID="_x0000_i1027" DrawAspect="Content" ObjectID="_1468075727" r:id="rId37">
            <o:LockedField>false</o:LockedField>
          </o:OLEObject>
        </w:object>
      </w:r>
    </w:p>
    <w:p>
      <w:pPr>
        <w:spacing w:line="240" w:lineRule="auto"/>
        <w:jc w:val="center"/>
        <w:rPr>
          <w:rFonts w:hint="default" w:ascii="Times New Roman" w:hAnsi="Times New Roman" w:eastAsia="仿宋_GB2312" w:cs="Times New Roman"/>
          <w:b/>
          <w:color w:val="auto"/>
          <w:sz w:val="24"/>
        </w:rPr>
      </w:pPr>
    </w:p>
    <w:p>
      <w:pPr>
        <w:spacing w:line="240" w:lineRule="auto"/>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mc:AlternateContent>
          <mc:Choice Requires="wps">
            <w:drawing>
              <wp:anchor distT="0" distB="0" distL="114300" distR="114300" simplePos="0" relativeHeight="251677696" behindDoc="0" locked="0" layoutInCell="1" allowOverlap="1">
                <wp:simplePos x="0" y="0"/>
                <wp:positionH relativeFrom="column">
                  <wp:posOffset>3914775</wp:posOffset>
                </wp:positionH>
                <wp:positionV relativeFrom="paragraph">
                  <wp:posOffset>3765550</wp:posOffset>
                </wp:positionV>
                <wp:extent cx="635" cy="1530985"/>
                <wp:effectExtent l="0" t="0" r="0" b="0"/>
                <wp:wrapNone/>
                <wp:docPr id="94" name="直线 5920"/>
                <wp:cNvGraphicFramePr/>
                <a:graphic xmlns:a="http://schemas.openxmlformats.org/drawingml/2006/main">
                  <a:graphicData uri="http://schemas.microsoft.com/office/word/2010/wordprocessingShape">
                    <wps:wsp>
                      <wps:cNvCnPr/>
                      <wps:spPr>
                        <a:xfrm>
                          <a:off x="0" y="0"/>
                          <a:ext cx="635" cy="1530985"/>
                        </a:xfrm>
                        <a:prstGeom prst="line">
                          <a:avLst/>
                        </a:prstGeom>
                        <a:ln>
                          <a:noFill/>
                        </a:ln>
                      </wps:spPr>
                      <wps:bodyPr upright="1"/>
                    </wps:wsp>
                  </a:graphicData>
                </a:graphic>
              </wp:anchor>
            </w:drawing>
          </mc:Choice>
          <mc:Fallback>
            <w:pict>
              <v:line id="直线 5920" o:spid="_x0000_s1026" o:spt="20" style="position:absolute;left:0pt;margin-left:308.25pt;margin-top:296.5pt;height:120.55pt;width:0.05pt;z-index:251677696;mso-width-relative:page;mso-height-relative:page;" filled="f" stroked="f" coordsize="21600,21600" o:gfxdata="UEsDBAoAAAAAAIdO4kAAAAAAAAAAAAAAAAAEAAAAZHJzL1BLAwQUAAAACACHTuJApRq9s9kAAAAL&#10;AQAADwAAAGRycy9kb3ducmV2LnhtbE2PwU7DMAyG70i8Q2QkbiwtZaUrdXcAAQdObEgTt6wxbVmT&#10;VEnWbm+POcHR9qff31+tT2YQE/nQO4uQLhIQZBune9sifGyfbwoQISqr1eAsIZwpwLq+vKhUqd1s&#10;32naxFZwiA2lQuhiHEspQ9ORUWHhRrJ8+3LeqMijb6X2auZwM8jbJMmlUb3lD50a6bGj5rA5GoTw&#10;dNi578/5tZhWfktv511z/5IhXl+lyQOISKf4B8OvPqtDzU57d7Q6iAEhT/MlowjLVcalmOBNDmKP&#10;UGR3Kci6kv871D9QSwMEFAAAAAgAh07iQAJMK/SaAQAALAMAAA4AAABkcnMvZTJvRG9jLnhtbK1S&#10;S27bMBDdB+gdCO5ryU4dxILlLGqkm6I1kOQADEVaBPjDDG3ZZ+k1uuqmx8k1MqRcu0g3WXQzmh/f&#10;zHuj5d3BWbZXgCb4lk8nNWfKy9AZv2350+P9x1vOMAnfCRu8avlRIb9bfbhaDrFRs9AH2ylgBOKx&#10;GWLL+5RiU1Uoe+UETkJUnoo6gBOJQthWHYiB0J2tZnV9Uw0BughBKkTKrsciPyHCewCD1kaqdZA7&#10;p3waUUFZkYgS9iYiX5VttVYyfdcaVWK25cQ0FUtDyH/OtlotRbMFEXsjTyuI96zwhpMTxtPQM9Ra&#10;JMF2YP6BckZCwKDTRAZXjUSKIsRiWr/R5qEXURUuJDXGs+j4/2Dlt/0GmOlavvjEmReOLv7y4+fL&#10;r99svpgVfYaIDbV99hsgtXKEcQOZ7EGDy1+iwQ5F0+NZU3VITFLy5nrOmaT8dH5dL27nWfHq8jQC&#10;pi8qOJadllvjM2HRiP1XTGPrn5actj5bH+6NtWM1Z6rLUtl7Dt2RSO0imG1PoNMyM1dIxDL9dPB8&#10;pb/jgnT5yVe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Rq9s9kAAAALAQAADwAAAAAAAAABACAA&#10;AAAiAAAAZHJzL2Rvd25yZXYueG1sUEsBAhQAFAAAAAgAh07iQAJMK/SaAQAALAMAAA4AAAAAAAAA&#10;AQAgAAAAKAEAAGRycy9lMm9Eb2MueG1sUEsFBgAAAAAGAAYAWQEAADQFAAAAAA==&#10;">
                <v:fill on="f" focussize="0,0"/>
                <v:stroke on="f"/>
                <v:imagedata o:title=""/>
                <o:lock v:ext="edit" aspectratio="f"/>
              </v:line>
            </w:pict>
          </mc:Fallback>
        </mc:AlternateContent>
      </w:r>
      <w:r>
        <w:rPr>
          <w:rFonts w:hint="default" w:ascii="Times New Roman" w:hAnsi="Times New Roman" w:eastAsia="仿宋_GB2312" w:cs="Times New Roman"/>
          <w:b/>
          <w:color w:val="auto"/>
          <w:sz w:val="24"/>
        </w:rPr>
        <w:t>图5-1  水土流失综合防治措施体系框图</w:t>
      </w:r>
    </w:p>
    <w:p>
      <w:pPr>
        <w:pStyle w:val="5"/>
        <w:spacing w:before="100" w:beforeAutospacing="1" w:after="0" w:line="360" w:lineRule="auto"/>
        <w:rPr>
          <w:rFonts w:ascii="Times New Roman" w:hAnsi="Times New Roman" w:eastAsia="仿宋_GB2312"/>
          <w:color w:val="auto"/>
          <w:sz w:val="28"/>
          <w:szCs w:val="28"/>
        </w:rPr>
      </w:pPr>
      <w:bookmarkStart w:id="49" w:name="_Toc11393"/>
      <w:r>
        <w:rPr>
          <w:rFonts w:ascii="Times New Roman" w:hAnsi="Times New Roman" w:eastAsia="仿宋_GB2312"/>
          <w:color w:val="auto"/>
          <w:sz w:val="28"/>
          <w:szCs w:val="28"/>
        </w:rPr>
        <w:t>5.3分区措施布设</w:t>
      </w:r>
      <w:bookmarkEnd w:id="49"/>
    </w:p>
    <w:p>
      <w:pPr>
        <w:spacing w:line="360" w:lineRule="auto"/>
        <w:rPr>
          <w:rFonts w:eastAsia="仿宋_GB2312"/>
          <w:b/>
          <w:snapToGrid w:val="0"/>
          <w:color w:val="auto"/>
          <w:szCs w:val="24"/>
        </w:rPr>
      </w:pPr>
      <w:r>
        <w:rPr>
          <w:rFonts w:eastAsia="仿宋_GB2312"/>
          <w:b/>
          <w:snapToGrid w:val="0"/>
          <w:color w:val="auto"/>
          <w:szCs w:val="24"/>
        </w:rPr>
        <w:t>5.3.1工程建设区</w:t>
      </w:r>
      <w:r>
        <w:rPr>
          <w:rFonts w:eastAsia="仿宋_GB2312"/>
          <w:b/>
          <w:color w:val="auto"/>
          <w:szCs w:val="24"/>
        </w:rPr>
        <w:t>措施布设</w:t>
      </w:r>
    </w:p>
    <w:p>
      <w:pPr>
        <w:spacing w:line="360" w:lineRule="auto"/>
        <w:ind w:firstLine="480" w:firstLineChars="200"/>
        <w:rPr>
          <w:rFonts w:hint="default" w:eastAsia="仿宋_GB2312"/>
          <w:color w:val="auto"/>
          <w:szCs w:val="24"/>
          <w:lang w:val="en-US" w:eastAsia="zh-CN"/>
        </w:rPr>
      </w:pPr>
      <w:r>
        <w:rPr>
          <w:rFonts w:hint="eastAsia" w:eastAsia="仿宋_GB2312"/>
          <w:color w:val="auto"/>
          <w:szCs w:val="24"/>
          <w:lang w:val="en-US" w:eastAsia="zh-CN"/>
        </w:rPr>
        <w:t>1、临时措施</w:t>
      </w:r>
    </w:p>
    <w:p>
      <w:pPr>
        <w:spacing w:line="360" w:lineRule="auto"/>
        <w:ind w:firstLine="480" w:firstLineChars="200"/>
        <w:rPr>
          <w:rFonts w:eastAsia="仿宋_GB2312"/>
          <w:color w:val="auto"/>
          <w:szCs w:val="24"/>
        </w:rPr>
      </w:pPr>
      <w:r>
        <w:rPr>
          <w:rFonts w:eastAsia="仿宋_GB2312"/>
          <w:color w:val="auto"/>
          <w:szCs w:val="24"/>
        </w:rPr>
        <w:t>（1）临时堆土防护</w:t>
      </w:r>
    </w:p>
    <w:p>
      <w:pPr>
        <w:spacing w:line="360" w:lineRule="auto"/>
        <w:ind w:firstLine="480" w:firstLineChars="200"/>
        <w:rPr>
          <w:rFonts w:hint="eastAsia" w:eastAsia="仿宋_GB2312" w:cs="Times New Roman"/>
          <w:bCs/>
          <w:color w:val="auto"/>
          <w:sz w:val="24"/>
          <w:lang w:eastAsia="zh-CN"/>
        </w:rPr>
      </w:pPr>
      <w:r>
        <w:rPr>
          <w:rFonts w:eastAsia="仿宋_GB2312"/>
          <w:color w:val="auto"/>
        </w:rPr>
        <w:t>本项目土方临时堆放场位于项目区内空地，</w:t>
      </w:r>
      <w:r>
        <w:rPr>
          <w:rFonts w:hint="eastAsia" w:eastAsia="仿宋_GB2312"/>
          <w:color w:val="auto"/>
          <w:lang w:val="en-US" w:eastAsia="zh-CN"/>
        </w:rPr>
        <w:t>堆场面积为180m</w:t>
      </w:r>
      <w:r>
        <w:rPr>
          <w:rFonts w:hint="eastAsia" w:eastAsia="仿宋_GB2312"/>
          <w:color w:val="auto"/>
          <w:vertAlign w:val="superscript"/>
          <w:lang w:val="en-US" w:eastAsia="zh-CN"/>
        </w:rPr>
        <w:t>2</w:t>
      </w:r>
      <w:r>
        <w:rPr>
          <w:rFonts w:hint="eastAsia" w:eastAsia="仿宋_GB2312"/>
          <w:color w:val="auto"/>
          <w:lang w:val="en-US" w:eastAsia="zh-CN"/>
        </w:rPr>
        <w:t>，</w:t>
      </w:r>
      <w:r>
        <w:rPr>
          <w:rFonts w:hint="default" w:ascii="Times New Roman" w:hAnsi="Times New Roman" w:eastAsia="仿宋_GB2312" w:cs="Times New Roman"/>
          <w:color w:val="auto"/>
          <w:highlight w:val="none"/>
        </w:rPr>
        <w:t>堆土场长</w:t>
      </w:r>
      <w:r>
        <w:rPr>
          <w:rFonts w:hint="eastAsia" w:eastAsia="仿宋_GB2312" w:cs="Times New Roman"/>
          <w:color w:val="auto"/>
          <w:highlight w:val="none"/>
          <w:lang w:val="en-US" w:eastAsia="zh-CN"/>
        </w:rPr>
        <w:t>15</w:t>
      </w:r>
      <w:r>
        <w:rPr>
          <w:rFonts w:hint="default" w:ascii="Times New Roman" w:hAnsi="Times New Roman" w:eastAsia="仿宋_GB2312" w:cs="Times New Roman"/>
          <w:color w:val="auto"/>
          <w:highlight w:val="none"/>
        </w:rPr>
        <w:t>m、宽</w:t>
      </w:r>
      <w:r>
        <w:rPr>
          <w:rFonts w:hint="eastAsia" w:eastAsia="仿宋_GB2312" w:cs="Times New Roman"/>
          <w:color w:val="auto"/>
          <w:highlight w:val="none"/>
          <w:lang w:val="en-US" w:eastAsia="zh-CN"/>
        </w:rPr>
        <w:t>12</w:t>
      </w:r>
      <w:r>
        <w:rPr>
          <w:rFonts w:hint="default" w:ascii="Times New Roman" w:hAnsi="Times New Roman" w:eastAsia="仿宋_GB2312" w:cs="Times New Roman"/>
          <w:color w:val="auto"/>
          <w:highlight w:val="none"/>
        </w:rPr>
        <w:t>m、高</w:t>
      </w:r>
      <w:r>
        <w:rPr>
          <w:rFonts w:hint="eastAsia" w:eastAsia="仿宋_GB2312" w:cs="Times New Roman"/>
          <w:color w:val="auto"/>
          <w:highlight w:val="none"/>
          <w:lang w:val="en-US" w:eastAsia="zh-CN"/>
        </w:rPr>
        <w:t>3.5</w:t>
      </w:r>
      <w:r>
        <w:rPr>
          <w:rFonts w:hint="default" w:ascii="Times New Roman" w:hAnsi="Times New Roman" w:eastAsia="仿宋_GB2312" w:cs="Times New Roman"/>
          <w:color w:val="auto"/>
          <w:highlight w:val="none"/>
        </w:rPr>
        <w:t>m</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rPr>
        <w:t>边坡比1：1.</w:t>
      </w:r>
      <w:r>
        <w:rPr>
          <w:rFonts w:hint="default" w:ascii="Times New Roman" w:hAnsi="Times New Roman" w:eastAsia="仿宋_GB2312" w:cs="Times New Roman"/>
          <w:color w:val="auto"/>
          <w:highlight w:val="none"/>
          <w:lang w:val="en-US" w:eastAsia="zh-CN"/>
        </w:rPr>
        <w:t>5</w:t>
      </w:r>
      <w:r>
        <w:rPr>
          <w:rFonts w:hint="eastAsia" w:eastAsia="仿宋_GB2312" w:cs="Times New Roman"/>
          <w:color w:val="auto"/>
          <w:highlight w:val="none"/>
          <w:lang w:val="en-US" w:eastAsia="zh-CN"/>
        </w:rPr>
        <w:t>，</w:t>
      </w:r>
      <w:r>
        <w:rPr>
          <w:rFonts w:eastAsia="仿宋_GB2312"/>
          <w:color w:val="auto"/>
        </w:rPr>
        <w:t>土方临时堆放场满足本项目土方堆置需求</w:t>
      </w:r>
      <w:r>
        <w:rPr>
          <w:rFonts w:eastAsia="仿宋_GB2312"/>
          <w:color w:val="auto"/>
          <w:szCs w:val="24"/>
        </w:rPr>
        <w:t>，对临时堆存的土方需要进行密目网覆盖，共需密目网覆盖</w:t>
      </w:r>
      <w:r>
        <w:rPr>
          <w:rFonts w:hint="eastAsia" w:eastAsia="仿宋_GB2312"/>
          <w:color w:val="auto"/>
          <w:szCs w:val="24"/>
          <w:lang w:val="en-US" w:eastAsia="zh-CN"/>
        </w:rPr>
        <w:t>3</w:t>
      </w:r>
      <w:r>
        <w:rPr>
          <w:rFonts w:hint="eastAsia" w:eastAsia="仿宋_GB2312"/>
          <w:color w:val="auto"/>
          <w:szCs w:val="24"/>
        </w:rPr>
        <w:t>00</w:t>
      </w:r>
      <w:r>
        <w:rPr>
          <w:rFonts w:eastAsia="仿宋_GB2312"/>
          <w:color w:val="auto"/>
          <w:szCs w:val="24"/>
        </w:rPr>
        <w:t>m</w:t>
      </w:r>
      <w:r>
        <w:rPr>
          <w:rFonts w:eastAsia="仿宋_GB2312"/>
          <w:color w:val="auto"/>
          <w:szCs w:val="24"/>
          <w:vertAlign w:val="superscript"/>
        </w:rPr>
        <w:t>2</w:t>
      </w:r>
      <w:r>
        <w:rPr>
          <w:rFonts w:eastAsia="仿宋_GB2312"/>
          <w:color w:val="auto"/>
          <w:szCs w:val="24"/>
        </w:rPr>
        <w:t>。</w:t>
      </w:r>
      <w:r>
        <w:rPr>
          <w:rFonts w:hint="default" w:ascii="Times New Roman" w:hAnsi="Times New Roman" w:eastAsia="仿宋_GB2312" w:cs="Times New Roman"/>
          <w:bCs/>
          <w:color w:val="auto"/>
          <w:sz w:val="24"/>
        </w:rPr>
        <w:t>苫盖实施的时间为 20</w:t>
      </w:r>
      <w:r>
        <w:rPr>
          <w:rFonts w:hint="eastAsia" w:ascii="Times New Roman" w:hAnsi="Times New Roman" w:eastAsia="仿宋_GB2312" w:cs="Times New Roman"/>
          <w:bCs/>
          <w:color w:val="auto"/>
          <w:sz w:val="24"/>
          <w:lang w:val="en-US" w:eastAsia="zh-CN"/>
        </w:rPr>
        <w:t>2</w:t>
      </w:r>
      <w:r>
        <w:rPr>
          <w:rFonts w:hint="eastAsia" w:eastAsia="仿宋_GB2312" w:cs="Times New Roman"/>
          <w:bCs/>
          <w:color w:val="auto"/>
          <w:sz w:val="24"/>
          <w:lang w:val="en-US" w:eastAsia="zh-CN"/>
        </w:rPr>
        <w:t>2</w:t>
      </w:r>
      <w:r>
        <w:rPr>
          <w:rFonts w:hint="default" w:ascii="Times New Roman" w:hAnsi="Times New Roman" w:eastAsia="仿宋_GB2312" w:cs="Times New Roman"/>
          <w:bCs/>
          <w:color w:val="auto"/>
          <w:sz w:val="24"/>
        </w:rPr>
        <w:t xml:space="preserve"> 年 </w:t>
      </w:r>
      <w:r>
        <w:rPr>
          <w:rFonts w:hint="eastAsia" w:eastAsia="仿宋_GB2312" w:cs="Times New Roman"/>
          <w:bCs/>
          <w:color w:val="auto"/>
          <w:sz w:val="24"/>
          <w:lang w:val="en-US" w:eastAsia="zh-CN"/>
        </w:rPr>
        <w:t>8</w:t>
      </w:r>
      <w:r>
        <w:rPr>
          <w:rFonts w:hint="default" w:ascii="Times New Roman" w:hAnsi="Times New Roman" w:eastAsia="仿宋_GB2312" w:cs="Times New Roman"/>
          <w:bCs/>
          <w:color w:val="auto"/>
          <w:sz w:val="24"/>
        </w:rPr>
        <w:t xml:space="preserve"> 月至 20</w:t>
      </w:r>
      <w:r>
        <w:rPr>
          <w:rFonts w:hint="eastAsia" w:ascii="Times New Roman" w:hAnsi="Times New Roman" w:eastAsia="仿宋_GB2312" w:cs="Times New Roman"/>
          <w:bCs/>
          <w:color w:val="auto"/>
          <w:sz w:val="24"/>
          <w:lang w:val="en-US" w:eastAsia="zh-CN"/>
        </w:rPr>
        <w:t>2</w:t>
      </w:r>
      <w:r>
        <w:rPr>
          <w:rFonts w:hint="eastAsia" w:eastAsia="仿宋_GB2312" w:cs="Times New Roman"/>
          <w:bCs/>
          <w:color w:val="auto"/>
          <w:sz w:val="24"/>
          <w:lang w:val="en-US" w:eastAsia="zh-CN"/>
        </w:rPr>
        <w:t>2</w:t>
      </w:r>
      <w:r>
        <w:rPr>
          <w:rFonts w:hint="default" w:ascii="Times New Roman" w:hAnsi="Times New Roman" w:eastAsia="仿宋_GB2312" w:cs="Times New Roman"/>
          <w:bCs/>
          <w:color w:val="auto"/>
          <w:sz w:val="24"/>
        </w:rPr>
        <w:t xml:space="preserve">年 </w:t>
      </w:r>
      <w:r>
        <w:rPr>
          <w:rFonts w:hint="eastAsia" w:eastAsia="仿宋_GB2312" w:cs="Times New Roman"/>
          <w:bCs/>
          <w:color w:val="auto"/>
          <w:sz w:val="24"/>
          <w:lang w:val="en-US" w:eastAsia="zh-CN"/>
        </w:rPr>
        <w:t>10</w:t>
      </w:r>
      <w:r>
        <w:rPr>
          <w:rFonts w:hint="default" w:ascii="Times New Roman" w:hAnsi="Times New Roman" w:eastAsia="仿宋_GB2312" w:cs="Times New Roman"/>
          <w:bCs/>
          <w:color w:val="auto"/>
          <w:sz w:val="24"/>
        </w:rPr>
        <w:t>月</w:t>
      </w:r>
      <w:r>
        <w:rPr>
          <w:rFonts w:hint="eastAsia" w:eastAsia="仿宋_GB2312" w:cs="Times New Roman"/>
          <w:bCs/>
          <w:color w:val="auto"/>
          <w:sz w:val="24"/>
          <w:lang w:eastAsia="zh-CN"/>
        </w:rPr>
        <w:t>。</w:t>
      </w:r>
    </w:p>
    <w:p>
      <w:pPr>
        <w:spacing w:line="360" w:lineRule="auto"/>
        <w:ind w:firstLine="480" w:firstLineChars="200"/>
        <w:rPr>
          <w:rFonts w:hint="default" w:eastAsia="仿宋_GB2312" w:cs="Times New Roman"/>
          <w:bCs/>
          <w:color w:val="auto"/>
          <w:sz w:val="24"/>
          <w:lang w:val="en-US" w:eastAsia="zh-CN"/>
        </w:rPr>
      </w:pPr>
      <w:r>
        <w:rPr>
          <w:rFonts w:hint="eastAsia" w:eastAsia="仿宋_GB2312" w:cs="Times New Roman"/>
          <w:bCs/>
          <w:color w:val="auto"/>
          <w:sz w:val="24"/>
          <w:lang w:eastAsia="zh-CN"/>
        </w:rPr>
        <w:t>（</w:t>
      </w:r>
      <w:r>
        <w:rPr>
          <w:rFonts w:hint="eastAsia" w:eastAsia="仿宋_GB2312" w:cs="Times New Roman"/>
          <w:bCs/>
          <w:color w:val="auto"/>
          <w:sz w:val="24"/>
          <w:lang w:val="en-US" w:eastAsia="zh-CN"/>
        </w:rPr>
        <w:t>2</w:t>
      </w:r>
      <w:r>
        <w:rPr>
          <w:rFonts w:hint="eastAsia" w:eastAsia="仿宋_GB2312" w:cs="Times New Roman"/>
          <w:bCs/>
          <w:color w:val="auto"/>
          <w:sz w:val="24"/>
          <w:lang w:eastAsia="zh-CN"/>
        </w:rPr>
        <w:t>）</w:t>
      </w:r>
      <w:r>
        <w:rPr>
          <w:rFonts w:hint="eastAsia" w:eastAsia="仿宋_GB2312" w:cs="Times New Roman"/>
          <w:bCs/>
          <w:color w:val="auto"/>
          <w:sz w:val="24"/>
          <w:lang w:val="en-US" w:eastAsia="zh-CN"/>
        </w:rPr>
        <w:t>泥浆池</w:t>
      </w:r>
    </w:p>
    <w:p>
      <w:pPr>
        <w:spacing w:line="360" w:lineRule="auto"/>
        <w:ind w:firstLine="480" w:firstLineChars="200"/>
        <w:rPr>
          <w:rFonts w:hint="eastAsia" w:eastAsia="仿宋_GB2312" w:cs="Times New Roman"/>
          <w:bCs/>
          <w:color w:val="auto"/>
          <w:sz w:val="24"/>
          <w:lang w:eastAsia="zh-CN"/>
        </w:rPr>
      </w:pPr>
      <w:r>
        <w:rPr>
          <w:rFonts w:hint="eastAsia" w:eastAsia="仿宋_GB2312"/>
          <w:color w:val="auto"/>
          <w:szCs w:val="28"/>
          <w:lang w:val="en-US" w:eastAsia="zh-CN"/>
        </w:rPr>
        <w:t>在打井施工期间，布设 1 座泥浆池，泥浆池采用土质结构，长度 6m，宽度 6m，深度 2m，</w:t>
      </w:r>
      <w:r>
        <w:rPr>
          <w:rFonts w:hint="eastAsia" w:eastAsia="仿宋_GB2312"/>
          <w:color w:val="auto"/>
          <w:lang w:eastAsia="zh-CN"/>
        </w:rPr>
        <w:t>内铺土工布防护。</w:t>
      </w:r>
      <w:r>
        <w:rPr>
          <w:rFonts w:hint="eastAsia" w:eastAsia="仿宋_GB2312"/>
          <w:color w:val="auto"/>
          <w:szCs w:val="28"/>
          <w:lang w:val="en-US" w:eastAsia="zh-CN"/>
        </w:rPr>
        <w:t>打井完工后，将泥浆保护在池底，顶部覆土填埋。实施的时间为 2022年8月至 2022 年10月。</w:t>
      </w:r>
    </w:p>
    <w:p>
      <w:pPr>
        <w:spacing w:line="360" w:lineRule="auto"/>
        <w:jc w:val="both"/>
        <w:rPr>
          <w:rFonts w:eastAsia="仿宋_GB2312"/>
          <w:b/>
          <w:color w:val="auto"/>
          <w:szCs w:val="24"/>
        </w:rPr>
      </w:pPr>
      <w:r>
        <w:rPr>
          <w:rFonts w:eastAsia="仿宋_GB2312"/>
          <w:b/>
          <w:color w:val="auto"/>
          <w:szCs w:val="24"/>
        </w:rPr>
        <w:t>5.3.2水土保持防治措施工程量汇总</w:t>
      </w:r>
    </w:p>
    <w:p>
      <w:pPr>
        <w:spacing w:line="360" w:lineRule="auto"/>
        <w:ind w:firstLine="480" w:firstLineChars="200"/>
        <w:rPr>
          <w:rFonts w:eastAsia="仿宋_GB2312"/>
          <w:color w:val="auto"/>
        </w:rPr>
      </w:pPr>
      <w:r>
        <w:rPr>
          <w:rFonts w:eastAsia="仿宋_GB2312"/>
          <w:color w:val="auto"/>
        </w:rPr>
        <w:t>本项目水土保持措施汇总情况表详见表5-</w:t>
      </w:r>
      <w:r>
        <w:rPr>
          <w:rFonts w:hint="eastAsia" w:eastAsia="仿宋_GB2312"/>
          <w:color w:val="auto"/>
          <w:lang w:val="en-US" w:eastAsia="zh-CN"/>
        </w:rPr>
        <w:t>3</w:t>
      </w:r>
      <w:r>
        <w:rPr>
          <w:rFonts w:eastAsia="仿宋_GB2312"/>
          <w:color w:val="auto"/>
        </w:rPr>
        <w:t>。</w:t>
      </w:r>
    </w:p>
    <w:p>
      <w:pPr>
        <w:spacing w:line="360" w:lineRule="auto"/>
        <w:jc w:val="center"/>
        <w:rPr>
          <w:rFonts w:eastAsia="仿宋_GB2312"/>
          <w:b/>
          <w:color w:val="auto"/>
        </w:rPr>
      </w:pPr>
      <w:r>
        <w:rPr>
          <w:rFonts w:eastAsia="仿宋_GB2312"/>
          <w:b/>
          <w:color w:val="auto"/>
        </w:rPr>
        <w:t>表5-</w:t>
      </w:r>
      <w:r>
        <w:rPr>
          <w:rFonts w:hint="eastAsia" w:eastAsia="仿宋_GB2312"/>
          <w:b/>
          <w:color w:val="auto"/>
          <w:lang w:val="en-US" w:eastAsia="zh-CN"/>
        </w:rPr>
        <w:t>3</w:t>
      </w:r>
      <w:r>
        <w:rPr>
          <w:rFonts w:eastAsia="仿宋_GB2312"/>
          <w:b/>
          <w:color w:val="auto"/>
        </w:rPr>
        <w:t xml:space="preserve">    水土保持措施汇总情况表</w:t>
      </w:r>
    </w:p>
    <w:tbl>
      <w:tblPr>
        <w:tblStyle w:val="24"/>
        <w:tblW w:w="8732"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2037"/>
        <w:gridCol w:w="1851"/>
        <w:gridCol w:w="2160"/>
        <w:gridCol w:w="1080"/>
        <w:gridCol w:w="160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037" w:type="dxa"/>
            <w:tcBorders>
              <w:tl2br w:val="nil"/>
              <w:tr2bl w:val="nil"/>
            </w:tcBorders>
            <w:tcMar>
              <w:top w:w="15" w:type="dxa"/>
              <w:left w:w="15" w:type="dxa"/>
              <w:bottom w:w="0" w:type="dxa"/>
              <w:right w:w="15" w:type="dxa"/>
            </w:tcMar>
            <w:vAlign w:val="center"/>
          </w:tcPr>
          <w:p>
            <w:pPr>
              <w:jc w:val="center"/>
              <w:rPr>
                <w:rFonts w:eastAsia="仿宋_GB2312"/>
                <w:color w:val="auto"/>
                <w:sz w:val="21"/>
                <w:szCs w:val="21"/>
              </w:rPr>
            </w:pPr>
            <w:r>
              <w:rPr>
                <w:rFonts w:eastAsia="仿宋_GB2312"/>
                <w:color w:val="auto"/>
                <w:sz w:val="21"/>
                <w:szCs w:val="21"/>
              </w:rPr>
              <w:t>防治分区</w:t>
            </w:r>
          </w:p>
        </w:tc>
        <w:tc>
          <w:tcPr>
            <w:tcW w:w="1851" w:type="dxa"/>
            <w:tcBorders>
              <w:tl2br w:val="nil"/>
              <w:tr2bl w:val="nil"/>
            </w:tcBorders>
            <w:tcMar>
              <w:top w:w="15" w:type="dxa"/>
              <w:left w:w="15" w:type="dxa"/>
              <w:bottom w:w="0" w:type="dxa"/>
              <w:right w:w="15" w:type="dxa"/>
            </w:tcMar>
            <w:vAlign w:val="center"/>
          </w:tcPr>
          <w:p>
            <w:pPr>
              <w:jc w:val="center"/>
              <w:rPr>
                <w:rFonts w:eastAsia="仿宋_GB2312"/>
                <w:color w:val="auto"/>
                <w:sz w:val="21"/>
                <w:szCs w:val="21"/>
              </w:rPr>
            </w:pPr>
            <w:r>
              <w:rPr>
                <w:rFonts w:eastAsia="仿宋_GB2312"/>
                <w:color w:val="auto"/>
                <w:sz w:val="21"/>
                <w:szCs w:val="21"/>
              </w:rPr>
              <w:t>水保措施</w:t>
            </w:r>
          </w:p>
        </w:tc>
        <w:tc>
          <w:tcPr>
            <w:tcW w:w="2160" w:type="dxa"/>
            <w:tcBorders>
              <w:tl2br w:val="nil"/>
              <w:tr2bl w:val="nil"/>
            </w:tcBorders>
            <w:tcMar>
              <w:top w:w="15" w:type="dxa"/>
              <w:left w:w="15" w:type="dxa"/>
              <w:bottom w:w="0" w:type="dxa"/>
              <w:right w:w="15" w:type="dxa"/>
            </w:tcMar>
            <w:vAlign w:val="center"/>
          </w:tcPr>
          <w:p>
            <w:pPr>
              <w:jc w:val="center"/>
              <w:rPr>
                <w:rFonts w:eastAsia="仿宋_GB2312"/>
                <w:color w:val="auto"/>
                <w:sz w:val="21"/>
                <w:szCs w:val="21"/>
              </w:rPr>
            </w:pPr>
            <w:r>
              <w:rPr>
                <w:rFonts w:eastAsia="仿宋_GB2312"/>
                <w:color w:val="auto"/>
                <w:sz w:val="21"/>
                <w:szCs w:val="21"/>
              </w:rPr>
              <w:t>措施名称</w:t>
            </w:r>
          </w:p>
        </w:tc>
        <w:tc>
          <w:tcPr>
            <w:tcW w:w="1080" w:type="dxa"/>
            <w:tcBorders>
              <w:tl2br w:val="nil"/>
              <w:tr2bl w:val="nil"/>
            </w:tcBorders>
            <w:tcMar>
              <w:top w:w="15" w:type="dxa"/>
              <w:left w:w="15" w:type="dxa"/>
              <w:bottom w:w="0" w:type="dxa"/>
              <w:right w:w="15" w:type="dxa"/>
            </w:tcMar>
            <w:vAlign w:val="center"/>
          </w:tcPr>
          <w:p>
            <w:pPr>
              <w:jc w:val="center"/>
              <w:rPr>
                <w:rFonts w:eastAsia="仿宋_GB2312"/>
                <w:color w:val="auto"/>
                <w:sz w:val="21"/>
                <w:szCs w:val="21"/>
              </w:rPr>
            </w:pPr>
            <w:r>
              <w:rPr>
                <w:rFonts w:eastAsia="仿宋_GB2312"/>
                <w:color w:val="auto"/>
                <w:sz w:val="21"/>
                <w:szCs w:val="21"/>
              </w:rPr>
              <w:t>单位</w:t>
            </w:r>
          </w:p>
        </w:tc>
        <w:tc>
          <w:tcPr>
            <w:tcW w:w="1604" w:type="dxa"/>
            <w:tcBorders>
              <w:tl2br w:val="nil"/>
              <w:tr2bl w:val="nil"/>
            </w:tcBorders>
            <w:tcMar>
              <w:top w:w="15" w:type="dxa"/>
              <w:left w:w="15" w:type="dxa"/>
              <w:bottom w:w="0" w:type="dxa"/>
              <w:right w:w="15" w:type="dxa"/>
            </w:tcMar>
            <w:vAlign w:val="center"/>
          </w:tcPr>
          <w:p>
            <w:pPr>
              <w:jc w:val="center"/>
              <w:rPr>
                <w:rFonts w:eastAsia="仿宋_GB2312"/>
                <w:color w:val="auto"/>
                <w:sz w:val="21"/>
                <w:szCs w:val="21"/>
              </w:rPr>
            </w:pPr>
            <w:r>
              <w:rPr>
                <w:rFonts w:eastAsia="仿宋_GB2312"/>
                <w:color w:val="auto"/>
                <w:sz w:val="21"/>
                <w:szCs w:val="21"/>
              </w:rPr>
              <w:t>数量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037" w:type="dxa"/>
            <w:vMerge w:val="restart"/>
            <w:tcBorders>
              <w:tl2br w:val="nil"/>
              <w:tr2bl w:val="nil"/>
            </w:tcBorders>
            <w:vAlign w:val="center"/>
          </w:tcPr>
          <w:p>
            <w:pPr>
              <w:jc w:val="center"/>
              <w:rPr>
                <w:rFonts w:eastAsia="仿宋_GB2312"/>
                <w:color w:val="auto"/>
                <w:sz w:val="21"/>
                <w:szCs w:val="21"/>
              </w:rPr>
            </w:pPr>
            <w:r>
              <w:rPr>
                <w:rFonts w:eastAsia="仿宋_GB2312"/>
                <w:color w:val="auto"/>
                <w:sz w:val="21"/>
                <w:szCs w:val="21"/>
              </w:rPr>
              <w:t>工程建设区</w:t>
            </w:r>
          </w:p>
        </w:tc>
        <w:tc>
          <w:tcPr>
            <w:tcW w:w="1851" w:type="dxa"/>
            <w:vMerge w:val="restart"/>
            <w:tcBorders>
              <w:tl2br w:val="nil"/>
              <w:tr2bl w:val="nil"/>
            </w:tcBorders>
            <w:vAlign w:val="center"/>
          </w:tcPr>
          <w:p>
            <w:pPr>
              <w:jc w:val="center"/>
              <w:rPr>
                <w:rFonts w:eastAsia="仿宋_GB2312"/>
                <w:color w:val="auto"/>
                <w:sz w:val="21"/>
                <w:szCs w:val="21"/>
              </w:rPr>
            </w:pPr>
            <w:r>
              <w:rPr>
                <w:rFonts w:eastAsia="仿宋_GB2312"/>
                <w:color w:val="auto"/>
                <w:sz w:val="21"/>
                <w:szCs w:val="21"/>
              </w:rPr>
              <w:t>临时措施</w:t>
            </w:r>
          </w:p>
        </w:tc>
        <w:tc>
          <w:tcPr>
            <w:tcW w:w="2160" w:type="dxa"/>
            <w:tcBorders>
              <w:tl2br w:val="nil"/>
              <w:tr2bl w:val="nil"/>
            </w:tcBorders>
            <w:tcMar>
              <w:top w:w="15" w:type="dxa"/>
              <w:left w:w="15" w:type="dxa"/>
              <w:bottom w:w="0" w:type="dxa"/>
              <w:right w:w="15" w:type="dxa"/>
            </w:tcMar>
            <w:vAlign w:val="center"/>
          </w:tcPr>
          <w:p>
            <w:pPr>
              <w:jc w:val="center"/>
              <w:rPr>
                <w:rFonts w:ascii="Times New Roman" w:hAnsi="Times New Roman" w:eastAsia="仿宋_GB2312" w:cs="Times New Roman"/>
                <w:color w:val="auto"/>
                <w:sz w:val="21"/>
                <w:szCs w:val="21"/>
                <w:lang w:val="en-US" w:eastAsia="zh-CN" w:bidi="ar-SA"/>
              </w:rPr>
            </w:pPr>
            <w:r>
              <w:rPr>
                <w:rFonts w:eastAsia="仿宋_GB2312"/>
                <w:color w:val="auto"/>
                <w:sz w:val="21"/>
                <w:szCs w:val="21"/>
              </w:rPr>
              <w:t>密目网覆盖</w:t>
            </w:r>
            <w:r>
              <w:rPr>
                <w:rFonts w:hint="eastAsia" w:eastAsia="仿宋_GB2312"/>
                <w:color w:val="auto"/>
                <w:sz w:val="21"/>
                <w:szCs w:val="21"/>
              </w:rPr>
              <w:t>＊</w:t>
            </w:r>
          </w:p>
        </w:tc>
        <w:tc>
          <w:tcPr>
            <w:tcW w:w="1080" w:type="dxa"/>
            <w:tcBorders>
              <w:tl2br w:val="nil"/>
              <w:tr2bl w:val="nil"/>
            </w:tcBorders>
            <w:tcMar>
              <w:top w:w="15" w:type="dxa"/>
              <w:left w:w="15" w:type="dxa"/>
              <w:bottom w:w="0" w:type="dxa"/>
              <w:right w:w="15" w:type="dxa"/>
            </w:tcMar>
            <w:vAlign w:val="center"/>
          </w:tcPr>
          <w:p>
            <w:pPr>
              <w:jc w:val="center"/>
              <w:rPr>
                <w:rFonts w:ascii="Times New Roman" w:hAnsi="Times New Roman" w:eastAsia="仿宋_GB2312" w:cs="Times New Roman"/>
                <w:color w:val="auto"/>
                <w:sz w:val="21"/>
                <w:szCs w:val="21"/>
                <w:lang w:val="en-US" w:eastAsia="zh-CN" w:bidi="ar-SA"/>
              </w:rPr>
            </w:pPr>
            <w:r>
              <w:rPr>
                <w:rFonts w:eastAsia="仿宋_GB2312"/>
                <w:color w:val="auto"/>
                <w:sz w:val="21"/>
                <w:szCs w:val="21"/>
              </w:rPr>
              <w:t>m</w:t>
            </w:r>
            <w:r>
              <w:rPr>
                <w:rFonts w:eastAsia="仿宋_GB2312"/>
                <w:color w:val="auto"/>
                <w:sz w:val="21"/>
                <w:szCs w:val="21"/>
                <w:vertAlign w:val="superscript"/>
              </w:rPr>
              <w:t>2</w:t>
            </w:r>
          </w:p>
        </w:tc>
        <w:tc>
          <w:tcPr>
            <w:tcW w:w="1604" w:type="dxa"/>
            <w:tcBorders>
              <w:tl2br w:val="nil"/>
              <w:tr2bl w:val="nil"/>
            </w:tcBorders>
            <w:tcMar>
              <w:top w:w="15" w:type="dxa"/>
              <w:left w:w="15" w:type="dxa"/>
              <w:bottom w:w="0" w:type="dxa"/>
              <w:right w:w="15" w:type="dxa"/>
            </w:tcMar>
            <w:vAlign w:val="center"/>
          </w:tcPr>
          <w:p>
            <w:pPr>
              <w:jc w:val="center"/>
              <w:rPr>
                <w:rFonts w:ascii="Times New Roman" w:hAnsi="Times New Roman" w:eastAsia="仿宋_GB2312" w:cs="Times New Roman"/>
                <w:color w:val="auto"/>
                <w:sz w:val="21"/>
                <w:szCs w:val="21"/>
                <w:lang w:val="en-US" w:eastAsia="zh-CN" w:bidi="ar-SA"/>
              </w:rPr>
            </w:pPr>
            <w:r>
              <w:rPr>
                <w:rFonts w:hint="eastAsia" w:eastAsia="仿宋_GB2312"/>
                <w:color w:val="auto"/>
                <w:sz w:val="21"/>
                <w:szCs w:val="21"/>
                <w:lang w:val="en-US" w:eastAsia="zh-CN"/>
              </w:rPr>
              <w:t>3</w:t>
            </w:r>
            <w:r>
              <w:rPr>
                <w:rFonts w:hint="eastAsia" w:eastAsia="仿宋_GB2312"/>
                <w:color w:val="auto"/>
                <w:sz w:val="21"/>
                <w:szCs w:val="21"/>
              </w:rPr>
              <w:t>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037" w:type="dxa"/>
            <w:vMerge w:val="continue"/>
            <w:tcBorders>
              <w:tl2br w:val="nil"/>
              <w:tr2bl w:val="nil"/>
            </w:tcBorders>
            <w:vAlign w:val="center"/>
          </w:tcPr>
          <w:p>
            <w:pPr>
              <w:jc w:val="center"/>
              <w:rPr>
                <w:rFonts w:eastAsia="仿宋_GB2312"/>
                <w:color w:val="auto"/>
                <w:sz w:val="21"/>
                <w:szCs w:val="21"/>
              </w:rPr>
            </w:pPr>
            <w:bookmarkStart w:id="50" w:name="_Toc31146"/>
          </w:p>
        </w:tc>
        <w:tc>
          <w:tcPr>
            <w:tcW w:w="1851" w:type="dxa"/>
            <w:vMerge w:val="continue"/>
            <w:tcBorders>
              <w:tl2br w:val="nil"/>
              <w:tr2bl w:val="nil"/>
            </w:tcBorders>
            <w:vAlign w:val="center"/>
          </w:tcPr>
          <w:p>
            <w:pPr>
              <w:jc w:val="center"/>
              <w:rPr>
                <w:rFonts w:eastAsia="仿宋_GB2312"/>
                <w:color w:val="auto"/>
                <w:sz w:val="21"/>
                <w:szCs w:val="21"/>
              </w:rPr>
            </w:pPr>
          </w:p>
        </w:tc>
        <w:tc>
          <w:tcPr>
            <w:tcW w:w="2160" w:type="dxa"/>
            <w:tcBorders>
              <w:tl2br w:val="nil"/>
              <w:tr2bl w:val="nil"/>
            </w:tcBorders>
            <w:tcMar>
              <w:top w:w="15" w:type="dxa"/>
              <w:left w:w="15" w:type="dxa"/>
              <w:bottom w:w="0" w:type="dxa"/>
              <w:right w:w="15" w:type="dxa"/>
            </w:tcMar>
            <w:vAlign w:val="center"/>
          </w:tcPr>
          <w:p>
            <w:pPr>
              <w:jc w:val="center"/>
              <w:rPr>
                <w:rFonts w:hint="eastAsia" w:eastAsia="仿宋_GB2312"/>
                <w:color w:val="auto"/>
                <w:sz w:val="21"/>
                <w:szCs w:val="21"/>
                <w:lang w:val="en-US" w:eastAsia="zh-CN"/>
              </w:rPr>
            </w:pPr>
            <w:r>
              <w:rPr>
                <w:rFonts w:hint="eastAsia" w:eastAsia="仿宋_GB2312"/>
                <w:color w:val="auto"/>
                <w:sz w:val="21"/>
                <w:szCs w:val="21"/>
                <w:lang w:val="en-US" w:eastAsia="zh-CN"/>
              </w:rPr>
              <w:t>泥浆池</w:t>
            </w:r>
            <w:r>
              <w:rPr>
                <w:rFonts w:hint="eastAsia" w:eastAsia="仿宋_GB2312"/>
                <w:color w:val="auto"/>
                <w:sz w:val="21"/>
                <w:szCs w:val="21"/>
              </w:rPr>
              <w:t>＊</w:t>
            </w:r>
          </w:p>
        </w:tc>
        <w:tc>
          <w:tcPr>
            <w:tcW w:w="1080" w:type="dxa"/>
            <w:tcBorders>
              <w:tl2br w:val="nil"/>
              <w:tr2bl w:val="nil"/>
            </w:tcBorders>
            <w:tcMar>
              <w:top w:w="15" w:type="dxa"/>
              <w:left w:w="15" w:type="dxa"/>
              <w:bottom w:w="0" w:type="dxa"/>
              <w:right w:w="15" w:type="dxa"/>
            </w:tcMar>
            <w:vAlign w:val="center"/>
          </w:tcPr>
          <w:p>
            <w:pPr>
              <w:jc w:val="center"/>
              <w:rPr>
                <w:rFonts w:hint="eastAsia" w:eastAsia="仿宋_GB2312"/>
                <w:color w:val="auto"/>
                <w:sz w:val="21"/>
                <w:szCs w:val="21"/>
                <w:lang w:val="en-US" w:eastAsia="zh-CN"/>
              </w:rPr>
            </w:pPr>
            <w:r>
              <w:rPr>
                <w:rFonts w:hint="eastAsia" w:eastAsia="仿宋_GB2312"/>
                <w:color w:val="auto"/>
                <w:sz w:val="21"/>
                <w:szCs w:val="21"/>
                <w:lang w:val="en-US" w:eastAsia="zh-CN"/>
              </w:rPr>
              <w:t>座</w:t>
            </w:r>
          </w:p>
        </w:tc>
        <w:tc>
          <w:tcPr>
            <w:tcW w:w="1604" w:type="dxa"/>
            <w:tcBorders>
              <w:tl2br w:val="nil"/>
              <w:tr2bl w:val="nil"/>
            </w:tcBorders>
            <w:tcMar>
              <w:top w:w="15" w:type="dxa"/>
              <w:left w:w="15" w:type="dxa"/>
              <w:bottom w:w="0" w:type="dxa"/>
              <w:right w:w="15" w:type="dxa"/>
            </w:tcMar>
            <w:vAlign w:val="center"/>
          </w:tcPr>
          <w:p>
            <w:pPr>
              <w:jc w:val="center"/>
              <w:rPr>
                <w:rFonts w:hint="default" w:eastAsia="仿宋_GB2312"/>
                <w:color w:val="auto"/>
                <w:sz w:val="21"/>
                <w:szCs w:val="21"/>
                <w:lang w:val="en-US" w:eastAsia="zh-CN"/>
              </w:rPr>
            </w:pPr>
            <w:r>
              <w:rPr>
                <w:rFonts w:hint="eastAsia" w:eastAsia="仿宋_GB2312"/>
                <w:color w:val="auto"/>
                <w:sz w:val="21"/>
                <w:szCs w:val="21"/>
                <w:lang w:val="en-US" w:eastAsia="zh-CN"/>
              </w:rPr>
              <w:t>1</w:t>
            </w:r>
          </w:p>
        </w:tc>
      </w:tr>
    </w:tbl>
    <w:p>
      <w:pPr>
        <w:pStyle w:val="5"/>
        <w:spacing w:before="0" w:after="0" w:line="360" w:lineRule="auto"/>
        <w:rPr>
          <w:rFonts w:ascii="Times New Roman" w:hAnsi="Times New Roman" w:eastAsia="仿宋_GB2312"/>
          <w:b w:val="0"/>
          <w:bCs w:val="0"/>
          <w:color w:val="auto"/>
          <w:sz w:val="21"/>
          <w:szCs w:val="21"/>
        </w:rPr>
      </w:pPr>
      <w:r>
        <w:rPr>
          <w:rFonts w:hint="eastAsia" w:ascii="Times New Roman" w:hAnsi="Times New Roman" w:eastAsia="仿宋_GB2312"/>
          <w:b w:val="0"/>
          <w:bCs w:val="0"/>
          <w:color w:val="auto"/>
          <w:sz w:val="21"/>
          <w:szCs w:val="21"/>
        </w:rPr>
        <w:t>注：带＊为已实施的水土保持措施</w:t>
      </w:r>
      <w:bookmarkEnd w:id="50"/>
    </w:p>
    <w:p>
      <w:pPr>
        <w:pStyle w:val="5"/>
        <w:spacing w:before="0" w:after="0" w:line="360" w:lineRule="auto"/>
        <w:rPr>
          <w:rFonts w:ascii="Times New Roman" w:hAnsi="Times New Roman" w:eastAsia="仿宋_GB2312"/>
          <w:color w:val="auto"/>
          <w:szCs w:val="24"/>
        </w:rPr>
      </w:pPr>
      <w:bookmarkStart w:id="51" w:name="_Toc2930"/>
      <w:r>
        <w:rPr>
          <w:rFonts w:ascii="Times New Roman" w:hAnsi="Times New Roman" w:eastAsia="仿宋_GB2312"/>
          <w:color w:val="auto"/>
          <w:sz w:val="28"/>
          <w:szCs w:val="28"/>
        </w:rPr>
        <w:t>5.4施工要求</w:t>
      </w:r>
      <w:bookmarkEnd w:id="51"/>
    </w:p>
    <w:p>
      <w:pPr>
        <w:spacing w:line="360" w:lineRule="auto"/>
        <w:jc w:val="both"/>
        <w:rPr>
          <w:rFonts w:eastAsia="仿宋_GB2312"/>
          <w:b/>
          <w:color w:val="auto"/>
          <w:szCs w:val="24"/>
        </w:rPr>
      </w:pPr>
      <w:r>
        <w:rPr>
          <w:rFonts w:eastAsia="仿宋_GB2312"/>
          <w:b/>
          <w:color w:val="auto"/>
          <w:szCs w:val="24"/>
        </w:rPr>
        <w:t>5.4.1施工组织形式</w:t>
      </w:r>
    </w:p>
    <w:p>
      <w:pPr>
        <w:spacing w:line="360" w:lineRule="auto"/>
        <w:ind w:firstLine="480" w:firstLineChars="200"/>
        <w:jc w:val="both"/>
        <w:rPr>
          <w:rFonts w:hint="eastAsia" w:eastAsia="仿宋_GB2312"/>
          <w:color w:val="auto"/>
          <w:szCs w:val="24"/>
          <w:lang w:eastAsia="zh-CN"/>
        </w:rPr>
      </w:pPr>
      <w:r>
        <w:rPr>
          <w:rFonts w:eastAsia="仿宋_GB2312"/>
          <w:color w:val="auto"/>
          <w:szCs w:val="24"/>
        </w:rPr>
        <w:t>水土保持防治措施是对工程建设过程中可能产生的水土流失采用预防和治理措施，是对主体工程的补充，水土保持防治工程纳入主体工程，实行项目法人制，招标投标制及项目监理制，对本项目的水土保持工程进行招标，签订施工合同，按照水土保持工程施工合同完成防治工程</w:t>
      </w:r>
      <w:r>
        <w:rPr>
          <w:rFonts w:hint="eastAsia" w:eastAsia="仿宋_GB2312"/>
          <w:color w:val="auto"/>
          <w:szCs w:val="24"/>
          <w:lang w:eastAsia="zh-CN"/>
        </w:rPr>
        <w:t>。</w:t>
      </w:r>
    </w:p>
    <w:p>
      <w:pPr>
        <w:spacing w:line="360" w:lineRule="auto"/>
        <w:ind w:firstLine="480" w:firstLineChars="200"/>
        <w:jc w:val="both"/>
        <w:rPr>
          <w:rFonts w:eastAsia="仿宋_GB2312"/>
          <w:color w:val="auto"/>
          <w:szCs w:val="24"/>
        </w:rPr>
      </w:pPr>
    </w:p>
    <w:p>
      <w:pPr>
        <w:spacing w:line="360" w:lineRule="auto"/>
        <w:jc w:val="both"/>
        <w:rPr>
          <w:rFonts w:eastAsia="仿宋_GB2312"/>
          <w:b/>
          <w:color w:val="auto"/>
          <w:szCs w:val="24"/>
        </w:rPr>
      </w:pPr>
      <w:r>
        <w:rPr>
          <w:rFonts w:eastAsia="仿宋_GB2312"/>
          <w:b/>
          <w:color w:val="auto"/>
          <w:szCs w:val="24"/>
        </w:rPr>
        <w:t>5.4.2物资采购</w:t>
      </w:r>
    </w:p>
    <w:p>
      <w:pPr>
        <w:spacing w:line="360" w:lineRule="auto"/>
        <w:ind w:firstLine="480" w:firstLineChars="200"/>
        <w:rPr>
          <w:rFonts w:eastAsia="仿宋_GB2312"/>
          <w:b/>
          <w:color w:val="auto"/>
          <w:szCs w:val="24"/>
        </w:rPr>
      </w:pPr>
      <w:r>
        <w:rPr>
          <w:rFonts w:eastAsia="仿宋_GB2312"/>
          <w:color w:val="auto"/>
          <w:szCs w:val="24"/>
        </w:rPr>
        <w:t>水土保持防治工程所需各种材料就近购买。</w:t>
      </w:r>
    </w:p>
    <w:p>
      <w:pPr>
        <w:spacing w:line="360" w:lineRule="auto"/>
        <w:jc w:val="both"/>
        <w:rPr>
          <w:rFonts w:eastAsia="仿宋_GB2312"/>
          <w:b/>
          <w:color w:val="auto"/>
          <w:szCs w:val="24"/>
        </w:rPr>
      </w:pPr>
      <w:r>
        <w:rPr>
          <w:rFonts w:eastAsia="仿宋_GB2312"/>
          <w:b/>
          <w:color w:val="auto"/>
          <w:szCs w:val="24"/>
        </w:rPr>
        <w:t>5.4.3施工条件</w:t>
      </w:r>
    </w:p>
    <w:p>
      <w:pPr>
        <w:snapToGrid w:val="0"/>
        <w:spacing w:line="360" w:lineRule="auto"/>
        <w:ind w:firstLine="480" w:firstLineChars="200"/>
        <w:rPr>
          <w:color w:val="auto"/>
        </w:rPr>
      </w:pPr>
      <w:r>
        <w:rPr>
          <w:rFonts w:eastAsia="仿宋_GB2312"/>
          <w:color w:val="auto"/>
          <w:szCs w:val="24"/>
        </w:rPr>
        <w:t>水土保持工程与主体工程相衔接，场地内外的交通便利可以满足施工材料运输的需要。水土保持工程施工</w:t>
      </w:r>
      <w:r>
        <w:rPr>
          <w:rFonts w:eastAsia="仿宋_GB2312"/>
          <w:color w:val="auto"/>
          <w:spacing w:val="-6"/>
          <w:szCs w:val="24"/>
        </w:rPr>
        <w:t>用水和用电量相对较小，施工用水用电可由主体工程供水供电系统统一供应</w:t>
      </w:r>
      <w:r>
        <w:rPr>
          <w:rFonts w:eastAsia="仿宋_GB2312"/>
          <w:color w:val="auto"/>
          <w:szCs w:val="24"/>
        </w:rPr>
        <w:t>。</w:t>
      </w:r>
    </w:p>
    <w:p>
      <w:pPr>
        <w:spacing w:line="360" w:lineRule="auto"/>
        <w:jc w:val="both"/>
        <w:rPr>
          <w:rFonts w:eastAsia="仿宋_GB2312"/>
          <w:b/>
          <w:color w:val="auto"/>
          <w:szCs w:val="24"/>
        </w:rPr>
      </w:pPr>
      <w:r>
        <w:rPr>
          <w:rFonts w:eastAsia="仿宋_GB2312"/>
          <w:b/>
          <w:color w:val="auto"/>
          <w:szCs w:val="24"/>
        </w:rPr>
        <w:t>5.4.</w:t>
      </w:r>
      <w:r>
        <w:rPr>
          <w:rFonts w:hint="eastAsia" w:eastAsia="仿宋_GB2312"/>
          <w:b/>
          <w:color w:val="auto"/>
          <w:szCs w:val="24"/>
          <w:lang w:val="en-US" w:eastAsia="zh-CN"/>
        </w:rPr>
        <w:t>4</w:t>
      </w:r>
      <w:r>
        <w:rPr>
          <w:rFonts w:eastAsia="仿宋_GB2312"/>
          <w:b/>
          <w:color w:val="auto"/>
          <w:szCs w:val="24"/>
        </w:rPr>
        <w:t>施工进度</w:t>
      </w:r>
    </w:p>
    <w:p>
      <w:pPr>
        <w:spacing w:line="360" w:lineRule="auto"/>
        <w:ind w:firstLine="480" w:firstLineChars="200"/>
        <w:rPr>
          <w:rFonts w:eastAsia="仿宋_GB2312"/>
          <w:b/>
          <w:bCs/>
          <w:color w:val="auto"/>
        </w:rPr>
      </w:pPr>
      <w:r>
        <w:rPr>
          <w:rFonts w:eastAsia="仿宋_GB2312"/>
          <w:color w:val="auto"/>
        </w:rPr>
        <w:t>根据主体工程施工进度安排，其建设期为</w:t>
      </w:r>
      <w:r>
        <w:rPr>
          <w:rFonts w:hint="eastAsia" w:eastAsia="仿宋_GB2312"/>
          <w:color w:val="auto"/>
          <w:lang w:val="en-US" w:eastAsia="zh-CN"/>
        </w:rPr>
        <w:t>9</w:t>
      </w:r>
      <w:r>
        <w:rPr>
          <w:rFonts w:eastAsia="仿宋_GB2312"/>
          <w:color w:val="auto"/>
        </w:rPr>
        <w:t>个月，本项目</w:t>
      </w:r>
      <w:r>
        <w:rPr>
          <w:rFonts w:hint="eastAsia" w:eastAsia="仿宋_GB2312"/>
          <w:color w:val="auto"/>
        </w:rPr>
        <w:t>已于</w:t>
      </w:r>
      <w:r>
        <w:rPr>
          <w:rFonts w:eastAsia="仿宋_GB2312"/>
          <w:color w:val="auto"/>
        </w:rPr>
        <w:t>202</w:t>
      </w:r>
      <w:r>
        <w:rPr>
          <w:rFonts w:hint="eastAsia" w:eastAsia="仿宋_GB2312"/>
          <w:color w:val="auto"/>
          <w:lang w:val="en-US" w:eastAsia="zh-CN"/>
        </w:rPr>
        <w:t>2年8</w:t>
      </w:r>
      <w:r>
        <w:rPr>
          <w:rFonts w:eastAsia="仿宋_GB2312"/>
          <w:color w:val="auto"/>
        </w:rPr>
        <w:t>月开工，202</w:t>
      </w:r>
      <w:r>
        <w:rPr>
          <w:rFonts w:hint="eastAsia" w:eastAsia="仿宋_GB2312"/>
          <w:color w:val="auto"/>
          <w:lang w:val="en-US" w:eastAsia="zh-CN"/>
        </w:rPr>
        <w:t>3</w:t>
      </w:r>
      <w:r>
        <w:rPr>
          <w:rFonts w:eastAsia="仿宋_GB2312"/>
          <w:color w:val="auto"/>
        </w:rPr>
        <w:t>年</w:t>
      </w:r>
      <w:r>
        <w:rPr>
          <w:rFonts w:hint="eastAsia" w:eastAsia="仿宋_GB2312"/>
          <w:color w:val="auto"/>
          <w:lang w:val="en-US" w:eastAsia="zh-CN"/>
        </w:rPr>
        <w:t>4</w:t>
      </w:r>
      <w:r>
        <w:rPr>
          <w:rFonts w:eastAsia="仿宋_GB2312"/>
          <w:color w:val="auto"/>
        </w:rPr>
        <w:t>月完工。水土保持措施实施进度图见图5-2。</w:t>
      </w:r>
    </w:p>
    <w:p>
      <w:pPr>
        <w:pStyle w:val="65"/>
        <w:ind w:firstLine="0" w:firstLineChars="0"/>
        <w:rPr>
          <w:rFonts w:ascii="Times New Roman" w:hAnsi="Times New Roman" w:eastAsia="仿宋_GB2312" w:cs="Times New Roman"/>
          <w:b w:val="0"/>
          <w:color w:val="auto"/>
          <w:kern w:val="0"/>
          <w:sz w:val="10"/>
          <w:szCs w:val="10"/>
        </w:rPr>
      </w:pPr>
    </w:p>
    <w:p>
      <w:pPr>
        <w:pStyle w:val="65"/>
        <w:ind w:firstLine="0" w:firstLineChars="0"/>
        <w:rPr>
          <w:rFonts w:ascii="Times New Roman" w:hAnsi="Times New Roman" w:eastAsia="仿宋_GB2312" w:cs="Times New Roman"/>
          <w:b w:val="0"/>
          <w:color w:val="auto"/>
          <w:kern w:val="0"/>
          <w:sz w:val="10"/>
          <w:szCs w:val="10"/>
        </w:rPr>
      </w:pPr>
    </w:p>
    <w:p>
      <w:pPr>
        <w:pStyle w:val="65"/>
        <w:ind w:firstLine="0" w:firstLineChars="0"/>
        <w:rPr>
          <w:rFonts w:ascii="Times New Roman" w:hAnsi="Times New Roman" w:eastAsia="仿宋_GB2312" w:cs="Times New Roman"/>
          <w:b w:val="0"/>
          <w:color w:val="auto"/>
          <w:kern w:val="0"/>
          <w:sz w:val="10"/>
          <w:szCs w:val="10"/>
        </w:rPr>
      </w:pPr>
    </w:p>
    <w:p>
      <w:pPr>
        <w:pStyle w:val="65"/>
        <w:ind w:firstLine="0" w:firstLineChars="0"/>
        <w:rPr>
          <w:rFonts w:ascii="Times New Roman" w:hAnsi="Times New Roman" w:eastAsia="仿宋_GB2312" w:cs="Times New Roman"/>
          <w:b w:val="0"/>
          <w:color w:val="auto"/>
          <w:kern w:val="0"/>
          <w:sz w:val="10"/>
          <w:szCs w:val="10"/>
        </w:rPr>
      </w:pPr>
    </w:p>
    <w:p>
      <w:pPr>
        <w:pStyle w:val="65"/>
        <w:ind w:firstLine="0" w:firstLineChars="0"/>
        <w:rPr>
          <w:rFonts w:ascii="Times New Roman" w:hAnsi="Times New Roman" w:eastAsia="仿宋_GB2312" w:cs="Times New Roman"/>
          <w:b w:val="0"/>
          <w:color w:val="auto"/>
          <w:kern w:val="0"/>
          <w:sz w:val="10"/>
          <w:szCs w:val="10"/>
        </w:rPr>
        <w:sectPr>
          <w:headerReference r:id="rId17" w:type="default"/>
          <w:footerReference r:id="rId18" w:type="default"/>
          <w:pgSz w:w="11906" w:h="16838"/>
          <w:pgMar w:top="1440" w:right="1797" w:bottom="1440" w:left="1797" w:header="851" w:footer="992" w:gutter="0"/>
          <w:pgNumType w:fmt="decimal"/>
          <w:cols w:space="720" w:num="1"/>
          <w:docGrid w:linePitch="312" w:charSpace="0"/>
        </w:sectPr>
      </w:pPr>
    </w:p>
    <w:tbl>
      <w:tblPr>
        <w:tblStyle w:val="24"/>
        <w:tblW w:w="1416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031"/>
        <w:gridCol w:w="1037"/>
        <w:gridCol w:w="496"/>
        <w:gridCol w:w="519"/>
        <w:gridCol w:w="564"/>
        <w:gridCol w:w="550"/>
        <w:gridCol w:w="530"/>
        <w:gridCol w:w="522"/>
        <w:gridCol w:w="522"/>
        <w:gridCol w:w="507"/>
        <w:gridCol w:w="505"/>
        <w:gridCol w:w="499"/>
        <w:gridCol w:w="496"/>
        <w:gridCol w:w="499"/>
        <w:gridCol w:w="485"/>
        <w:gridCol w:w="471"/>
        <w:gridCol w:w="465"/>
        <w:gridCol w:w="448"/>
        <w:gridCol w:w="445"/>
        <w:gridCol w:w="439"/>
        <w:gridCol w:w="437"/>
        <w:gridCol w:w="434"/>
        <w:gridCol w:w="420"/>
        <w:gridCol w:w="417"/>
        <w:gridCol w:w="411"/>
        <w:gridCol w:w="5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89" w:type="dxa"/>
            <w:vMerge w:val="restart"/>
            <w:vAlign w:val="center"/>
          </w:tcPr>
          <w:p>
            <w:pPr>
              <w:spacing w:line="240" w:lineRule="auto"/>
              <w:jc w:val="center"/>
              <w:rPr>
                <w:rFonts w:eastAsia="仿宋_GB2312"/>
                <w:color w:val="auto"/>
                <w:sz w:val="18"/>
                <w:szCs w:val="18"/>
              </w:rPr>
            </w:pPr>
            <w:r>
              <w:rPr>
                <w:rFonts w:eastAsia="仿宋_GB2312"/>
                <w:color w:val="auto"/>
                <w:sz w:val="18"/>
                <w:szCs w:val="18"/>
              </w:rPr>
              <w:t>防治</w:t>
            </w:r>
          </w:p>
          <w:p>
            <w:pPr>
              <w:spacing w:line="240" w:lineRule="auto"/>
              <w:jc w:val="center"/>
              <w:rPr>
                <w:rFonts w:eastAsia="仿宋_GB2312"/>
                <w:color w:val="auto"/>
                <w:sz w:val="18"/>
                <w:szCs w:val="18"/>
              </w:rPr>
            </w:pPr>
            <w:r>
              <w:rPr>
                <w:rFonts w:eastAsia="仿宋_GB2312"/>
                <w:color w:val="auto"/>
                <w:sz w:val="18"/>
                <w:szCs w:val="18"/>
              </w:rPr>
              <w:t>分区</w:t>
            </w:r>
          </w:p>
        </w:tc>
        <w:tc>
          <w:tcPr>
            <w:tcW w:w="2068" w:type="dxa"/>
            <w:gridSpan w:val="2"/>
            <w:vMerge w:val="restart"/>
            <w:vAlign w:val="center"/>
          </w:tcPr>
          <w:p>
            <w:pPr>
              <w:spacing w:line="240" w:lineRule="auto"/>
              <w:ind w:left="1080" w:hanging="1080" w:hangingChars="600"/>
              <w:rPr>
                <w:rFonts w:eastAsia="仿宋_GB2312"/>
                <w:color w:val="auto"/>
                <w:sz w:val="18"/>
                <w:szCs w:val="18"/>
              </w:rPr>
            </w:pPr>
            <w:r>
              <w:rPr>
                <w:color w:val="auto"/>
                <w:sz w:val="18"/>
                <w:szCs w:val="18"/>
              </w:rPr>
              <mc:AlternateContent>
                <mc:Choice Requires="wps">
                  <w:drawing>
                    <wp:anchor distT="0" distB="0" distL="114300" distR="114300" simplePos="0" relativeHeight="251673600" behindDoc="0" locked="0" layoutInCell="1" allowOverlap="1">
                      <wp:simplePos x="0" y="0"/>
                      <wp:positionH relativeFrom="column">
                        <wp:posOffset>-55880</wp:posOffset>
                      </wp:positionH>
                      <wp:positionV relativeFrom="paragraph">
                        <wp:posOffset>11430</wp:posOffset>
                      </wp:positionV>
                      <wp:extent cx="979805" cy="581660"/>
                      <wp:effectExtent l="2540" t="3810" r="8255" b="11430"/>
                      <wp:wrapNone/>
                      <wp:docPr id="91" name="直线 122"/>
                      <wp:cNvGraphicFramePr/>
                      <a:graphic xmlns:a="http://schemas.openxmlformats.org/drawingml/2006/main">
                        <a:graphicData uri="http://schemas.microsoft.com/office/word/2010/wordprocessingShape">
                          <wps:wsp>
                            <wps:cNvCnPr/>
                            <wps:spPr>
                              <a:xfrm>
                                <a:off x="0" y="0"/>
                                <a:ext cx="979805" cy="58166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22" o:spid="_x0000_s1026" o:spt="20" style="position:absolute;left:0pt;margin-left:-4.4pt;margin-top:0.9pt;height:45.8pt;width:77.15pt;z-index:251673600;mso-width-relative:page;mso-height-relative:page;" filled="f" stroked="t" coordsize="21600,21600" o:gfxdata="UEsDBAoAAAAAAIdO4kAAAAAAAAAAAAAAAAAEAAAAZHJzL1BLAwQUAAAACACHTuJACzY35tUAAAAH&#10;AQAADwAAAGRycy9kb3ducmV2LnhtbE2OS0/DMBCE70j8B2uRuFSt3RcqIU4PQG5cKCCu23hJIuJ1&#10;GrsP+PVsT+W0mp3RzJevT75TBxpiG9jCdGJAEVfBtVxbeH8rxytQMSE77AKThR+KsC6ur3LMXDjy&#10;Kx02qVZSwjFDC01KfaZ1rBryGCehJxbvKwwek8ih1m7Ao5T7Ts+MudMeW5aFBnt6bKj63uy9hVh+&#10;0K78HVUj8zmvA812Ty/PaO3tzdQ8gEp0SpcwnPEFHQph2oY9u6g6C+OVkCf5yznbi+US1NbC/XwB&#10;usj1f/7iD1BLAwQUAAAACACHTuJAKrVmVfMBAADwAwAADgAAAGRycy9lMm9Eb2MueG1srVNLjtsw&#10;DN0X6B0E7RvHAZImRpxZTDrdFG2AtgdgZNkWoB9EJU7O0mt01U2PM9coJafpdGaTxXghUyL5yPdE&#10;re9ORrOjDKicrXk5mXImrXCNsl3Nv397eLfkDCPYBrSzsuZnifxu8/bNevCVnLne6UYGRiAWq8HX&#10;vI/RV0WBopcGcOK8tORsXTAQaRu6ogkwELrRxWw6XRSDC40PTkhEOt2OTn5BDLcAurZVQm6dOBhp&#10;44gapIZIlLBXHvkmd9u2UsQvbYsyMl1zYhrzSkXI3qe12Kyh6gL4XolLC3BLC884GVCWil6hthCB&#10;HYJ6AWWUCA5dGyfCmWIkkhUhFuX0mTZfe/AycyGp0V9Fx9eDFZ+Pu8BUU/NVyZkFQzf++OPn46/f&#10;rJzNkjyDx4qi7u0uXHbodyFxPbXBpD+xYKcs6fkqqTxFJuhw9X61nM45E+SaL8vFIkte/Ev2AeNH&#10;6QxLRs21sokxVHD8hJEKUujfkHSsLRsIdT5LmEDj19K1k2k8UUDb5Vx0WjUPSuuUgaHb3+vAjpBG&#10;IH+JFuH+F5aKbAH7MS67xuHoJTQfbMPi2ZM2lt4ETy0Y2XCmJT2hZBEgVBGUviWSSmubEmQe0AvP&#10;pPOobLL2rjnTxRx8UF1PupS55+ShQcjdX4Y2TdrTPdlPH+rm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s2N+bVAAAABwEAAA8AAAAAAAAAAQAgAAAAIgAAAGRycy9kb3ducmV2LnhtbFBLAQIUABQA&#10;AAAIAIdO4kAqtWZV8wEAAPADAAAOAAAAAAAAAAEAIAAAACQBAABkcnMvZTJvRG9jLnhtbFBLBQYA&#10;AAAABgAGAFkBAACJBQAAAAA=&#10;">
                      <v:fill on="f" focussize="0,0"/>
                      <v:stroke color="#000000" joinstyle="round"/>
                      <v:imagedata o:title=""/>
                      <o:lock v:ext="edit" aspectratio="f"/>
                    </v:line>
                  </w:pict>
                </mc:Fallback>
              </mc:AlternateContent>
            </w:r>
            <w:r>
              <w:rPr>
                <w:color w:val="auto"/>
                <w:sz w:val="18"/>
                <w:szCs w:val="18"/>
              </w:rPr>
              <mc:AlternateContent>
                <mc:Choice Requires="wps">
                  <w:drawing>
                    <wp:anchor distT="0" distB="0" distL="114300" distR="114300" simplePos="0" relativeHeight="251672576" behindDoc="0" locked="0" layoutInCell="1" allowOverlap="1">
                      <wp:simplePos x="0" y="0"/>
                      <wp:positionH relativeFrom="column">
                        <wp:posOffset>-55880</wp:posOffset>
                      </wp:positionH>
                      <wp:positionV relativeFrom="paragraph">
                        <wp:posOffset>11430</wp:posOffset>
                      </wp:positionV>
                      <wp:extent cx="1190625" cy="590550"/>
                      <wp:effectExtent l="0" t="0" r="0" b="0"/>
                      <wp:wrapNone/>
                      <wp:docPr id="90" name="直线 121"/>
                      <wp:cNvGraphicFramePr/>
                      <a:graphic xmlns:a="http://schemas.openxmlformats.org/drawingml/2006/main">
                        <a:graphicData uri="http://schemas.microsoft.com/office/word/2010/wordprocessingShape">
                          <wps:wsp>
                            <wps:cNvCnPr/>
                            <wps:spPr>
                              <a:xfrm>
                                <a:off x="0" y="0"/>
                                <a:ext cx="1190625" cy="590550"/>
                              </a:xfrm>
                              <a:prstGeom prst="line">
                                <a:avLst/>
                              </a:prstGeom>
                              <a:ln>
                                <a:noFill/>
                              </a:ln>
                              <a:effectLst/>
                            </wps:spPr>
                            <wps:bodyPr upright="1"/>
                          </wps:wsp>
                        </a:graphicData>
                      </a:graphic>
                    </wp:anchor>
                  </w:drawing>
                </mc:Choice>
                <mc:Fallback>
                  <w:pict>
                    <v:line id="直线 121" o:spid="_x0000_s1026" o:spt="20" style="position:absolute;left:0pt;margin-left:-4.4pt;margin-top:0.9pt;height:46.5pt;width:93.75pt;z-index:251672576;mso-width-relative:page;mso-height-relative:page;" filled="f" stroked="f" coordsize="21600,21600" o:gfxdata="UEsDBAoAAAAAAIdO4kAAAAAAAAAAAAAAAAAEAAAAZHJzL1BLAwQUAAAACACHTuJAhC7B5NYAAAAH&#10;AQAADwAAAGRycy9kb3ducmV2LnhtbE2OwU7DMBBE70j8g7VI3FqngIgb4vQAAg6caJEqbm68JKHx&#10;OrLdpP17tqdyWs3OaOaVq6PrxYghdp40LOYZCKTa244aDV+b15kCEZMha3pPqOGEEVbV9VVpCusn&#10;+sRxnRrBJRQLo6FNaSikjHWLzsS5H5DY+/HBmcQyNNIGM3G56+Vdlj1KZzrihdYM+NxivV8fnIb4&#10;st/63+/pXY3LsMGP07bO3+61vr1ZZE8gEh7TJQxnfEaHipl2/kA2il7DTDF54j+fs52rHMROw/JB&#10;gaxK+Z+/+gNQSwMEFAAAAAgAh07iQAYCOXegAQAAPAMAAA4AAABkcnMvZTJvRG9jLnhtbK1SS27b&#10;MBDdF+gdCO5jSgYc1ILlLGokm6I10PYADEVZBPjDDG3ZZ+k1uuqmx8k1OqQUN0g3WXQznA/5Zt4b&#10;bu7OzrKTBjTBt7xeVJxpr0Jn/KHl37/d33zgDJP0nbTB65ZfNPK77ft3mzE2ehmGYDsNjEA8NmNs&#10;+ZBSbIRANWgncRGi9lTsAziZKISD6ECOhO6sWFbVrRgDdBGC0oiU3U1FPiPCWwBD3xuld0EdnfZp&#10;QgVtZSJKOJiIfFum7Xut0pe+R52YbTkxTcVSE/IfsxXbjWwOIONg1DyCfMsIrzg5aTw1vULtZJLs&#10;COYfKGcUBAx9WqjgxESkKEIs6uqVNl8HGXXhQlJjvIqO/w9WfT7tgZmu5WuSxEtHG3/68fPp129W&#10;L+sszxixoVsf/R7mCOMeMtdzDy6fxIKdi6SXq6T6nJiiZF2vq9vlijNFtdW6Wq2K5uLv6wiYHnRw&#10;LDstt8ZnyrKRp0+YqCNdfb6S09Zn68O9sXaqThldlj0/yTNPU2bvMXQXInmMYA4DtSi0RK6QqKXB&#10;/AHy1l7G5L/89N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C7B5NYAAAAHAQAADwAAAAAAAAAB&#10;ACAAAAAiAAAAZHJzL2Rvd25yZXYueG1sUEsBAhQAFAAAAAgAh07iQAYCOXegAQAAPAMAAA4AAAAA&#10;AAAAAQAgAAAAJQEAAGRycy9lMm9Eb2MueG1sUEsFBgAAAAAGAAYAWQEAADcFAAAAAA==&#10;">
                      <v:fill on="f" focussize="0,0"/>
                      <v:stroke on="f"/>
                      <v:imagedata o:title=""/>
                      <o:lock v:ext="edit" aspectratio="f"/>
                    </v:line>
                  </w:pict>
                </mc:Fallback>
              </mc:AlternateContent>
            </w:r>
            <w:r>
              <w:rPr>
                <w:rFonts w:eastAsia="仿宋_GB2312"/>
                <w:color w:val="auto"/>
                <w:sz w:val="18"/>
                <w:szCs w:val="18"/>
              </w:rPr>
              <w:t xml:space="preserve">           月份</w:t>
            </w:r>
          </w:p>
          <w:p>
            <w:pPr>
              <w:spacing w:line="240" w:lineRule="auto"/>
              <w:rPr>
                <w:rFonts w:eastAsia="仿宋_GB2312"/>
                <w:color w:val="auto"/>
                <w:sz w:val="18"/>
                <w:szCs w:val="18"/>
              </w:rPr>
            </w:pPr>
          </w:p>
          <w:p>
            <w:pPr>
              <w:spacing w:line="240" w:lineRule="auto"/>
              <w:rPr>
                <w:rFonts w:eastAsia="仿宋_GB2312"/>
                <w:color w:val="auto"/>
                <w:sz w:val="18"/>
                <w:szCs w:val="18"/>
              </w:rPr>
            </w:pPr>
          </w:p>
          <w:p>
            <w:pPr>
              <w:spacing w:line="240" w:lineRule="auto"/>
              <w:rPr>
                <w:rFonts w:eastAsia="仿宋_GB2312"/>
                <w:color w:val="auto"/>
                <w:sz w:val="18"/>
                <w:szCs w:val="18"/>
              </w:rPr>
            </w:pPr>
            <w:r>
              <w:rPr>
                <w:rFonts w:eastAsia="仿宋_GB2312"/>
                <w:color w:val="auto"/>
                <w:sz w:val="18"/>
                <w:szCs w:val="18"/>
              </w:rPr>
              <w:t>项目</w:t>
            </w:r>
          </w:p>
        </w:tc>
        <w:tc>
          <w:tcPr>
            <w:tcW w:w="6209" w:type="dxa"/>
            <w:gridSpan w:val="12"/>
            <w:vAlign w:val="center"/>
          </w:tcPr>
          <w:p>
            <w:pPr>
              <w:spacing w:line="240" w:lineRule="auto"/>
              <w:jc w:val="center"/>
              <w:rPr>
                <w:rFonts w:eastAsia="仿宋_GB2312"/>
                <w:color w:val="auto"/>
                <w:sz w:val="18"/>
                <w:szCs w:val="18"/>
              </w:rPr>
            </w:pPr>
            <w:r>
              <w:rPr>
                <w:rFonts w:eastAsia="仿宋_GB2312"/>
                <w:color w:val="auto"/>
                <w:sz w:val="18"/>
                <w:szCs w:val="18"/>
              </w:rPr>
              <w:t>20</w:t>
            </w:r>
            <w:r>
              <w:rPr>
                <w:rFonts w:hint="eastAsia" w:eastAsia="仿宋_GB2312"/>
                <w:color w:val="auto"/>
                <w:sz w:val="18"/>
                <w:szCs w:val="18"/>
              </w:rPr>
              <w:t>2</w:t>
            </w:r>
            <w:r>
              <w:rPr>
                <w:rFonts w:hint="eastAsia" w:eastAsia="仿宋_GB2312"/>
                <w:color w:val="auto"/>
                <w:sz w:val="18"/>
                <w:szCs w:val="18"/>
                <w:lang w:val="en-US" w:eastAsia="zh-CN"/>
              </w:rPr>
              <w:t>2</w:t>
            </w:r>
            <w:r>
              <w:rPr>
                <w:rFonts w:eastAsia="仿宋_GB2312"/>
                <w:color w:val="auto"/>
                <w:sz w:val="18"/>
                <w:szCs w:val="18"/>
              </w:rPr>
              <w:t>年</w:t>
            </w:r>
          </w:p>
        </w:tc>
        <w:tc>
          <w:tcPr>
            <w:tcW w:w="5399" w:type="dxa"/>
            <w:gridSpan w:val="12"/>
            <w:vAlign w:val="center"/>
          </w:tcPr>
          <w:p>
            <w:pPr>
              <w:spacing w:line="240" w:lineRule="auto"/>
              <w:jc w:val="center"/>
              <w:rPr>
                <w:rFonts w:eastAsia="仿宋_GB2312"/>
                <w:color w:val="auto"/>
                <w:sz w:val="18"/>
                <w:szCs w:val="18"/>
              </w:rPr>
            </w:pPr>
            <w:r>
              <w:rPr>
                <w:rFonts w:eastAsia="仿宋_GB2312"/>
                <w:color w:val="auto"/>
                <w:sz w:val="18"/>
                <w:szCs w:val="18"/>
              </w:rPr>
              <w:t>202</w:t>
            </w:r>
            <w:r>
              <w:rPr>
                <w:rFonts w:hint="eastAsia" w:eastAsia="仿宋_GB2312"/>
                <w:color w:val="auto"/>
                <w:sz w:val="18"/>
                <w:szCs w:val="18"/>
                <w:lang w:val="en-US" w:eastAsia="zh-CN"/>
              </w:rPr>
              <w:t>3</w:t>
            </w:r>
            <w:r>
              <w:rPr>
                <w:rFonts w:eastAsia="仿宋_GB2312"/>
                <w:color w:val="auto"/>
                <w:sz w:val="18"/>
                <w:szCs w:val="18"/>
              </w:rPr>
              <w:t>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89" w:type="dxa"/>
            <w:vMerge w:val="continue"/>
            <w:vAlign w:val="center"/>
          </w:tcPr>
          <w:p>
            <w:pPr>
              <w:spacing w:line="240" w:lineRule="auto"/>
              <w:jc w:val="center"/>
              <w:rPr>
                <w:rFonts w:eastAsia="仿宋_GB2312"/>
                <w:color w:val="auto"/>
                <w:sz w:val="18"/>
                <w:szCs w:val="18"/>
              </w:rPr>
            </w:pPr>
          </w:p>
        </w:tc>
        <w:tc>
          <w:tcPr>
            <w:tcW w:w="2068" w:type="dxa"/>
            <w:gridSpan w:val="2"/>
            <w:vMerge w:val="continue"/>
            <w:vAlign w:val="center"/>
          </w:tcPr>
          <w:p>
            <w:pPr>
              <w:spacing w:line="240" w:lineRule="auto"/>
              <w:jc w:val="center"/>
              <w:rPr>
                <w:rFonts w:eastAsia="仿宋_GB2312"/>
                <w:color w:val="auto"/>
                <w:sz w:val="18"/>
                <w:szCs w:val="18"/>
              </w:rPr>
            </w:pPr>
          </w:p>
        </w:tc>
        <w:tc>
          <w:tcPr>
            <w:tcW w:w="496" w:type="dxa"/>
            <w:vAlign w:val="center"/>
          </w:tcPr>
          <w:p>
            <w:pPr>
              <w:spacing w:line="240" w:lineRule="auto"/>
              <w:jc w:val="center"/>
              <w:rPr>
                <w:rFonts w:eastAsia="仿宋_GB2312"/>
                <w:color w:val="auto"/>
                <w:sz w:val="18"/>
                <w:szCs w:val="18"/>
              </w:rPr>
            </w:pPr>
            <w:r>
              <w:rPr>
                <w:rFonts w:eastAsia="仿宋_GB2312"/>
                <w:color w:val="auto"/>
                <w:sz w:val="18"/>
                <w:szCs w:val="18"/>
              </w:rPr>
              <w:t>1</w:t>
            </w:r>
          </w:p>
        </w:tc>
        <w:tc>
          <w:tcPr>
            <w:tcW w:w="519" w:type="dxa"/>
            <w:vAlign w:val="center"/>
          </w:tcPr>
          <w:p>
            <w:pPr>
              <w:spacing w:line="240" w:lineRule="auto"/>
              <w:jc w:val="center"/>
              <w:rPr>
                <w:rFonts w:eastAsia="仿宋_GB2312"/>
                <w:color w:val="auto"/>
                <w:sz w:val="18"/>
                <w:szCs w:val="18"/>
              </w:rPr>
            </w:pPr>
            <w:r>
              <w:rPr>
                <w:rFonts w:eastAsia="仿宋_GB2312"/>
                <w:color w:val="auto"/>
                <w:sz w:val="18"/>
                <w:szCs w:val="18"/>
              </w:rPr>
              <w:t>2</w:t>
            </w:r>
          </w:p>
        </w:tc>
        <w:tc>
          <w:tcPr>
            <w:tcW w:w="564" w:type="dxa"/>
            <w:vAlign w:val="center"/>
          </w:tcPr>
          <w:p>
            <w:pPr>
              <w:spacing w:line="240" w:lineRule="auto"/>
              <w:jc w:val="center"/>
              <w:rPr>
                <w:rFonts w:eastAsia="仿宋_GB2312"/>
                <w:color w:val="auto"/>
                <w:sz w:val="18"/>
                <w:szCs w:val="18"/>
              </w:rPr>
            </w:pPr>
            <w:r>
              <w:rPr>
                <w:rFonts w:eastAsia="仿宋_GB2312"/>
                <w:color w:val="auto"/>
                <w:sz w:val="18"/>
                <w:szCs w:val="18"/>
              </w:rPr>
              <w:t>3</w:t>
            </w:r>
          </w:p>
        </w:tc>
        <w:tc>
          <w:tcPr>
            <w:tcW w:w="550" w:type="dxa"/>
            <w:vAlign w:val="center"/>
          </w:tcPr>
          <w:p>
            <w:pPr>
              <w:spacing w:line="240" w:lineRule="auto"/>
              <w:jc w:val="center"/>
              <w:rPr>
                <w:rFonts w:eastAsia="仿宋_GB2312"/>
                <w:color w:val="auto"/>
                <w:sz w:val="18"/>
                <w:szCs w:val="18"/>
              </w:rPr>
            </w:pPr>
            <w:r>
              <w:rPr>
                <w:rFonts w:eastAsia="仿宋_GB2312"/>
                <w:color w:val="auto"/>
                <w:sz w:val="18"/>
                <w:szCs w:val="18"/>
              </w:rPr>
              <w:t>4</w:t>
            </w:r>
          </w:p>
        </w:tc>
        <w:tc>
          <w:tcPr>
            <w:tcW w:w="530" w:type="dxa"/>
            <w:vAlign w:val="center"/>
          </w:tcPr>
          <w:p>
            <w:pPr>
              <w:spacing w:line="240" w:lineRule="auto"/>
              <w:jc w:val="center"/>
              <w:rPr>
                <w:rFonts w:eastAsia="仿宋_GB2312"/>
                <w:color w:val="auto"/>
                <w:sz w:val="18"/>
                <w:szCs w:val="18"/>
              </w:rPr>
            </w:pPr>
            <w:r>
              <w:rPr>
                <w:rFonts w:eastAsia="仿宋_GB2312"/>
                <w:color w:val="auto"/>
                <w:sz w:val="18"/>
                <w:szCs w:val="18"/>
              </w:rPr>
              <w:t>5</w:t>
            </w:r>
          </w:p>
        </w:tc>
        <w:tc>
          <w:tcPr>
            <w:tcW w:w="522" w:type="dxa"/>
            <w:vAlign w:val="center"/>
          </w:tcPr>
          <w:p>
            <w:pPr>
              <w:spacing w:line="240" w:lineRule="auto"/>
              <w:jc w:val="center"/>
              <w:rPr>
                <w:rFonts w:eastAsia="仿宋_GB2312"/>
                <w:color w:val="auto"/>
                <w:sz w:val="18"/>
                <w:szCs w:val="18"/>
              </w:rPr>
            </w:pPr>
            <w:r>
              <w:rPr>
                <w:rFonts w:eastAsia="仿宋_GB2312"/>
                <w:color w:val="auto"/>
                <w:sz w:val="18"/>
                <w:szCs w:val="18"/>
              </w:rPr>
              <w:t>6</w:t>
            </w:r>
          </w:p>
        </w:tc>
        <w:tc>
          <w:tcPr>
            <w:tcW w:w="522" w:type="dxa"/>
            <w:vAlign w:val="center"/>
          </w:tcPr>
          <w:p>
            <w:pPr>
              <w:spacing w:line="240" w:lineRule="auto"/>
              <w:jc w:val="center"/>
              <w:rPr>
                <w:rFonts w:eastAsia="仿宋_GB2312"/>
                <w:color w:val="auto"/>
                <w:sz w:val="18"/>
                <w:szCs w:val="18"/>
              </w:rPr>
            </w:pPr>
            <w:r>
              <w:rPr>
                <w:rFonts w:eastAsia="仿宋_GB2312"/>
                <w:color w:val="auto"/>
                <w:sz w:val="18"/>
                <w:szCs w:val="18"/>
              </w:rPr>
              <w:t>7</w:t>
            </w:r>
          </w:p>
        </w:tc>
        <w:tc>
          <w:tcPr>
            <w:tcW w:w="507" w:type="dxa"/>
            <w:vAlign w:val="center"/>
          </w:tcPr>
          <w:p>
            <w:pPr>
              <w:spacing w:line="240" w:lineRule="auto"/>
              <w:jc w:val="center"/>
              <w:rPr>
                <w:rFonts w:eastAsia="仿宋_GB2312"/>
                <w:color w:val="auto"/>
                <w:sz w:val="18"/>
                <w:szCs w:val="18"/>
              </w:rPr>
            </w:pPr>
            <w:r>
              <w:rPr>
                <w:rFonts w:eastAsia="仿宋_GB2312"/>
                <w:color w:val="auto"/>
                <w:sz w:val="18"/>
                <w:szCs w:val="18"/>
              </w:rPr>
              <w:t>8</w:t>
            </w:r>
          </w:p>
        </w:tc>
        <w:tc>
          <w:tcPr>
            <w:tcW w:w="505" w:type="dxa"/>
            <w:vAlign w:val="center"/>
          </w:tcPr>
          <w:p>
            <w:pPr>
              <w:spacing w:line="240" w:lineRule="auto"/>
              <w:jc w:val="center"/>
              <w:rPr>
                <w:rFonts w:eastAsia="仿宋_GB2312"/>
                <w:color w:val="auto"/>
                <w:sz w:val="18"/>
                <w:szCs w:val="18"/>
              </w:rPr>
            </w:pPr>
            <w:r>
              <w:rPr>
                <w:rFonts w:eastAsia="仿宋_GB2312"/>
                <w:color w:val="auto"/>
                <w:sz w:val="18"/>
                <w:szCs w:val="18"/>
              </w:rPr>
              <w:t>9</w:t>
            </w:r>
          </w:p>
        </w:tc>
        <w:tc>
          <w:tcPr>
            <w:tcW w:w="499" w:type="dxa"/>
            <w:vAlign w:val="center"/>
          </w:tcPr>
          <w:p>
            <w:pPr>
              <w:spacing w:line="240" w:lineRule="auto"/>
              <w:jc w:val="center"/>
              <w:rPr>
                <w:rFonts w:eastAsia="仿宋_GB2312"/>
                <w:color w:val="auto"/>
                <w:sz w:val="18"/>
                <w:szCs w:val="18"/>
              </w:rPr>
            </w:pPr>
            <w:r>
              <w:rPr>
                <w:rFonts w:eastAsia="仿宋_GB2312"/>
                <w:color w:val="auto"/>
                <w:sz w:val="18"/>
                <w:szCs w:val="18"/>
              </w:rPr>
              <w:t>10</w:t>
            </w:r>
          </w:p>
        </w:tc>
        <w:tc>
          <w:tcPr>
            <w:tcW w:w="496" w:type="dxa"/>
            <w:vAlign w:val="center"/>
          </w:tcPr>
          <w:p>
            <w:pPr>
              <w:spacing w:line="240" w:lineRule="auto"/>
              <w:jc w:val="center"/>
              <w:rPr>
                <w:rFonts w:eastAsia="仿宋_GB2312"/>
                <w:color w:val="auto"/>
                <w:sz w:val="18"/>
                <w:szCs w:val="18"/>
              </w:rPr>
            </w:pPr>
            <w:r>
              <w:rPr>
                <w:rFonts w:eastAsia="仿宋_GB2312"/>
                <w:color w:val="auto"/>
                <w:sz w:val="18"/>
                <w:szCs w:val="18"/>
              </w:rPr>
              <w:t>11</w:t>
            </w:r>
          </w:p>
        </w:tc>
        <w:tc>
          <w:tcPr>
            <w:tcW w:w="499" w:type="dxa"/>
            <w:vAlign w:val="center"/>
          </w:tcPr>
          <w:p>
            <w:pPr>
              <w:spacing w:line="240" w:lineRule="auto"/>
              <w:jc w:val="center"/>
              <w:rPr>
                <w:rFonts w:eastAsia="仿宋_GB2312"/>
                <w:color w:val="auto"/>
                <w:sz w:val="18"/>
                <w:szCs w:val="18"/>
              </w:rPr>
            </w:pPr>
            <w:r>
              <w:rPr>
                <w:rFonts w:eastAsia="仿宋_GB2312"/>
                <w:color w:val="auto"/>
                <w:sz w:val="18"/>
                <w:szCs w:val="18"/>
              </w:rPr>
              <w:t>12</w:t>
            </w:r>
          </w:p>
        </w:tc>
        <w:tc>
          <w:tcPr>
            <w:tcW w:w="485" w:type="dxa"/>
            <w:vAlign w:val="center"/>
          </w:tcPr>
          <w:p>
            <w:pPr>
              <w:spacing w:line="240" w:lineRule="auto"/>
              <w:jc w:val="center"/>
              <w:rPr>
                <w:rFonts w:eastAsia="仿宋_GB2312"/>
                <w:color w:val="auto"/>
                <w:sz w:val="18"/>
                <w:szCs w:val="18"/>
              </w:rPr>
            </w:pPr>
            <w:r>
              <w:rPr>
                <w:rFonts w:eastAsia="仿宋_GB2312"/>
                <w:color w:val="auto"/>
                <w:sz w:val="18"/>
                <w:szCs w:val="18"/>
              </w:rPr>
              <w:t>1</w:t>
            </w:r>
          </w:p>
        </w:tc>
        <w:tc>
          <w:tcPr>
            <w:tcW w:w="471" w:type="dxa"/>
            <w:vAlign w:val="center"/>
          </w:tcPr>
          <w:p>
            <w:pPr>
              <w:spacing w:line="240" w:lineRule="auto"/>
              <w:jc w:val="center"/>
              <w:rPr>
                <w:rFonts w:eastAsia="仿宋_GB2312"/>
                <w:color w:val="auto"/>
                <w:sz w:val="18"/>
                <w:szCs w:val="18"/>
              </w:rPr>
            </w:pPr>
            <w:r>
              <w:rPr>
                <w:rFonts w:eastAsia="仿宋_GB2312"/>
                <w:color w:val="auto"/>
                <w:sz w:val="18"/>
                <w:szCs w:val="18"/>
              </w:rPr>
              <w:t>2</w:t>
            </w:r>
          </w:p>
        </w:tc>
        <w:tc>
          <w:tcPr>
            <w:tcW w:w="465" w:type="dxa"/>
            <w:vAlign w:val="center"/>
          </w:tcPr>
          <w:p>
            <w:pPr>
              <w:spacing w:line="240" w:lineRule="auto"/>
              <w:jc w:val="center"/>
              <w:rPr>
                <w:rFonts w:eastAsia="仿宋_GB2312"/>
                <w:color w:val="auto"/>
                <w:sz w:val="18"/>
                <w:szCs w:val="18"/>
              </w:rPr>
            </w:pPr>
            <w:r>
              <w:rPr>
                <w:rFonts w:eastAsia="仿宋_GB2312"/>
                <w:color w:val="auto"/>
                <w:sz w:val="18"/>
                <w:szCs w:val="18"/>
              </w:rPr>
              <w:t>3</w:t>
            </w:r>
          </w:p>
        </w:tc>
        <w:tc>
          <w:tcPr>
            <w:tcW w:w="448" w:type="dxa"/>
            <w:vAlign w:val="center"/>
          </w:tcPr>
          <w:p>
            <w:pPr>
              <w:spacing w:line="240" w:lineRule="auto"/>
              <w:jc w:val="center"/>
              <w:rPr>
                <w:rFonts w:eastAsia="仿宋_GB2312"/>
                <w:color w:val="auto"/>
                <w:sz w:val="18"/>
                <w:szCs w:val="18"/>
              </w:rPr>
            </w:pPr>
            <w:r>
              <w:rPr>
                <w:rFonts w:eastAsia="仿宋_GB2312"/>
                <w:color w:val="auto"/>
                <w:sz w:val="18"/>
                <w:szCs w:val="18"/>
              </w:rPr>
              <w:t>4</w:t>
            </w:r>
          </w:p>
        </w:tc>
        <w:tc>
          <w:tcPr>
            <w:tcW w:w="445" w:type="dxa"/>
            <w:vAlign w:val="center"/>
          </w:tcPr>
          <w:p>
            <w:pPr>
              <w:spacing w:line="240" w:lineRule="auto"/>
              <w:jc w:val="center"/>
              <w:rPr>
                <w:rFonts w:eastAsia="仿宋_GB2312"/>
                <w:color w:val="auto"/>
                <w:sz w:val="18"/>
                <w:szCs w:val="18"/>
              </w:rPr>
            </w:pPr>
            <w:r>
              <w:rPr>
                <w:rFonts w:eastAsia="仿宋_GB2312"/>
                <w:color w:val="auto"/>
                <w:sz w:val="18"/>
                <w:szCs w:val="18"/>
              </w:rPr>
              <w:t>5</w:t>
            </w:r>
          </w:p>
        </w:tc>
        <w:tc>
          <w:tcPr>
            <w:tcW w:w="439" w:type="dxa"/>
            <w:vAlign w:val="center"/>
          </w:tcPr>
          <w:p>
            <w:pPr>
              <w:spacing w:line="240" w:lineRule="auto"/>
              <w:jc w:val="center"/>
              <w:rPr>
                <w:rFonts w:eastAsia="仿宋_GB2312"/>
                <w:color w:val="auto"/>
                <w:sz w:val="18"/>
                <w:szCs w:val="18"/>
              </w:rPr>
            </w:pPr>
            <w:r>
              <w:rPr>
                <w:rFonts w:eastAsia="仿宋_GB2312"/>
                <w:color w:val="auto"/>
                <w:sz w:val="18"/>
                <w:szCs w:val="18"/>
              </w:rPr>
              <w:t>6</w:t>
            </w:r>
          </w:p>
        </w:tc>
        <w:tc>
          <w:tcPr>
            <w:tcW w:w="437" w:type="dxa"/>
            <w:vAlign w:val="center"/>
          </w:tcPr>
          <w:p>
            <w:pPr>
              <w:spacing w:line="240" w:lineRule="auto"/>
              <w:jc w:val="center"/>
              <w:rPr>
                <w:rFonts w:eastAsia="仿宋_GB2312"/>
                <w:color w:val="auto"/>
                <w:sz w:val="18"/>
                <w:szCs w:val="18"/>
              </w:rPr>
            </w:pPr>
            <w:r>
              <w:rPr>
                <w:rFonts w:eastAsia="仿宋_GB2312"/>
                <w:color w:val="auto"/>
                <w:sz w:val="18"/>
                <w:szCs w:val="18"/>
              </w:rPr>
              <w:t>7</w:t>
            </w:r>
          </w:p>
        </w:tc>
        <w:tc>
          <w:tcPr>
            <w:tcW w:w="434" w:type="dxa"/>
            <w:vAlign w:val="center"/>
          </w:tcPr>
          <w:p>
            <w:pPr>
              <w:spacing w:line="240" w:lineRule="auto"/>
              <w:jc w:val="center"/>
              <w:rPr>
                <w:rFonts w:eastAsia="仿宋_GB2312"/>
                <w:color w:val="auto"/>
                <w:sz w:val="18"/>
                <w:szCs w:val="18"/>
              </w:rPr>
            </w:pPr>
            <w:r>
              <w:rPr>
                <w:rFonts w:eastAsia="仿宋_GB2312"/>
                <w:color w:val="auto"/>
                <w:sz w:val="18"/>
                <w:szCs w:val="18"/>
              </w:rPr>
              <w:t>8</w:t>
            </w:r>
          </w:p>
        </w:tc>
        <w:tc>
          <w:tcPr>
            <w:tcW w:w="420" w:type="dxa"/>
            <w:vAlign w:val="center"/>
          </w:tcPr>
          <w:p>
            <w:pPr>
              <w:spacing w:line="240" w:lineRule="auto"/>
              <w:jc w:val="center"/>
              <w:rPr>
                <w:rFonts w:eastAsia="仿宋_GB2312"/>
                <w:color w:val="auto"/>
                <w:sz w:val="18"/>
                <w:szCs w:val="18"/>
              </w:rPr>
            </w:pPr>
            <w:r>
              <w:rPr>
                <w:rFonts w:eastAsia="仿宋_GB2312"/>
                <w:color w:val="auto"/>
                <w:sz w:val="18"/>
                <w:szCs w:val="18"/>
              </w:rPr>
              <w:t>9</w:t>
            </w:r>
          </w:p>
        </w:tc>
        <w:tc>
          <w:tcPr>
            <w:tcW w:w="417" w:type="dxa"/>
            <w:vAlign w:val="center"/>
          </w:tcPr>
          <w:p>
            <w:pPr>
              <w:spacing w:line="240" w:lineRule="auto"/>
              <w:jc w:val="center"/>
              <w:rPr>
                <w:rFonts w:eastAsia="仿宋_GB2312"/>
                <w:color w:val="auto"/>
                <w:sz w:val="18"/>
                <w:szCs w:val="18"/>
              </w:rPr>
            </w:pPr>
            <w:r>
              <w:rPr>
                <w:rFonts w:eastAsia="仿宋_GB2312"/>
                <w:color w:val="auto"/>
                <w:sz w:val="18"/>
                <w:szCs w:val="18"/>
              </w:rPr>
              <w:t>10</w:t>
            </w:r>
          </w:p>
        </w:tc>
        <w:tc>
          <w:tcPr>
            <w:tcW w:w="411" w:type="dxa"/>
            <w:vAlign w:val="center"/>
          </w:tcPr>
          <w:p>
            <w:pPr>
              <w:spacing w:line="240" w:lineRule="auto"/>
              <w:jc w:val="center"/>
              <w:rPr>
                <w:rFonts w:eastAsia="仿宋_GB2312"/>
                <w:color w:val="auto"/>
                <w:sz w:val="18"/>
                <w:szCs w:val="18"/>
              </w:rPr>
            </w:pPr>
            <w:r>
              <w:rPr>
                <w:rFonts w:eastAsia="仿宋_GB2312"/>
                <w:color w:val="auto"/>
                <w:sz w:val="18"/>
                <w:szCs w:val="18"/>
              </w:rPr>
              <w:t>11</w:t>
            </w:r>
          </w:p>
        </w:tc>
        <w:tc>
          <w:tcPr>
            <w:tcW w:w="527" w:type="dxa"/>
            <w:vAlign w:val="center"/>
          </w:tcPr>
          <w:p>
            <w:pPr>
              <w:spacing w:line="240" w:lineRule="auto"/>
              <w:jc w:val="center"/>
              <w:rPr>
                <w:rFonts w:eastAsia="仿宋_GB2312"/>
                <w:color w:val="auto"/>
                <w:sz w:val="18"/>
                <w:szCs w:val="18"/>
              </w:rPr>
            </w:pPr>
            <w:r>
              <w:rPr>
                <w:rFonts w:eastAsia="仿宋_GB2312"/>
                <w:color w:val="auto"/>
                <w:sz w:val="18"/>
                <w:szCs w:val="18"/>
              </w:rPr>
              <w:t>12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89" w:type="dxa"/>
            <w:vMerge w:val="restart"/>
            <w:vAlign w:val="center"/>
          </w:tcPr>
          <w:p>
            <w:pPr>
              <w:spacing w:line="240" w:lineRule="auto"/>
              <w:jc w:val="center"/>
              <w:rPr>
                <w:rFonts w:eastAsia="仿宋_GB2312"/>
                <w:color w:val="auto"/>
                <w:sz w:val="18"/>
                <w:szCs w:val="18"/>
                <w:lang w:val="zh-CN"/>
              </w:rPr>
            </w:pPr>
            <w:r>
              <w:rPr>
                <w:rFonts w:eastAsia="仿宋_GB2312"/>
                <w:color w:val="auto"/>
                <w:sz w:val="18"/>
                <w:szCs w:val="18"/>
                <w:lang w:val="zh-CN"/>
              </w:rPr>
              <w:t>工程建设区</w:t>
            </w:r>
          </w:p>
        </w:tc>
        <w:tc>
          <w:tcPr>
            <w:tcW w:w="2068" w:type="dxa"/>
            <w:gridSpan w:val="2"/>
            <w:vAlign w:val="center"/>
          </w:tcPr>
          <w:p>
            <w:pPr>
              <w:spacing w:line="240" w:lineRule="auto"/>
              <w:jc w:val="center"/>
              <w:rPr>
                <w:rFonts w:eastAsia="仿宋_GB2312"/>
                <w:color w:val="auto"/>
                <w:sz w:val="18"/>
                <w:szCs w:val="18"/>
              </w:rPr>
            </w:pPr>
            <w:r>
              <w:rPr>
                <w:rFonts w:eastAsia="仿宋_GB2312"/>
                <w:color w:val="auto"/>
                <w:sz w:val="18"/>
                <w:szCs w:val="18"/>
              </w:rPr>
              <w:t>主体施工</w:t>
            </w:r>
          </w:p>
        </w:tc>
        <w:tc>
          <w:tcPr>
            <w:tcW w:w="496" w:type="dxa"/>
            <w:vAlign w:val="center"/>
          </w:tcPr>
          <w:p>
            <w:pPr>
              <w:spacing w:line="240" w:lineRule="auto"/>
              <w:jc w:val="center"/>
              <w:rPr>
                <w:rFonts w:eastAsia="仿宋_GB2312"/>
                <w:color w:val="auto"/>
                <w:sz w:val="18"/>
                <w:szCs w:val="18"/>
              </w:rPr>
            </w:pPr>
          </w:p>
        </w:tc>
        <w:tc>
          <w:tcPr>
            <w:tcW w:w="519" w:type="dxa"/>
            <w:vAlign w:val="center"/>
          </w:tcPr>
          <w:p>
            <w:pPr>
              <w:spacing w:line="240" w:lineRule="auto"/>
              <w:jc w:val="center"/>
              <w:rPr>
                <w:rFonts w:eastAsia="仿宋_GB2312"/>
                <w:color w:val="auto"/>
                <w:sz w:val="18"/>
                <w:szCs w:val="18"/>
              </w:rPr>
            </w:pPr>
          </w:p>
        </w:tc>
        <w:tc>
          <w:tcPr>
            <w:tcW w:w="564" w:type="dxa"/>
            <w:vAlign w:val="center"/>
          </w:tcPr>
          <w:p>
            <w:pPr>
              <w:spacing w:line="240" w:lineRule="auto"/>
              <w:jc w:val="center"/>
              <w:rPr>
                <w:rFonts w:eastAsia="仿宋_GB2312"/>
                <w:color w:val="auto"/>
                <w:sz w:val="18"/>
                <w:szCs w:val="18"/>
              </w:rPr>
            </w:pPr>
          </w:p>
        </w:tc>
        <w:tc>
          <w:tcPr>
            <w:tcW w:w="550" w:type="dxa"/>
            <w:vAlign w:val="center"/>
          </w:tcPr>
          <w:p>
            <w:pPr>
              <w:spacing w:line="240" w:lineRule="auto"/>
              <w:jc w:val="center"/>
              <w:rPr>
                <w:rFonts w:eastAsia="仿宋_GB2312"/>
                <w:color w:val="auto"/>
                <w:sz w:val="18"/>
                <w:szCs w:val="18"/>
              </w:rPr>
            </w:pPr>
          </w:p>
        </w:tc>
        <w:tc>
          <w:tcPr>
            <w:tcW w:w="530" w:type="dxa"/>
            <w:vAlign w:val="center"/>
          </w:tcPr>
          <w:p>
            <w:pPr>
              <w:spacing w:line="240" w:lineRule="auto"/>
              <w:jc w:val="center"/>
              <w:rPr>
                <w:rFonts w:eastAsia="仿宋_GB2312"/>
                <w:color w:val="auto"/>
                <w:sz w:val="18"/>
                <w:szCs w:val="18"/>
              </w:rPr>
            </w:pPr>
          </w:p>
        </w:tc>
        <w:tc>
          <w:tcPr>
            <w:tcW w:w="522" w:type="dxa"/>
            <w:vAlign w:val="center"/>
          </w:tcPr>
          <w:p>
            <w:pPr>
              <w:spacing w:line="240" w:lineRule="auto"/>
              <w:jc w:val="center"/>
              <w:rPr>
                <w:rFonts w:eastAsia="仿宋_GB2312"/>
                <w:color w:val="auto"/>
                <w:sz w:val="18"/>
                <w:szCs w:val="18"/>
              </w:rPr>
            </w:pPr>
          </w:p>
        </w:tc>
        <w:tc>
          <w:tcPr>
            <w:tcW w:w="522" w:type="dxa"/>
            <w:vAlign w:val="center"/>
          </w:tcPr>
          <w:p>
            <w:pPr>
              <w:spacing w:line="240" w:lineRule="auto"/>
              <w:jc w:val="center"/>
              <w:rPr>
                <w:rFonts w:eastAsia="仿宋_GB2312"/>
                <w:color w:val="auto"/>
                <w:sz w:val="18"/>
                <w:szCs w:val="18"/>
              </w:rPr>
            </w:pPr>
          </w:p>
        </w:tc>
        <w:tc>
          <w:tcPr>
            <w:tcW w:w="507" w:type="dxa"/>
            <w:vAlign w:val="center"/>
          </w:tcPr>
          <w:p>
            <w:pPr>
              <w:spacing w:line="240" w:lineRule="auto"/>
              <w:jc w:val="center"/>
              <w:rPr>
                <w:rFonts w:eastAsia="仿宋_GB2312"/>
                <w:color w:val="auto"/>
                <w:sz w:val="18"/>
                <w:szCs w:val="18"/>
              </w:rPr>
            </w:pPr>
            <w:r>
              <w:rPr>
                <w:rFonts w:eastAsia="仿宋_GB2312"/>
                <w:color w:val="auto"/>
                <w:sz w:val="18"/>
                <w:szCs w:val="18"/>
              </w:rPr>
              <mc:AlternateContent>
                <mc:Choice Requires="wps">
                  <w:drawing>
                    <wp:anchor distT="0" distB="0" distL="114300" distR="114300" simplePos="0" relativeHeight="251675648" behindDoc="0" locked="0" layoutInCell="1" allowOverlap="1">
                      <wp:simplePos x="0" y="0"/>
                      <wp:positionH relativeFrom="column">
                        <wp:posOffset>-54610</wp:posOffset>
                      </wp:positionH>
                      <wp:positionV relativeFrom="paragraph">
                        <wp:posOffset>118110</wp:posOffset>
                      </wp:positionV>
                      <wp:extent cx="2698750" cy="13970"/>
                      <wp:effectExtent l="0" t="38100" r="6350" b="49530"/>
                      <wp:wrapNone/>
                      <wp:docPr id="93" name="直线 117"/>
                      <wp:cNvGraphicFramePr/>
                      <a:graphic xmlns:a="http://schemas.openxmlformats.org/drawingml/2006/main">
                        <a:graphicData uri="http://schemas.microsoft.com/office/word/2010/wordprocessingShape">
                          <wps:wsp>
                            <wps:cNvCnPr/>
                            <wps:spPr>
                              <a:xfrm flipV="1">
                                <a:off x="0" y="0"/>
                                <a:ext cx="2698750" cy="13970"/>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直线 117" o:spid="_x0000_s1026" o:spt="20" style="position:absolute;left:0pt;flip:y;margin-left:-4.3pt;margin-top:9.3pt;height:1.1pt;width:212.5pt;z-index:251675648;mso-width-relative:page;mso-height-relative:page;" filled="f" stroked="t" coordsize="21600,21600" o:gfxdata="UEsDBAoAAAAAAIdO4kAAAAAAAAAAAAAAAAAEAAAAZHJzL1BLAwQUAAAACACHTuJANK5w+NkAAAAI&#10;AQAADwAAAGRycy9kb3ducmV2LnhtbE2PwU7DMBBE70j8g7VI3Fo7pYQoxKmqSpxAKW04cHTiJYmI&#10;7ch22vL3bE9wWu3OaPZNsbmYkZ3Qh8FZCclSAEPbOj3YTsJH/bLIgIWorFajsyjhBwNsytubQuXa&#10;ne0BT8fYMQqxIVcS+hinnPPQ9mhUWLoJLWlfzhsVafUd116dKdyMfCVEyo0aLH3o1YS7Htvv42wk&#10;7KvD/u1zO1dPyWNdV6/+fdc8bKW8v0vEM7CIl/hnhis+oUNJTI2brQ5slLDIUnLS/TpJXyfpGlgj&#10;YSUy4GXB/xcofwFQSwMEFAAAAAgAh07iQNSqqWr4AQAA7QMAAA4AAABkcnMvZTJvRG9jLnhtbK1T&#10;O47bMBDtA+QOBPtYlhex14LlLdbZNEFiIJ+e5kciwB84tGWfJddIlSbH2WtkSDnezaZxERXEkDN8&#10;M+/pcXV3tIYcZATtXUvryZQS6bgX2nUt/frl4c0tJZCYE8x4J1t6kkDv1q9frYbQyJnvvREyEgRx&#10;0AyhpX1Koakq4L20DCY+SIdJ5aNlCbexq0RkA6JbU82m03k1+ChC9FwC4OlmTNIzYrwG0Culudx4&#10;vrfSpRE1SsMSUoJeB6DrMq1SkqdPSoFMxLQUmaayYhOMd3mt1ivWdJGFXvPzCOyaEV5wskw7bHqB&#10;2rDEyD7qf6Cs5tGDV2nCva1GIkURZFFPX2jzuWdBFi4oNYSL6PD/YPnHwzYSLVq6vKHEMYt//PH7&#10;j8efv0hdL7I8Q4AGq+7dNp53ELYxcz2qaIkyOnxDHxX2yIcci7ini7jymAjHw9l8ebt4i7pzzNU3&#10;y0URvxphMlyIkN5Lb0kOWmq0y9xZww4fIGFrLP1Tko+NI0NLF3P0FGIydKJCB2BoA7IB15XL4I0W&#10;D9qYfAVit7s3kRxYdkP5MkME/qssd9kw6Me6khp90ksm3jlB0imgTA6fB80zWCkoMRJfU44QkDWJ&#10;aXNNJbY2DifIIo+y5mjnxQn/yj5E3fUoRV2mzBl0QZn37Nhss+f7gvT0St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SucPjZAAAACAEAAA8AAAAAAAAAAQAgAAAAIgAAAGRycy9kb3ducmV2Lnht&#10;bFBLAQIUABQAAAAIAIdO4kDUqqlq+AEAAO0DAAAOAAAAAAAAAAEAIAAAACgBAABkcnMvZTJvRG9j&#10;LnhtbFBLBQYAAAAABgAGAFkBAACSBQAAAAA=&#10;">
                      <v:fill on="f" focussize="0,0"/>
                      <v:stroke weight="6pt" color="#000000" joinstyle="round"/>
                      <v:imagedata o:title=""/>
                      <o:lock v:ext="edit" aspectratio="f"/>
                    </v:line>
                  </w:pict>
                </mc:Fallback>
              </mc:AlternateContent>
            </w:r>
          </w:p>
        </w:tc>
        <w:tc>
          <w:tcPr>
            <w:tcW w:w="505" w:type="dxa"/>
            <w:vAlign w:val="center"/>
          </w:tcPr>
          <w:p>
            <w:pPr>
              <w:spacing w:line="240" w:lineRule="auto"/>
              <w:jc w:val="center"/>
              <w:rPr>
                <w:rFonts w:eastAsia="仿宋_GB2312"/>
                <w:color w:val="auto"/>
                <w:sz w:val="18"/>
                <w:szCs w:val="18"/>
              </w:rPr>
            </w:pPr>
          </w:p>
        </w:tc>
        <w:tc>
          <w:tcPr>
            <w:tcW w:w="499" w:type="dxa"/>
            <w:vAlign w:val="center"/>
          </w:tcPr>
          <w:p>
            <w:pPr>
              <w:spacing w:line="240" w:lineRule="auto"/>
              <w:jc w:val="center"/>
              <w:rPr>
                <w:rFonts w:eastAsia="仿宋_GB2312"/>
                <w:color w:val="auto"/>
                <w:sz w:val="18"/>
                <w:szCs w:val="18"/>
              </w:rPr>
            </w:pPr>
          </w:p>
        </w:tc>
        <w:tc>
          <w:tcPr>
            <w:tcW w:w="496" w:type="dxa"/>
            <w:vAlign w:val="center"/>
          </w:tcPr>
          <w:p>
            <w:pPr>
              <w:spacing w:line="240" w:lineRule="auto"/>
              <w:jc w:val="center"/>
              <w:rPr>
                <w:rFonts w:eastAsia="仿宋_GB2312"/>
                <w:color w:val="auto"/>
                <w:sz w:val="18"/>
                <w:szCs w:val="18"/>
              </w:rPr>
            </w:pPr>
          </w:p>
        </w:tc>
        <w:tc>
          <w:tcPr>
            <w:tcW w:w="499" w:type="dxa"/>
            <w:vAlign w:val="center"/>
          </w:tcPr>
          <w:p>
            <w:pPr>
              <w:spacing w:line="240" w:lineRule="auto"/>
              <w:jc w:val="center"/>
              <w:rPr>
                <w:rFonts w:eastAsia="仿宋_GB2312"/>
                <w:color w:val="auto"/>
                <w:sz w:val="18"/>
                <w:szCs w:val="18"/>
              </w:rPr>
            </w:pPr>
          </w:p>
        </w:tc>
        <w:tc>
          <w:tcPr>
            <w:tcW w:w="485" w:type="dxa"/>
            <w:vAlign w:val="center"/>
          </w:tcPr>
          <w:p>
            <w:pPr>
              <w:spacing w:line="240" w:lineRule="auto"/>
              <w:jc w:val="center"/>
              <w:rPr>
                <w:rFonts w:eastAsia="仿宋_GB2312"/>
                <w:color w:val="auto"/>
                <w:sz w:val="18"/>
                <w:szCs w:val="18"/>
              </w:rPr>
            </w:pPr>
          </w:p>
        </w:tc>
        <w:tc>
          <w:tcPr>
            <w:tcW w:w="471" w:type="dxa"/>
            <w:vAlign w:val="center"/>
          </w:tcPr>
          <w:p>
            <w:pPr>
              <w:spacing w:line="240" w:lineRule="auto"/>
              <w:jc w:val="center"/>
              <w:rPr>
                <w:rFonts w:eastAsia="仿宋_GB2312"/>
                <w:color w:val="auto"/>
                <w:sz w:val="18"/>
                <w:szCs w:val="18"/>
              </w:rPr>
            </w:pPr>
          </w:p>
        </w:tc>
        <w:tc>
          <w:tcPr>
            <w:tcW w:w="465" w:type="dxa"/>
            <w:vAlign w:val="center"/>
          </w:tcPr>
          <w:p>
            <w:pPr>
              <w:spacing w:line="240" w:lineRule="auto"/>
              <w:jc w:val="center"/>
              <w:rPr>
                <w:rFonts w:eastAsia="仿宋_GB2312"/>
                <w:color w:val="auto"/>
                <w:sz w:val="18"/>
                <w:szCs w:val="18"/>
              </w:rPr>
            </w:pPr>
          </w:p>
        </w:tc>
        <w:tc>
          <w:tcPr>
            <w:tcW w:w="448" w:type="dxa"/>
            <w:vAlign w:val="center"/>
          </w:tcPr>
          <w:p>
            <w:pPr>
              <w:spacing w:line="240" w:lineRule="auto"/>
              <w:jc w:val="center"/>
              <w:rPr>
                <w:rFonts w:eastAsia="仿宋_GB2312"/>
                <w:color w:val="auto"/>
                <w:sz w:val="18"/>
                <w:szCs w:val="18"/>
              </w:rPr>
            </w:pPr>
          </w:p>
        </w:tc>
        <w:tc>
          <w:tcPr>
            <w:tcW w:w="445" w:type="dxa"/>
            <w:vAlign w:val="center"/>
          </w:tcPr>
          <w:p>
            <w:pPr>
              <w:spacing w:line="240" w:lineRule="auto"/>
              <w:jc w:val="center"/>
              <w:rPr>
                <w:rFonts w:eastAsia="仿宋_GB2312"/>
                <w:color w:val="auto"/>
                <w:sz w:val="18"/>
                <w:szCs w:val="18"/>
              </w:rPr>
            </w:pPr>
          </w:p>
        </w:tc>
        <w:tc>
          <w:tcPr>
            <w:tcW w:w="439" w:type="dxa"/>
            <w:vAlign w:val="center"/>
          </w:tcPr>
          <w:p>
            <w:pPr>
              <w:spacing w:line="240" w:lineRule="auto"/>
              <w:jc w:val="center"/>
              <w:rPr>
                <w:rFonts w:eastAsia="仿宋_GB2312"/>
                <w:color w:val="auto"/>
                <w:sz w:val="18"/>
                <w:szCs w:val="18"/>
              </w:rPr>
            </w:pPr>
          </w:p>
        </w:tc>
        <w:tc>
          <w:tcPr>
            <w:tcW w:w="437" w:type="dxa"/>
            <w:vAlign w:val="center"/>
          </w:tcPr>
          <w:p>
            <w:pPr>
              <w:spacing w:line="240" w:lineRule="auto"/>
              <w:jc w:val="center"/>
              <w:rPr>
                <w:rFonts w:eastAsia="仿宋_GB2312"/>
                <w:color w:val="auto"/>
                <w:sz w:val="18"/>
                <w:szCs w:val="18"/>
              </w:rPr>
            </w:pPr>
          </w:p>
        </w:tc>
        <w:tc>
          <w:tcPr>
            <w:tcW w:w="434" w:type="dxa"/>
            <w:vAlign w:val="center"/>
          </w:tcPr>
          <w:p>
            <w:pPr>
              <w:spacing w:line="240" w:lineRule="auto"/>
              <w:jc w:val="center"/>
              <w:rPr>
                <w:rFonts w:eastAsia="仿宋_GB2312"/>
                <w:color w:val="auto"/>
                <w:sz w:val="18"/>
                <w:szCs w:val="18"/>
              </w:rPr>
            </w:pPr>
          </w:p>
        </w:tc>
        <w:tc>
          <w:tcPr>
            <w:tcW w:w="420" w:type="dxa"/>
            <w:vAlign w:val="center"/>
          </w:tcPr>
          <w:p>
            <w:pPr>
              <w:spacing w:line="240" w:lineRule="auto"/>
              <w:jc w:val="center"/>
              <w:rPr>
                <w:rFonts w:eastAsia="仿宋_GB2312"/>
                <w:color w:val="auto"/>
                <w:sz w:val="18"/>
                <w:szCs w:val="18"/>
              </w:rPr>
            </w:pPr>
          </w:p>
        </w:tc>
        <w:tc>
          <w:tcPr>
            <w:tcW w:w="417" w:type="dxa"/>
            <w:vAlign w:val="center"/>
          </w:tcPr>
          <w:p>
            <w:pPr>
              <w:spacing w:line="240" w:lineRule="auto"/>
              <w:jc w:val="center"/>
              <w:rPr>
                <w:rFonts w:eastAsia="仿宋_GB2312"/>
                <w:color w:val="auto"/>
                <w:sz w:val="18"/>
                <w:szCs w:val="18"/>
              </w:rPr>
            </w:pPr>
          </w:p>
        </w:tc>
        <w:tc>
          <w:tcPr>
            <w:tcW w:w="411" w:type="dxa"/>
            <w:vAlign w:val="center"/>
          </w:tcPr>
          <w:p>
            <w:pPr>
              <w:spacing w:line="240" w:lineRule="auto"/>
              <w:jc w:val="center"/>
              <w:rPr>
                <w:rFonts w:eastAsia="仿宋_GB2312"/>
                <w:color w:val="auto"/>
                <w:sz w:val="18"/>
                <w:szCs w:val="18"/>
              </w:rPr>
            </w:pPr>
          </w:p>
        </w:tc>
        <w:tc>
          <w:tcPr>
            <w:tcW w:w="527" w:type="dxa"/>
            <w:vAlign w:val="center"/>
          </w:tcPr>
          <w:p>
            <w:pPr>
              <w:spacing w:line="240" w:lineRule="auto"/>
              <w:jc w:val="center"/>
              <w:rPr>
                <w:rFonts w:eastAsia="仿宋_GB2312"/>
                <w:color w:val="auto"/>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89" w:type="dxa"/>
            <w:vMerge w:val="continue"/>
            <w:vAlign w:val="center"/>
          </w:tcPr>
          <w:p>
            <w:pPr>
              <w:spacing w:line="240" w:lineRule="auto"/>
              <w:jc w:val="center"/>
              <w:rPr>
                <w:rFonts w:eastAsia="仿宋_GB2312"/>
                <w:b/>
                <w:color w:val="auto"/>
                <w:sz w:val="18"/>
                <w:szCs w:val="18"/>
                <w:lang w:val="zh-CN"/>
              </w:rPr>
            </w:pPr>
          </w:p>
        </w:tc>
        <w:tc>
          <w:tcPr>
            <w:tcW w:w="1031" w:type="dxa"/>
            <w:vMerge w:val="restart"/>
            <w:vAlign w:val="center"/>
          </w:tcPr>
          <w:p>
            <w:pPr>
              <w:spacing w:line="240" w:lineRule="auto"/>
              <w:jc w:val="center"/>
              <w:rPr>
                <w:rFonts w:hint="default" w:eastAsia="仿宋_GB2312"/>
                <w:color w:val="auto"/>
                <w:kern w:val="2"/>
                <w:sz w:val="18"/>
                <w:szCs w:val="18"/>
                <w:lang w:val="en-US" w:eastAsia="zh-CN"/>
              </w:rPr>
            </w:pPr>
            <w:r>
              <w:rPr>
                <w:rFonts w:hint="eastAsia" w:eastAsia="仿宋_GB2312"/>
                <w:color w:val="auto"/>
                <w:kern w:val="2"/>
                <w:sz w:val="18"/>
                <w:szCs w:val="18"/>
                <w:lang w:val="en-US" w:eastAsia="zh-CN"/>
              </w:rPr>
              <w:t>临时措施</w:t>
            </w:r>
          </w:p>
        </w:tc>
        <w:tc>
          <w:tcPr>
            <w:tcW w:w="1037" w:type="dxa"/>
            <w:vAlign w:val="center"/>
          </w:tcPr>
          <w:p>
            <w:pPr>
              <w:spacing w:line="240" w:lineRule="auto"/>
              <w:jc w:val="center"/>
              <w:rPr>
                <w:rFonts w:eastAsia="仿宋_GB2312"/>
                <w:color w:val="auto"/>
                <w:sz w:val="18"/>
                <w:szCs w:val="18"/>
              </w:rPr>
            </w:pPr>
            <w:r>
              <w:rPr>
                <w:rFonts w:eastAsia="仿宋_GB2312"/>
                <w:color w:val="auto"/>
                <w:sz w:val="18"/>
                <w:szCs w:val="18"/>
              </w:rPr>
              <w:t>密目网覆盖</w:t>
            </w:r>
          </w:p>
        </w:tc>
        <w:tc>
          <w:tcPr>
            <w:tcW w:w="496" w:type="dxa"/>
            <w:vAlign w:val="center"/>
          </w:tcPr>
          <w:p>
            <w:pPr>
              <w:spacing w:line="240" w:lineRule="auto"/>
              <w:jc w:val="center"/>
              <w:rPr>
                <w:rFonts w:eastAsia="仿宋_GB2312"/>
                <w:color w:val="auto"/>
                <w:sz w:val="18"/>
                <w:szCs w:val="18"/>
              </w:rPr>
            </w:pPr>
          </w:p>
        </w:tc>
        <w:tc>
          <w:tcPr>
            <w:tcW w:w="519" w:type="dxa"/>
            <w:vAlign w:val="center"/>
          </w:tcPr>
          <w:p>
            <w:pPr>
              <w:spacing w:line="240" w:lineRule="auto"/>
              <w:jc w:val="center"/>
              <w:rPr>
                <w:rFonts w:eastAsia="仿宋_GB2312"/>
                <w:color w:val="auto"/>
                <w:sz w:val="18"/>
                <w:szCs w:val="18"/>
              </w:rPr>
            </w:pPr>
          </w:p>
        </w:tc>
        <w:tc>
          <w:tcPr>
            <w:tcW w:w="564" w:type="dxa"/>
            <w:vAlign w:val="center"/>
          </w:tcPr>
          <w:p>
            <w:pPr>
              <w:spacing w:line="240" w:lineRule="auto"/>
              <w:jc w:val="center"/>
              <w:rPr>
                <w:rFonts w:eastAsia="仿宋_GB2312"/>
                <w:color w:val="auto"/>
                <w:sz w:val="18"/>
                <w:szCs w:val="18"/>
              </w:rPr>
            </w:pPr>
          </w:p>
        </w:tc>
        <w:tc>
          <w:tcPr>
            <w:tcW w:w="550" w:type="dxa"/>
            <w:vAlign w:val="center"/>
          </w:tcPr>
          <w:p>
            <w:pPr>
              <w:spacing w:line="240" w:lineRule="auto"/>
              <w:jc w:val="center"/>
              <w:rPr>
                <w:rFonts w:eastAsia="仿宋_GB2312"/>
                <w:color w:val="auto"/>
                <w:sz w:val="18"/>
                <w:szCs w:val="18"/>
              </w:rPr>
            </w:pPr>
          </w:p>
        </w:tc>
        <w:tc>
          <w:tcPr>
            <w:tcW w:w="530" w:type="dxa"/>
            <w:vAlign w:val="center"/>
          </w:tcPr>
          <w:p>
            <w:pPr>
              <w:spacing w:line="240" w:lineRule="auto"/>
              <w:jc w:val="center"/>
              <w:rPr>
                <w:rFonts w:eastAsia="仿宋_GB2312"/>
                <w:color w:val="auto"/>
                <w:sz w:val="18"/>
                <w:szCs w:val="18"/>
              </w:rPr>
            </w:pPr>
          </w:p>
        </w:tc>
        <w:tc>
          <w:tcPr>
            <w:tcW w:w="522" w:type="dxa"/>
            <w:vAlign w:val="center"/>
          </w:tcPr>
          <w:p>
            <w:pPr>
              <w:spacing w:line="240" w:lineRule="auto"/>
              <w:jc w:val="center"/>
              <w:rPr>
                <w:rFonts w:eastAsia="仿宋_GB2312"/>
                <w:color w:val="auto"/>
                <w:sz w:val="18"/>
                <w:szCs w:val="18"/>
              </w:rPr>
            </w:pPr>
          </w:p>
        </w:tc>
        <w:tc>
          <w:tcPr>
            <w:tcW w:w="522" w:type="dxa"/>
            <w:vAlign w:val="center"/>
          </w:tcPr>
          <w:p>
            <w:pPr>
              <w:spacing w:line="240" w:lineRule="auto"/>
              <w:jc w:val="center"/>
              <w:rPr>
                <w:rFonts w:eastAsia="仿宋_GB2312"/>
                <w:color w:val="auto"/>
                <w:sz w:val="18"/>
                <w:szCs w:val="18"/>
              </w:rPr>
            </w:pPr>
          </w:p>
        </w:tc>
        <w:tc>
          <w:tcPr>
            <w:tcW w:w="507" w:type="dxa"/>
            <w:vAlign w:val="center"/>
          </w:tcPr>
          <w:p>
            <w:pPr>
              <w:spacing w:line="240" w:lineRule="auto"/>
              <w:jc w:val="center"/>
              <w:rPr>
                <w:rFonts w:eastAsia="仿宋_GB2312"/>
                <w:color w:val="auto"/>
                <w:sz w:val="18"/>
                <w:szCs w:val="18"/>
              </w:rPr>
            </w:pPr>
            <w:r>
              <w:rPr>
                <w:rFonts w:eastAsia="仿宋_GB2312"/>
                <w:color w:val="auto"/>
                <w:sz w:val="18"/>
                <w:szCs w:val="18"/>
              </w:rPr>
              <mc:AlternateContent>
                <mc:Choice Requires="wps">
                  <w:drawing>
                    <wp:anchor distT="0" distB="0" distL="114300" distR="114300" simplePos="0" relativeHeight="251674624" behindDoc="0" locked="0" layoutInCell="1" allowOverlap="1">
                      <wp:simplePos x="0" y="0"/>
                      <wp:positionH relativeFrom="column">
                        <wp:posOffset>-52705</wp:posOffset>
                      </wp:positionH>
                      <wp:positionV relativeFrom="paragraph">
                        <wp:posOffset>203200</wp:posOffset>
                      </wp:positionV>
                      <wp:extent cx="932180" cy="635"/>
                      <wp:effectExtent l="0" t="38100" r="7620" b="50165"/>
                      <wp:wrapNone/>
                      <wp:docPr id="92" name="直线 4"/>
                      <wp:cNvGraphicFramePr/>
                      <a:graphic xmlns:a="http://schemas.openxmlformats.org/drawingml/2006/main">
                        <a:graphicData uri="http://schemas.microsoft.com/office/word/2010/wordprocessingShape">
                          <wps:wsp>
                            <wps:cNvCnPr/>
                            <wps:spPr>
                              <a:xfrm flipV="1">
                                <a:off x="0" y="0"/>
                                <a:ext cx="932180" cy="635"/>
                              </a:xfrm>
                              <a:prstGeom prst="line">
                                <a:avLst/>
                              </a:prstGeom>
                              <a:ln w="76200" cap="flat" cmpd="sng">
                                <a:solidFill>
                                  <a:srgbClr val="7030A0"/>
                                </a:solidFill>
                                <a:prstDash val="solid"/>
                                <a:headEnd type="none" w="med" len="med"/>
                                <a:tailEnd type="none" w="med" len="med"/>
                              </a:ln>
                            </wps:spPr>
                            <wps:bodyPr upright="1"/>
                          </wps:wsp>
                        </a:graphicData>
                      </a:graphic>
                    </wp:anchor>
                  </w:drawing>
                </mc:Choice>
                <mc:Fallback>
                  <w:pict>
                    <v:line id="直线 4" o:spid="_x0000_s1026" o:spt="20" style="position:absolute;left:0pt;flip:y;margin-left:-4.15pt;margin-top:16pt;height:0.05pt;width:73.4pt;z-index:251674624;mso-width-relative:page;mso-height-relative:page;" filled="f" stroked="t" coordsize="21600,21600" o:gfxdata="UEsDBAoAAAAAAIdO4kAAAAAAAAAAAAAAAAAEAAAAZHJzL1BLAwQUAAAACACHTuJA/0YljtcAAAAI&#10;AQAADwAAAGRycy9kb3ducmV2LnhtbE2PwU7DMBBE70j9B2srcUGtk0agEOL0UAlxQKKiIM7beOuE&#10;xus0dtPy9zgnOO7MaPZNub7aTow0+NaxgnSZgCCunW7ZKPj8eF7kIHxA1tg5JgU/5GFdzW5KLLS7&#10;8DuNu2BELGFfoIImhL6Q0tcNWfRL1xNH7+AGiyGeg5F6wEsst51cJcmDtNhy/NBgT5uG6uPubBV8&#10;vb2y5039ePi+M9lp+zKakG6Vup2nyROIQNfwF4YJP6JDFZn27szai07BIs9iUkG2ipMmP8vvQewn&#10;IQVZlfL/gOoXUEsDBBQAAAAIAIdO4kAQ0jc29gEAAOgDAAAOAAAAZHJzL2Uyb0RvYy54bWytU0uO&#10;EzEQ3SNxB8t70p0EMjOtdEZowrBBEAlm9o4/3Zb8k8tJJ2fhGqzYcJy5BmV3CDBssmBjlV3lV/We&#10;n5e3B2vIXkbQ3rV0OqkpkY57oV3X0ocv96+uKYHEnGDGO9nSowR6u3r5YjmERs58742QkSCIg2YI&#10;Le1TCk1VAe+lZTDxQTpMKh8tS7iNXSUiGxDdmmpW14tq8FGE6LkEwNP1mKQnxHgJoFdKc7n2fGel&#10;SyNqlIYlpAS9DkBXZVqlJE+flAKZiGkpMk1lxSYYb/NarZas6SILveanEdglIzzjZJl22PQMtWaJ&#10;kV3U/0BZzaMHr9KEe1uNRIoiyGJaP9Pmc8+CLFxQaghn0eH/wfKP+00kWrT0ZkaJYxZf/Onrt6fv&#10;P8jrLM4QoMGaO7eJpx2ETcxMDypaoowOj+iiwh3ZkEOR9niWVh4S4Xh4M59Nr1F0jqnF/E2GrkaM&#10;jBUipPfSW5KDlhrtMm3WsP0HSGPpr5J8bBwZWnq1QDshIkMTKnx8DG1AIuC6chm80eJeG5OvQOy2&#10;dyaSPUMjXNXz+m15e5zhr7LcZc2gH+tKarRIL5l45wRJx4AKOfwZNM9gpaDESPxIOcJJWZOYNpdU&#10;YmvjUIWs8KhpjrZeHPFBdiHqrkcppkWpnEEDFM1OZs0O+3NfkH5/0N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YljtcAAAAIAQAADwAAAAAAAAABACAAAAAiAAAAZHJzL2Rvd25yZXYueG1sUEsB&#10;AhQAFAAAAAgAh07iQBDSNzb2AQAA6AMAAA4AAAAAAAAAAQAgAAAAJgEAAGRycy9lMm9Eb2MueG1s&#10;UEsFBgAAAAAGAAYAWQEAAI4FAAAAAA==&#10;">
                      <v:fill on="f" focussize="0,0"/>
                      <v:stroke weight="6pt" color="#7030A0" joinstyle="round"/>
                      <v:imagedata o:title=""/>
                      <o:lock v:ext="edit" aspectratio="f"/>
                    </v:line>
                  </w:pict>
                </mc:Fallback>
              </mc:AlternateContent>
            </w:r>
          </w:p>
        </w:tc>
        <w:tc>
          <w:tcPr>
            <w:tcW w:w="505" w:type="dxa"/>
            <w:vAlign w:val="center"/>
          </w:tcPr>
          <w:p>
            <w:pPr>
              <w:spacing w:line="240" w:lineRule="auto"/>
              <w:jc w:val="center"/>
              <w:rPr>
                <w:rFonts w:eastAsia="仿宋_GB2312"/>
                <w:color w:val="auto"/>
                <w:sz w:val="18"/>
                <w:szCs w:val="18"/>
              </w:rPr>
            </w:pPr>
          </w:p>
        </w:tc>
        <w:tc>
          <w:tcPr>
            <w:tcW w:w="499" w:type="dxa"/>
            <w:vAlign w:val="center"/>
          </w:tcPr>
          <w:p>
            <w:pPr>
              <w:spacing w:line="240" w:lineRule="auto"/>
              <w:jc w:val="center"/>
              <w:rPr>
                <w:rFonts w:eastAsia="仿宋_GB2312"/>
                <w:color w:val="auto"/>
                <w:sz w:val="18"/>
                <w:szCs w:val="18"/>
              </w:rPr>
            </w:pPr>
          </w:p>
        </w:tc>
        <w:tc>
          <w:tcPr>
            <w:tcW w:w="496" w:type="dxa"/>
            <w:vAlign w:val="center"/>
          </w:tcPr>
          <w:p>
            <w:pPr>
              <w:spacing w:line="240" w:lineRule="auto"/>
              <w:jc w:val="center"/>
              <w:rPr>
                <w:rFonts w:eastAsia="仿宋_GB2312"/>
                <w:color w:val="auto"/>
                <w:sz w:val="18"/>
                <w:szCs w:val="18"/>
              </w:rPr>
            </w:pPr>
          </w:p>
        </w:tc>
        <w:tc>
          <w:tcPr>
            <w:tcW w:w="499" w:type="dxa"/>
            <w:vAlign w:val="center"/>
          </w:tcPr>
          <w:p>
            <w:pPr>
              <w:spacing w:line="240" w:lineRule="auto"/>
              <w:jc w:val="center"/>
              <w:rPr>
                <w:rFonts w:eastAsia="仿宋_GB2312"/>
                <w:color w:val="auto"/>
                <w:sz w:val="18"/>
                <w:szCs w:val="18"/>
              </w:rPr>
            </w:pPr>
          </w:p>
        </w:tc>
        <w:tc>
          <w:tcPr>
            <w:tcW w:w="485" w:type="dxa"/>
            <w:vAlign w:val="center"/>
          </w:tcPr>
          <w:p>
            <w:pPr>
              <w:spacing w:line="240" w:lineRule="auto"/>
              <w:jc w:val="center"/>
              <w:rPr>
                <w:rFonts w:eastAsia="仿宋_GB2312"/>
                <w:color w:val="auto"/>
                <w:sz w:val="18"/>
                <w:szCs w:val="18"/>
              </w:rPr>
            </w:pPr>
          </w:p>
        </w:tc>
        <w:tc>
          <w:tcPr>
            <w:tcW w:w="471" w:type="dxa"/>
            <w:vAlign w:val="center"/>
          </w:tcPr>
          <w:p>
            <w:pPr>
              <w:spacing w:line="240" w:lineRule="auto"/>
              <w:jc w:val="center"/>
              <w:rPr>
                <w:rFonts w:eastAsia="仿宋_GB2312"/>
                <w:color w:val="auto"/>
                <w:sz w:val="18"/>
                <w:szCs w:val="18"/>
              </w:rPr>
            </w:pPr>
          </w:p>
        </w:tc>
        <w:tc>
          <w:tcPr>
            <w:tcW w:w="465" w:type="dxa"/>
            <w:vAlign w:val="center"/>
          </w:tcPr>
          <w:p>
            <w:pPr>
              <w:spacing w:line="240" w:lineRule="auto"/>
              <w:jc w:val="center"/>
              <w:rPr>
                <w:rFonts w:eastAsia="仿宋_GB2312"/>
                <w:color w:val="auto"/>
                <w:sz w:val="18"/>
                <w:szCs w:val="18"/>
              </w:rPr>
            </w:pPr>
          </w:p>
        </w:tc>
        <w:tc>
          <w:tcPr>
            <w:tcW w:w="448" w:type="dxa"/>
            <w:vAlign w:val="center"/>
          </w:tcPr>
          <w:p>
            <w:pPr>
              <w:spacing w:line="240" w:lineRule="auto"/>
              <w:jc w:val="center"/>
              <w:rPr>
                <w:rFonts w:eastAsia="仿宋_GB2312"/>
                <w:color w:val="auto"/>
                <w:sz w:val="18"/>
                <w:szCs w:val="18"/>
              </w:rPr>
            </w:pPr>
          </w:p>
        </w:tc>
        <w:tc>
          <w:tcPr>
            <w:tcW w:w="445" w:type="dxa"/>
            <w:vAlign w:val="center"/>
          </w:tcPr>
          <w:p>
            <w:pPr>
              <w:spacing w:line="240" w:lineRule="auto"/>
              <w:jc w:val="center"/>
              <w:rPr>
                <w:rFonts w:eastAsia="仿宋_GB2312"/>
                <w:color w:val="auto"/>
                <w:sz w:val="18"/>
                <w:szCs w:val="18"/>
              </w:rPr>
            </w:pPr>
          </w:p>
        </w:tc>
        <w:tc>
          <w:tcPr>
            <w:tcW w:w="439" w:type="dxa"/>
            <w:vAlign w:val="center"/>
          </w:tcPr>
          <w:p>
            <w:pPr>
              <w:spacing w:line="240" w:lineRule="auto"/>
              <w:jc w:val="center"/>
              <w:rPr>
                <w:rFonts w:eastAsia="仿宋_GB2312"/>
                <w:color w:val="auto"/>
                <w:sz w:val="18"/>
                <w:szCs w:val="18"/>
              </w:rPr>
            </w:pPr>
          </w:p>
        </w:tc>
        <w:tc>
          <w:tcPr>
            <w:tcW w:w="437" w:type="dxa"/>
            <w:vAlign w:val="center"/>
          </w:tcPr>
          <w:p>
            <w:pPr>
              <w:spacing w:line="240" w:lineRule="auto"/>
              <w:jc w:val="center"/>
              <w:rPr>
                <w:rFonts w:eastAsia="仿宋_GB2312"/>
                <w:color w:val="auto"/>
                <w:sz w:val="18"/>
                <w:szCs w:val="18"/>
              </w:rPr>
            </w:pPr>
          </w:p>
        </w:tc>
        <w:tc>
          <w:tcPr>
            <w:tcW w:w="434" w:type="dxa"/>
            <w:vAlign w:val="center"/>
          </w:tcPr>
          <w:p>
            <w:pPr>
              <w:spacing w:line="240" w:lineRule="auto"/>
              <w:jc w:val="center"/>
              <w:rPr>
                <w:rFonts w:eastAsia="仿宋_GB2312"/>
                <w:color w:val="auto"/>
                <w:sz w:val="18"/>
                <w:szCs w:val="18"/>
              </w:rPr>
            </w:pPr>
          </w:p>
        </w:tc>
        <w:tc>
          <w:tcPr>
            <w:tcW w:w="420" w:type="dxa"/>
            <w:vAlign w:val="center"/>
          </w:tcPr>
          <w:p>
            <w:pPr>
              <w:spacing w:line="240" w:lineRule="auto"/>
              <w:jc w:val="center"/>
              <w:rPr>
                <w:rFonts w:eastAsia="仿宋_GB2312"/>
                <w:color w:val="auto"/>
                <w:sz w:val="18"/>
                <w:szCs w:val="18"/>
              </w:rPr>
            </w:pPr>
          </w:p>
        </w:tc>
        <w:tc>
          <w:tcPr>
            <w:tcW w:w="417" w:type="dxa"/>
            <w:vAlign w:val="center"/>
          </w:tcPr>
          <w:p>
            <w:pPr>
              <w:spacing w:line="240" w:lineRule="auto"/>
              <w:jc w:val="center"/>
              <w:rPr>
                <w:rFonts w:eastAsia="仿宋_GB2312"/>
                <w:color w:val="auto"/>
                <w:sz w:val="18"/>
                <w:szCs w:val="18"/>
              </w:rPr>
            </w:pPr>
          </w:p>
        </w:tc>
        <w:tc>
          <w:tcPr>
            <w:tcW w:w="411" w:type="dxa"/>
            <w:vAlign w:val="center"/>
          </w:tcPr>
          <w:p>
            <w:pPr>
              <w:spacing w:line="240" w:lineRule="auto"/>
              <w:jc w:val="center"/>
              <w:rPr>
                <w:rFonts w:eastAsia="仿宋_GB2312"/>
                <w:color w:val="auto"/>
                <w:sz w:val="18"/>
                <w:szCs w:val="18"/>
              </w:rPr>
            </w:pPr>
          </w:p>
        </w:tc>
        <w:tc>
          <w:tcPr>
            <w:tcW w:w="527" w:type="dxa"/>
            <w:vAlign w:val="center"/>
          </w:tcPr>
          <w:p>
            <w:pPr>
              <w:spacing w:line="240" w:lineRule="auto"/>
              <w:jc w:val="center"/>
              <w:rPr>
                <w:rFonts w:eastAsia="仿宋_GB2312"/>
                <w:color w:val="auto"/>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89" w:type="dxa"/>
            <w:vMerge w:val="continue"/>
            <w:vAlign w:val="center"/>
          </w:tcPr>
          <w:p>
            <w:pPr>
              <w:spacing w:line="240" w:lineRule="auto"/>
              <w:jc w:val="center"/>
              <w:rPr>
                <w:rFonts w:eastAsia="仿宋_GB2312"/>
                <w:b/>
                <w:color w:val="auto"/>
                <w:sz w:val="18"/>
                <w:szCs w:val="18"/>
                <w:lang w:val="zh-CN"/>
              </w:rPr>
            </w:pPr>
          </w:p>
        </w:tc>
        <w:tc>
          <w:tcPr>
            <w:tcW w:w="1031" w:type="dxa"/>
            <w:vMerge w:val="continue"/>
            <w:vAlign w:val="center"/>
          </w:tcPr>
          <w:p>
            <w:pPr>
              <w:spacing w:line="240" w:lineRule="auto"/>
              <w:jc w:val="center"/>
              <w:rPr>
                <w:rFonts w:hint="eastAsia" w:eastAsia="仿宋_GB2312"/>
                <w:color w:val="auto"/>
                <w:kern w:val="2"/>
                <w:sz w:val="18"/>
                <w:szCs w:val="18"/>
                <w:lang w:val="en-US" w:eastAsia="zh-CN"/>
              </w:rPr>
            </w:pPr>
          </w:p>
        </w:tc>
        <w:tc>
          <w:tcPr>
            <w:tcW w:w="1037" w:type="dxa"/>
            <w:vAlign w:val="center"/>
          </w:tcPr>
          <w:p>
            <w:pPr>
              <w:spacing w:line="240" w:lineRule="auto"/>
              <w:jc w:val="center"/>
              <w:rPr>
                <w:rFonts w:hint="eastAsia" w:eastAsia="仿宋_GB2312"/>
                <w:color w:val="auto"/>
                <w:sz w:val="18"/>
                <w:szCs w:val="18"/>
                <w:lang w:val="en-US" w:eastAsia="zh-CN"/>
              </w:rPr>
            </w:pPr>
            <w:r>
              <w:rPr>
                <w:rFonts w:hint="eastAsia" w:eastAsia="仿宋_GB2312"/>
                <w:color w:val="auto"/>
                <w:sz w:val="18"/>
                <w:szCs w:val="18"/>
                <w:lang w:val="en-US" w:eastAsia="zh-CN"/>
              </w:rPr>
              <w:t>泥浆池</w:t>
            </w:r>
          </w:p>
        </w:tc>
        <w:tc>
          <w:tcPr>
            <w:tcW w:w="496" w:type="dxa"/>
            <w:vAlign w:val="center"/>
          </w:tcPr>
          <w:p>
            <w:pPr>
              <w:spacing w:line="240" w:lineRule="auto"/>
              <w:jc w:val="center"/>
              <w:rPr>
                <w:rFonts w:eastAsia="仿宋_GB2312"/>
                <w:color w:val="auto"/>
                <w:sz w:val="18"/>
                <w:szCs w:val="18"/>
              </w:rPr>
            </w:pPr>
          </w:p>
        </w:tc>
        <w:tc>
          <w:tcPr>
            <w:tcW w:w="519" w:type="dxa"/>
            <w:vAlign w:val="center"/>
          </w:tcPr>
          <w:p>
            <w:pPr>
              <w:spacing w:line="240" w:lineRule="auto"/>
              <w:jc w:val="center"/>
              <w:rPr>
                <w:rFonts w:eastAsia="仿宋_GB2312"/>
                <w:color w:val="auto"/>
                <w:sz w:val="18"/>
                <w:szCs w:val="18"/>
              </w:rPr>
            </w:pPr>
          </w:p>
        </w:tc>
        <w:tc>
          <w:tcPr>
            <w:tcW w:w="564" w:type="dxa"/>
            <w:vAlign w:val="center"/>
          </w:tcPr>
          <w:p>
            <w:pPr>
              <w:spacing w:line="240" w:lineRule="auto"/>
              <w:jc w:val="center"/>
              <w:rPr>
                <w:rFonts w:eastAsia="仿宋_GB2312"/>
                <w:color w:val="auto"/>
                <w:sz w:val="18"/>
                <w:szCs w:val="18"/>
              </w:rPr>
            </w:pPr>
          </w:p>
        </w:tc>
        <w:tc>
          <w:tcPr>
            <w:tcW w:w="550" w:type="dxa"/>
            <w:vAlign w:val="center"/>
          </w:tcPr>
          <w:p>
            <w:pPr>
              <w:spacing w:line="240" w:lineRule="auto"/>
              <w:jc w:val="center"/>
              <w:rPr>
                <w:rFonts w:eastAsia="仿宋_GB2312"/>
                <w:color w:val="auto"/>
                <w:sz w:val="18"/>
                <w:szCs w:val="18"/>
              </w:rPr>
            </w:pPr>
          </w:p>
        </w:tc>
        <w:tc>
          <w:tcPr>
            <w:tcW w:w="530" w:type="dxa"/>
            <w:vAlign w:val="center"/>
          </w:tcPr>
          <w:p>
            <w:pPr>
              <w:spacing w:line="240" w:lineRule="auto"/>
              <w:jc w:val="center"/>
              <w:rPr>
                <w:rFonts w:eastAsia="仿宋_GB2312"/>
                <w:color w:val="auto"/>
                <w:sz w:val="18"/>
                <w:szCs w:val="18"/>
              </w:rPr>
            </w:pPr>
          </w:p>
        </w:tc>
        <w:tc>
          <w:tcPr>
            <w:tcW w:w="522" w:type="dxa"/>
            <w:vAlign w:val="center"/>
          </w:tcPr>
          <w:p>
            <w:pPr>
              <w:spacing w:line="240" w:lineRule="auto"/>
              <w:jc w:val="center"/>
              <w:rPr>
                <w:rFonts w:eastAsia="仿宋_GB2312"/>
                <w:color w:val="auto"/>
                <w:sz w:val="18"/>
                <w:szCs w:val="18"/>
              </w:rPr>
            </w:pPr>
          </w:p>
        </w:tc>
        <w:tc>
          <w:tcPr>
            <w:tcW w:w="522" w:type="dxa"/>
            <w:vAlign w:val="center"/>
          </w:tcPr>
          <w:p>
            <w:pPr>
              <w:spacing w:line="240" w:lineRule="auto"/>
              <w:jc w:val="center"/>
              <w:rPr>
                <w:rFonts w:eastAsia="仿宋_GB2312"/>
                <w:color w:val="auto"/>
                <w:sz w:val="18"/>
                <w:szCs w:val="18"/>
              </w:rPr>
            </w:pPr>
          </w:p>
        </w:tc>
        <w:tc>
          <w:tcPr>
            <w:tcW w:w="507" w:type="dxa"/>
            <w:vAlign w:val="center"/>
          </w:tcPr>
          <w:p>
            <w:pPr>
              <w:spacing w:line="240" w:lineRule="auto"/>
              <w:jc w:val="center"/>
              <w:rPr>
                <w:rFonts w:eastAsia="仿宋_GB2312"/>
                <w:color w:val="auto"/>
                <w:sz w:val="18"/>
                <w:szCs w:val="18"/>
              </w:rPr>
            </w:pPr>
            <w:r>
              <w:rPr>
                <w:rFonts w:eastAsia="仿宋_GB2312"/>
                <w:color w:val="auto"/>
                <w:sz w:val="18"/>
                <w:szCs w:val="18"/>
              </w:rPr>
              <mc:AlternateContent>
                <mc:Choice Requires="wps">
                  <w:drawing>
                    <wp:anchor distT="0" distB="0" distL="114300" distR="114300" simplePos="0" relativeHeight="251678720" behindDoc="0" locked="0" layoutInCell="1" allowOverlap="1">
                      <wp:simplePos x="0" y="0"/>
                      <wp:positionH relativeFrom="column">
                        <wp:posOffset>-45085</wp:posOffset>
                      </wp:positionH>
                      <wp:positionV relativeFrom="paragraph">
                        <wp:posOffset>122555</wp:posOffset>
                      </wp:positionV>
                      <wp:extent cx="932180" cy="635"/>
                      <wp:effectExtent l="0" t="38100" r="1270" b="56515"/>
                      <wp:wrapNone/>
                      <wp:docPr id="113" name="直线 4"/>
                      <wp:cNvGraphicFramePr/>
                      <a:graphic xmlns:a="http://schemas.openxmlformats.org/drawingml/2006/main">
                        <a:graphicData uri="http://schemas.microsoft.com/office/word/2010/wordprocessingShape">
                          <wps:wsp>
                            <wps:cNvCnPr/>
                            <wps:spPr>
                              <a:xfrm flipV="1">
                                <a:off x="0" y="0"/>
                                <a:ext cx="932180" cy="635"/>
                              </a:xfrm>
                              <a:prstGeom prst="line">
                                <a:avLst/>
                              </a:prstGeom>
                              <a:ln w="76200" cap="flat" cmpd="sng">
                                <a:solidFill>
                                  <a:srgbClr val="7030A0"/>
                                </a:solidFill>
                                <a:prstDash val="solid"/>
                                <a:headEnd type="none" w="med" len="med"/>
                                <a:tailEnd type="none" w="med" len="med"/>
                              </a:ln>
                            </wps:spPr>
                            <wps:bodyPr upright="1"/>
                          </wps:wsp>
                        </a:graphicData>
                      </a:graphic>
                    </wp:anchor>
                  </w:drawing>
                </mc:Choice>
                <mc:Fallback>
                  <w:pict>
                    <v:line id="直线 4" o:spid="_x0000_s1026" o:spt="20" style="position:absolute;left:0pt;flip:y;margin-left:-3.55pt;margin-top:9.65pt;height:0.05pt;width:73.4pt;z-index:251678720;mso-width-relative:page;mso-height-relative:page;" filled="f" stroked="t" coordsize="21600,21600" o:gfxdata="UEsDBAoAAAAAAIdO4kAAAAAAAAAAAAAAAAAEAAAAZHJzL1BLAwQUAAAACACHTuJAv3pFDNcAAAAI&#10;AQAADwAAAGRycy9kb3ducmV2LnhtbE2PwU7DMBBE70j8g7VIXFDrhCDahDg9VEIckKhaUM9uvHUC&#10;8TrEblr+ns0Jjjszmn1Tri6uEyMOofWkIJ0nIJBqb1qyCj7en2dLECFqMrrzhAp+MMCqur4qdWH8&#10;mbY47qIVXEKh0AqaGPtCylA36HSY+x6JvaMfnI58DlaaQZ+53HXyPkkepdMt8YdG97husP7anZyC&#10;/dsrBVrX+fHzzmbfm5fRxnSj1O1NmjyBiHiJf2GY8BkdKmY6+BOZIDoFs0XKSdbzDMTkZ/kCxGES&#10;HkBWpfw/oPoFUEsDBBQAAAAIAIdO4kCIZLL79gEAAOkDAAAOAAAAZHJzL2Uyb0RvYy54bWytU0uO&#10;EzEQ3SNxB8t70p0EMjOtdEZowrBBEAmYveNPtyX/5HLSyVm4Bis2HGeuMWV3CDBssmBjlV3lV/We&#10;n5e3B2vIXkbQ3rV0OqkpkY57oV3X0q9f7l9dUwKJOcGMd7KlRwn0dvXyxXIIjZz53hshI0EQB80Q&#10;WtqnFJqqAt5Ly2Dig3SYVD5alnAbu0pENiC6NdWsrhfV4KMI0XMJgKfrMUlPiPESQK+U5nLt+c5K&#10;l0bUKA1LSAl6HYCuyrRKSZ4+KQUyEdNSZJrKik0w3ua1Wi1Z00UWes1PI7BLRnjGyTLtsOkZas0S&#10;I7uo/4GymkcPXqUJ97YaiRRFkMW0fqbN554FWbig1BDOosP/g+Uf95tItEAnTOeUOGbxyR+/fX/8&#10;8ZO8zuoMARosunObeNpB2MRM9aCiJcro8ICXC3mkQw5F2+NZW3lIhOPhzXw2vUbVOaYW8zcZuhox&#10;MlaIkN5Lb0kOWmq0y7xZw/YfII2lv0rysXFkaOnVAv2EiAxdqPD1MbQBmYDrymXwRot7bUy+ArHb&#10;3plI9gydcFXP67fl8XGGv8pylzWDfqwrqdEjvWTinRMkHQMq5PBr0DyDlYISI/En5QgnZU1i2lxS&#10;ia2NQxWywqOmOdp6ccQX2YWoux6lmBalcgYdUDQ7uTVb7M99Qfr9Q1d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3pFDNcAAAAIAQAADwAAAAAAAAABACAAAAAiAAAAZHJzL2Rvd25yZXYueG1sUEsB&#10;AhQAFAAAAAgAh07iQIhksvv2AQAA6QMAAA4AAAAAAAAAAQAgAAAAJgEAAGRycy9lMm9Eb2MueG1s&#10;UEsFBgAAAAAGAAYAWQEAAI4FAAAAAA==&#10;">
                      <v:fill on="f" focussize="0,0"/>
                      <v:stroke weight="6pt" color="#7030A0" joinstyle="round"/>
                      <v:imagedata o:title=""/>
                      <o:lock v:ext="edit" aspectratio="f"/>
                    </v:line>
                  </w:pict>
                </mc:Fallback>
              </mc:AlternateContent>
            </w:r>
          </w:p>
        </w:tc>
        <w:tc>
          <w:tcPr>
            <w:tcW w:w="505" w:type="dxa"/>
            <w:vAlign w:val="center"/>
          </w:tcPr>
          <w:p>
            <w:pPr>
              <w:spacing w:line="240" w:lineRule="auto"/>
              <w:jc w:val="center"/>
              <w:rPr>
                <w:rFonts w:eastAsia="仿宋_GB2312"/>
                <w:color w:val="auto"/>
                <w:sz w:val="18"/>
                <w:szCs w:val="18"/>
              </w:rPr>
            </w:pPr>
          </w:p>
        </w:tc>
        <w:tc>
          <w:tcPr>
            <w:tcW w:w="499" w:type="dxa"/>
            <w:vAlign w:val="center"/>
          </w:tcPr>
          <w:p>
            <w:pPr>
              <w:spacing w:line="240" w:lineRule="auto"/>
              <w:jc w:val="center"/>
              <w:rPr>
                <w:rFonts w:eastAsia="仿宋_GB2312"/>
                <w:color w:val="auto"/>
                <w:sz w:val="18"/>
                <w:szCs w:val="18"/>
              </w:rPr>
            </w:pPr>
          </w:p>
        </w:tc>
        <w:tc>
          <w:tcPr>
            <w:tcW w:w="496" w:type="dxa"/>
            <w:vAlign w:val="center"/>
          </w:tcPr>
          <w:p>
            <w:pPr>
              <w:spacing w:line="240" w:lineRule="auto"/>
              <w:jc w:val="center"/>
              <w:rPr>
                <w:rFonts w:eastAsia="仿宋_GB2312"/>
                <w:color w:val="auto"/>
                <w:sz w:val="18"/>
                <w:szCs w:val="18"/>
              </w:rPr>
            </w:pPr>
          </w:p>
        </w:tc>
        <w:tc>
          <w:tcPr>
            <w:tcW w:w="499" w:type="dxa"/>
            <w:vAlign w:val="center"/>
          </w:tcPr>
          <w:p>
            <w:pPr>
              <w:spacing w:line="240" w:lineRule="auto"/>
              <w:jc w:val="center"/>
              <w:rPr>
                <w:rFonts w:eastAsia="仿宋_GB2312"/>
                <w:color w:val="auto"/>
                <w:sz w:val="18"/>
                <w:szCs w:val="18"/>
              </w:rPr>
            </w:pPr>
          </w:p>
        </w:tc>
        <w:tc>
          <w:tcPr>
            <w:tcW w:w="485" w:type="dxa"/>
            <w:vAlign w:val="center"/>
          </w:tcPr>
          <w:p>
            <w:pPr>
              <w:spacing w:line="240" w:lineRule="auto"/>
              <w:jc w:val="center"/>
              <w:rPr>
                <w:rFonts w:eastAsia="仿宋_GB2312"/>
                <w:color w:val="auto"/>
                <w:sz w:val="18"/>
                <w:szCs w:val="18"/>
              </w:rPr>
            </w:pPr>
          </w:p>
        </w:tc>
        <w:tc>
          <w:tcPr>
            <w:tcW w:w="471" w:type="dxa"/>
            <w:vAlign w:val="center"/>
          </w:tcPr>
          <w:p>
            <w:pPr>
              <w:spacing w:line="240" w:lineRule="auto"/>
              <w:jc w:val="center"/>
              <w:rPr>
                <w:rFonts w:eastAsia="仿宋_GB2312"/>
                <w:color w:val="auto"/>
                <w:sz w:val="18"/>
                <w:szCs w:val="18"/>
              </w:rPr>
            </w:pPr>
          </w:p>
        </w:tc>
        <w:tc>
          <w:tcPr>
            <w:tcW w:w="465" w:type="dxa"/>
            <w:vAlign w:val="center"/>
          </w:tcPr>
          <w:p>
            <w:pPr>
              <w:spacing w:line="240" w:lineRule="auto"/>
              <w:jc w:val="center"/>
              <w:rPr>
                <w:rFonts w:eastAsia="仿宋_GB2312"/>
                <w:color w:val="auto"/>
                <w:sz w:val="18"/>
                <w:szCs w:val="18"/>
              </w:rPr>
            </w:pPr>
          </w:p>
        </w:tc>
        <w:tc>
          <w:tcPr>
            <w:tcW w:w="448" w:type="dxa"/>
            <w:vAlign w:val="center"/>
          </w:tcPr>
          <w:p>
            <w:pPr>
              <w:spacing w:line="240" w:lineRule="auto"/>
              <w:jc w:val="center"/>
              <w:rPr>
                <w:rFonts w:eastAsia="仿宋_GB2312"/>
                <w:color w:val="auto"/>
                <w:sz w:val="18"/>
                <w:szCs w:val="18"/>
              </w:rPr>
            </w:pPr>
          </w:p>
        </w:tc>
        <w:tc>
          <w:tcPr>
            <w:tcW w:w="445" w:type="dxa"/>
            <w:vAlign w:val="center"/>
          </w:tcPr>
          <w:p>
            <w:pPr>
              <w:spacing w:line="240" w:lineRule="auto"/>
              <w:jc w:val="center"/>
              <w:rPr>
                <w:rFonts w:eastAsia="仿宋_GB2312"/>
                <w:color w:val="auto"/>
                <w:sz w:val="18"/>
                <w:szCs w:val="18"/>
              </w:rPr>
            </w:pPr>
          </w:p>
        </w:tc>
        <w:tc>
          <w:tcPr>
            <w:tcW w:w="439" w:type="dxa"/>
            <w:vAlign w:val="center"/>
          </w:tcPr>
          <w:p>
            <w:pPr>
              <w:spacing w:line="240" w:lineRule="auto"/>
              <w:jc w:val="center"/>
              <w:rPr>
                <w:rFonts w:eastAsia="仿宋_GB2312"/>
                <w:color w:val="auto"/>
                <w:sz w:val="18"/>
                <w:szCs w:val="18"/>
              </w:rPr>
            </w:pPr>
          </w:p>
        </w:tc>
        <w:tc>
          <w:tcPr>
            <w:tcW w:w="437" w:type="dxa"/>
            <w:vAlign w:val="center"/>
          </w:tcPr>
          <w:p>
            <w:pPr>
              <w:spacing w:line="240" w:lineRule="auto"/>
              <w:jc w:val="center"/>
              <w:rPr>
                <w:rFonts w:eastAsia="仿宋_GB2312"/>
                <w:color w:val="auto"/>
                <w:sz w:val="18"/>
                <w:szCs w:val="18"/>
              </w:rPr>
            </w:pPr>
          </w:p>
        </w:tc>
        <w:tc>
          <w:tcPr>
            <w:tcW w:w="434" w:type="dxa"/>
            <w:vAlign w:val="center"/>
          </w:tcPr>
          <w:p>
            <w:pPr>
              <w:spacing w:line="240" w:lineRule="auto"/>
              <w:jc w:val="center"/>
              <w:rPr>
                <w:rFonts w:eastAsia="仿宋_GB2312"/>
                <w:color w:val="auto"/>
                <w:sz w:val="18"/>
                <w:szCs w:val="18"/>
              </w:rPr>
            </w:pPr>
          </w:p>
        </w:tc>
        <w:tc>
          <w:tcPr>
            <w:tcW w:w="420" w:type="dxa"/>
            <w:vAlign w:val="center"/>
          </w:tcPr>
          <w:p>
            <w:pPr>
              <w:spacing w:line="240" w:lineRule="auto"/>
              <w:jc w:val="center"/>
              <w:rPr>
                <w:rFonts w:eastAsia="仿宋_GB2312"/>
                <w:color w:val="auto"/>
                <w:sz w:val="18"/>
                <w:szCs w:val="18"/>
              </w:rPr>
            </w:pPr>
          </w:p>
        </w:tc>
        <w:tc>
          <w:tcPr>
            <w:tcW w:w="417" w:type="dxa"/>
            <w:vAlign w:val="center"/>
          </w:tcPr>
          <w:p>
            <w:pPr>
              <w:spacing w:line="240" w:lineRule="auto"/>
              <w:jc w:val="center"/>
              <w:rPr>
                <w:rFonts w:eastAsia="仿宋_GB2312"/>
                <w:color w:val="auto"/>
                <w:sz w:val="18"/>
                <w:szCs w:val="18"/>
              </w:rPr>
            </w:pPr>
          </w:p>
        </w:tc>
        <w:tc>
          <w:tcPr>
            <w:tcW w:w="411" w:type="dxa"/>
            <w:vAlign w:val="center"/>
          </w:tcPr>
          <w:p>
            <w:pPr>
              <w:spacing w:line="240" w:lineRule="auto"/>
              <w:jc w:val="center"/>
              <w:rPr>
                <w:rFonts w:eastAsia="仿宋_GB2312"/>
                <w:color w:val="auto"/>
                <w:sz w:val="18"/>
                <w:szCs w:val="18"/>
              </w:rPr>
            </w:pPr>
          </w:p>
        </w:tc>
        <w:tc>
          <w:tcPr>
            <w:tcW w:w="527" w:type="dxa"/>
            <w:vAlign w:val="center"/>
          </w:tcPr>
          <w:p>
            <w:pPr>
              <w:spacing w:line="240" w:lineRule="auto"/>
              <w:jc w:val="center"/>
              <w:rPr>
                <w:rFonts w:eastAsia="仿宋_GB2312"/>
                <w:color w:val="auto"/>
                <w:sz w:val="18"/>
                <w:szCs w:val="18"/>
              </w:rPr>
            </w:pPr>
          </w:p>
        </w:tc>
      </w:tr>
    </w:tbl>
    <w:p>
      <w:pPr>
        <w:tabs>
          <w:tab w:val="left" w:pos="5905"/>
        </w:tabs>
        <w:jc w:val="center"/>
        <w:rPr>
          <w:rFonts w:eastAsia="仿宋_GB2312"/>
          <w:b/>
          <w:color w:val="auto"/>
          <w:szCs w:val="24"/>
        </w:rPr>
      </w:pPr>
    </w:p>
    <w:p>
      <w:pPr>
        <w:tabs>
          <w:tab w:val="left" w:pos="5905"/>
        </w:tabs>
        <w:jc w:val="center"/>
        <w:rPr>
          <w:rFonts w:eastAsia="仿宋_GB2312"/>
          <w:b/>
          <w:color w:val="auto"/>
          <w:szCs w:val="24"/>
        </w:rPr>
        <w:sectPr>
          <w:pgSz w:w="16838" w:h="11906" w:orient="landscape"/>
          <w:pgMar w:top="1797" w:right="1440" w:bottom="1797" w:left="1440" w:header="851" w:footer="992" w:gutter="0"/>
          <w:pgNumType w:fmt="decimal"/>
          <w:cols w:space="720" w:num="1"/>
          <w:docGrid w:linePitch="312" w:charSpace="0"/>
        </w:sectPr>
      </w:pPr>
      <w:r>
        <w:rPr>
          <w:rFonts w:eastAsia="仿宋_GB2312"/>
          <w:b/>
          <w:color w:val="auto"/>
          <w:szCs w:val="24"/>
        </w:rPr>
        <w:t>图5-2  水土保持措施实施进度图</w:t>
      </w:r>
    </w:p>
    <w:p>
      <w:pPr>
        <w:pStyle w:val="4"/>
        <w:spacing w:before="0" w:after="0" w:line="360" w:lineRule="auto"/>
        <w:rPr>
          <w:rFonts w:eastAsia="仿宋_GB2312"/>
          <w:color w:val="auto"/>
          <w:sz w:val="28"/>
          <w:szCs w:val="28"/>
        </w:rPr>
      </w:pPr>
      <w:bookmarkStart w:id="52" w:name="_Toc14535"/>
      <w:r>
        <w:rPr>
          <w:rFonts w:eastAsia="仿宋_GB2312"/>
          <w:color w:val="auto"/>
          <w:sz w:val="28"/>
          <w:szCs w:val="28"/>
        </w:rPr>
        <w:t>6.水土保持监测</w:t>
      </w:r>
      <w:bookmarkEnd w:id="52"/>
    </w:p>
    <w:p>
      <w:pPr>
        <w:pStyle w:val="5"/>
        <w:spacing w:before="0" w:after="0" w:line="360" w:lineRule="auto"/>
        <w:rPr>
          <w:rFonts w:ascii="Times New Roman" w:hAnsi="Times New Roman" w:eastAsia="仿宋_GB2312"/>
          <w:color w:val="auto"/>
          <w:sz w:val="28"/>
          <w:szCs w:val="28"/>
        </w:rPr>
      </w:pPr>
      <w:bookmarkStart w:id="53" w:name="_Toc23919"/>
      <w:r>
        <w:rPr>
          <w:rFonts w:ascii="Times New Roman" w:hAnsi="Times New Roman" w:eastAsia="仿宋_GB2312"/>
          <w:color w:val="auto"/>
          <w:sz w:val="28"/>
          <w:szCs w:val="28"/>
        </w:rPr>
        <w:t>6.1范围和时段</w:t>
      </w:r>
      <w:bookmarkEnd w:id="53"/>
    </w:p>
    <w:p>
      <w:pPr>
        <w:spacing w:line="360" w:lineRule="auto"/>
        <w:rPr>
          <w:rFonts w:eastAsia="仿宋_GB2312"/>
          <w:b/>
          <w:color w:val="auto"/>
        </w:rPr>
      </w:pPr>
      <w:r>
        <w:rPr>
          <w:rFonts w:eastAsia="仿宋_GB2312"/>
          <w:b/>
          <w:color w:val="auto"/>
        </w:rPr>
        <w:t>6.1.1监测的范围</w:t>
      </w:r>
    </w:p>
    <w:p>
      <w:pPr>
        <w:pStyle w:val="48"/>
        <w:ind w:firstLine="48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根据《生产建设项目水土保持监测与评价标准》（GB/T 51240-2018），确定本项目监测范围为水土流失防治责任范围。监测范围面积</w:t>
      </w:r>
      <w:r>
        <w:rPr>
          <w:rFonts w:hint="eastAsia" w:ascii="Times New Roman" w:hAnsi="Times New Roman" w:eastAsia="仿宋_GB2312" w:cs="Times New Roman"/>
          <w:color w:val="auto"/>
          <w:sz w:val="24"/>
          <w:szCs w:val="24"/>
          <w:lang w:val="en-US" w:eastAsia="zh-CN"/>
        </w:rPr>
        <w:t>0.67</w:t>
      </w:r>
      <w:r>
        <w:rPr>
          <w:rFonts w:ascii="Times New Roman" w:hAnsi="Times New Roman" w:eastAsia="仿宋_GB2312" w:cs="Times New Roman"/>
          <w:color w:val="auto"/>
          <w:sz w:val="24"/>
          <w:szCs w:val="24"/>
        </w:rPr>
        <w:t>hm</w:t>
      </w:r>
      <w:r>
        <w:rPr>
          <w:rFonts w:ascii="Times New Roman" w:hAnsi="Times New Roman" w:eastAsia="仿宋_GB2312" w:cs="Times New Roman"/>
          <w:color w:val="auto"/>
          <w:sz w:val="24"/>
          <w:szCs w:val="24"/>
          <w:vertAlign w:val="superscript"/>
        </w:rPr>
        <w:t>2</w:t>
      </w:r>
      <w:r>
        <w:rPr>
          <w:rFonts w:ascii="Times New Roman" w:hAnsi="Times New Roman" w:eastAsia="仿宋_GB2312" w:cs="Times New Roman"/>
          <w:color w:val="auto"/>
          <w:sz w:val="24"/>
          <w:szCs w:val="24"/>
        </w:rPr>
        <w:t>。</w:t>
      </w:r>
    </w:p>
    <w:p>
      <w:pPr>
        <w:spacing w:line="360" w:lineRule="auto"/>
        <w:rPr>
          <w:rFonts w:eastAsia="仿宋_GB2312"/>
          <w:b/>
          <w:color w:val="auto"/>
        </w:rPr>
      </w:pPr>
      <w:r>
        <w:rPr>
          <w:rFonts w:eastAsia="仿宋_GB2312"/>
          <w:b/>
          <w:color w:val="auto"/>
        </w:rPr>
        <w:t>6.1.2监测的时段</w:t>
      </w:r>
    </w:p>
    <w:p>
      <w:pPr>
        <w:pStyle w:val="48"/>
        <w:ind w:firstLine="48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根据《生产建设项目水土保持技术标准》（GB 50433-2018）和《生产建设项目水土保持监测与评价标准》（GB/T 51240-2018）的要求，本工程为新建建设类项目，结合本</w:t>
      </w:r>
      <w:r>
        <w:rPr>
          <w:rFonts w:hint="eastAsia" w:ascii="Times New Roman" w:hAnsi="Times New Roman" w:eastAsia="仿宋_GB2312" w:cs="Times New Roman"/>
          <w:color w:val="auto"/>
          <w:sz w:val="24"/>
          <w:szCs w:val="24"/>
          <w:lang w:val="en-US" w:eastAsia="zh-CN"/>
        </w:rPr>
        <w:t>项目</w:t>
      </w:r>
      <w:r>
        <w:rPr>
          <w:rFonts w:ascii="Times New Roman" w:hAnsi="Times New Roman" w:eastAsia="仿宋_GB2312" w:cs="Times New Roman"/>
          <w:color w:val="auto"/>
          <w:sz w:val="24"/>
          <w:szCs w:val="24"/>
        </w:rPr>
        <w:t>的建设工期和工程特点，确定本工程水土保持监测的时段从项目开工开始至设计水平年结束。本项目</w:t>
      </w:r>
      <w:r>
        <w:rPr>
          <w:rFonts w:hint="eastAsia" w:ascii="Times New Roman" w:hAnsi="Times New Roman" w:eastAsia="仿宋_GB2312" w:cs="Times New Roman"/>
          <w:color w:val="auto"/>
          <w:sz w:val="24"/>
          <w:szCs w:val="24"/>
        </w:rPr>
        <w:t>已于</w:t>
      </w:r>
      <w:r>
        <w:rPr>
          <w:rFonts w:ascii="Times New Roman" w:hAnsi="Times New Roman" w:eastAsia="仿宋_GB2312" w:cs="Times New Roman"/>
          <w:color w:val="auto"/>
          <w:sz w:val="24"/>
          <w:szCs w:val="24"/>
        </w:rPr>
        <w:t>202</w:t>
      </w:r>
      <w:r>
        <w:rPr>
          <w:rFonts w:hint="eastAsia" w:ascii="Times New Roman" w:hAnsi="Times New Roman" w:eastAsia="仿宋_GB2312" w:cs="Times New Roman"/>
          <w:color w:val="auto"/>
          <w:sz w:val="24"/>
          <w:szCs w:val="24"/>
          <w:lang w:val="en-US" w:eastAsia="zh-CN"/>
        </w:rPr>
        <w:t>2</w:t>
      </w:r>
      <w:r>
        <w:rPr>
          <w:rFonts w:ascii="Times New Roman" w:hAnsi="Times New Roman" w:eastAsia="仿宋_GB2312" w:cs="Times New Roman"/>
          <w:color w:val="auto"/>
          <w:sz w:val="24"/>
          <w:szCs w:val="24"/>
        </w:rPr>
        <w:t>年</w:t>
      </w:r>
      <w:r>
        <w:rPr>
          <w:rFonts w:hint="eastAsia" w:ascii="Times New Roman" w:hAnsi="Times New Roman" w:eastAsia="仿宋_GB2312" w:cs="Times New Roman"/>
          <w:color w:val="auto"/>
          <w:sz w:val="24"/>
          <w:szCs w:val="24"/>
          <w:lang w:val="en-US" w:eastAsia="zh-CN"/>
        </w:rPr>
        <w:t>8</w:t>
      </w:r>
      <w:r>
        <w:rPr>
          <w:rFonts w:ascii="Times New Roman" w:hAnsi="Times New Roman" w:eastAsia="仿宋_GB2312" w:cs="Times New Roman"/>
          <w:color w:val="auto"/>
          <w:sz w:val="24"/>
          <w:szCs w:val="24"/>
        </w:rPr>
        <w:t>月开工，202</w:t>
      </w:r>
      <w:r>
        <w:rPr>
          <w:rFonts w:hint="eastAsia" w:ascii="Times New Roman" w:hAnsi="Times New Roman" w:eastAsia="仿宋_GB2312" w:cs="Times New Roman"/>
          <w:color w:val="auto"/>
          <w:sz w:val="24"/>
          <w:szCs w:val="24"/>
          <w:lang w:val="en-US" w:eastAsia="zh-CN"/>
        </w:rPr>
        <w:t>3</w:t>
      </w:r>
      <w:r>
        <w:rPr>
          <w:rFonts w:ascii="Times New Roman" w:hAnsi="Times New Roman" w:eastAsia="仿宋_GB2312" w:cs="Times New Roman"/>
          <w:color w:val="auto"/>
          <w:sz w:val="24"/>
          <w:szCs w:val="24"/>
        </w:rPr>
        <w:t>年</w:t>
      </w:r>
      <w:r>
        <w:rPr>
          <w:rFonts w:hint="eastAsia" w:ascii="Times New Roman" w:hAnsi="Times New Roman" w:eastAsia="仿宋_GB2312" w:cs="Times New Roman"/>
          <w:color w:val="auto"/>
          <w:sz w:val="24"/>
          <w:szCs w:val="24"/>
          <w:lang w:val="en-US" w:eastAsia="zh-CN"/>
        </w:rPr>
        <w:t>4</w:t>
      </w:r>
      <w:r>
        <w:rPr>
          <w:rFonts w:ascii="Times New Roman" w:hAnsi="Times New Roman" w:eastAsia="仿宋_GB2312" w:cs="Times New Roman"/>
          <w:color w:val="auto"/>
          <w:sz w:val="24"/>
          <w:szCs w:val="24"/>
        </w:rPr>
        <w:t>月完工。结合实际情况确定本方案总的监测时间段为202</w:t>
      </w:r>
      <w:r>
        <w:rPr>
          <w:rFonts w:hint="eastAsia" w:ascii="Times New Roman" w:hAnsi="Times New Roman" w:eastAsia="仿宋_GB2312" w:cs="Times New Roman"/>
          <w:color w:val="auto"/>
          <w:sz w:val="24"/>
          <w:szCs w:val="24"/>
          <w:lang w:val="en-US" w:eastAsia="zh-CN"/>
        </w:rPr>
        <w:t>2</w:t>
      </w:r>
      <w:r>
        <w:rPr>
          <w:rFonts w:ascii="Times New Roman" w:hAnsi="Times New Roman" w:eastAsia="仿宋_GB2312" w:cs="Times New Roman"/>
          <w:color w:val="auto"/>
          <w:sz w:val="24"/>
          <w:szCs w:val="24"/>
        </w:rPr>
        <w:t>年</w:t>
      </w:r>
      <w:r>
        <w:rPr>
          <w:rFonts w:hint="eastAsia" w:ascii="Times New Roman" w:hAnsi="Times New Roman" w:eastAsia="仿宋_GB2312" w:cs="Times New Roman"/>
          <w:color w:val="auto"/>
          <w:sz w:val="24"/>
          <w:szCs w:val="24"/>
          <w:lang w:val="en-US" w:eastAsia="zh-CN"/>
        </w:rPr>
        <w:t>8</w:t>
      </w:r>
      <w:r>
        <w:rPr>
          <w:rFonts w:ascii="Times New Roman" w:hAnsi="Times New Roman" w:eastAsia="仿宋_GB2312" w:cs="Times New Roman"/>
          <w:color w:val="auto"/>
          <w:sz w:val="24"/>
          <w:szCs w:val="24"/>
        </w:rPr>
        <w:t>月至202</w:t>
      </w:r>
      <w:r>
        <w:rPr>
          <w:rFonts w:hint="eastAsia" w:ascii="Times New Roman" w:hAnsi="Times New Roman" w:eastAsia="仿宋_GB2312" w:cs="Times New Roman"/>
          <w:color w:val="auto"/>
          <w:sz w:val="24"/>
          <w:szCs w:val="24"/>
        </w:rPr>
        <w:t>3</w:t>
      </w:r>
      <w:r>
        <w:rPr>
          <w:rFonts w:ascii="Times New Roman" w:hAnsi="Times New Roman" w:eastAsia="仿宋_GB2312" w:cs="Times New Roman"/>
          <w:color w:val="auto"/>
          <w:sz w:val="24"/>
          <w:szCs w:val="24"/>
        </w:rPr>
        <w:t>年12月，其中补充监测时段为20</w:t>
      </w:r>
      <w:r>
        <w:rPr>
          <w:rFonts w:hint="eastAsia" w:ascii="Times New Roman" w:hAnsi="Times New Roman" w:eastAsia="仿宋_GB2312" w:cs="Times New Roman"/>
          <w:color w:val="auto"/>
          <w:sz w:val="24"/>
          <w:szCs w:val="24"/>
        </w:rPr>
        <w:t>2</w:t>
      </w:r>
      <w:r>
        <w:rPr>
          <w:rFonts w:hint="eastAsia" w:ascii="Times New Roman" w:hAnsi="Times New Roman" w:eastAsia="仿宋_GB2312" w:cs="Times New Roman"/>
          <w:color w:val="auto"/>
          <w:sz w:val="24"/>
          <w:szCs w:val="24"/>
          <w:lang w:val="en-US" w:eastAsia="zh-CN"/>
        </w:rPr>
        <w:t>2</w:t>
      </w:r>
      <w:r>
        <w:rPr>
          <w:rFonts w:ascii="Times New Roman" w:hAnsi="Times New Roman" w:eastAsia="仿宋_GB2312" w:cs="Times New Roman"/>
          <w:color w:val="auto"/>
          <w:sz w:val="24"/>
          <w:szCs w:val="24"/>
        </w:rPr>
        <w:t>年</w:t>
      </w:r>
      <w:r>
        <w:rPr>
          <w:rFonts w:hint="eastAsia" w:ascii="Times New Roman" w:hAnsi="Times New Roman" w:eastAsia="仿宋_GB2312" w:cs="Times New Roman"/>
          <w:color w:val="auto"/>
          <w:sz w:val="24"/>
          <w:szCs w:val="24"/>
          <w:lang w:val="en-US" w:eastAsia="zh-CN"/>
        </w:rPr>
        <w:t>8</w:t>
      </w:r>
      <w:r>
        <w:rPr>
          <w:rFonts w:ascii="Times New Roman" w:hAnsi="Times New Roman" w:eastAsia="仿宋_GB2312" w:cs="Times New Roman"/>
          <w:color w:val="auto"/>
          <w:sz w:val="24"/>
          <w:szCs w:val="24"/>
        </w:rPr>
        <w:t>月至202</w:t>
      </w:r>
      <w:r>
        <w:rPr>
          <w:rFonts w:hint="eastAsia" w:ascii="Times New Roman" w:hAnsi="Times New Roman" w:eastAsia="仿宋_GB2312" w:cs="Times New Roman"/>
          <w:color w:val="auto"/>
          <w:sz w:val="24"/>
          <w:szCs w:val="24"/>
          <w:lang w:val="en-US" w:eastAsia="zh-CN"/>
        </w:rPr>
        <w:t>3</w:t>
      </w:r>
      <w:r>
        <w:rPr>
          <w:rFonts w:ascii="Times New Roman" w:hAnsi="Times New Roman" w:eastAsia="仿宋_GB2312" w:cs="Times New Roman"/>
          <w:color w:val="auto"/>
          <w:sz w:val="24"/>
          <w:szCs w:val="24"/>
        </w:rPr>
        <w:t>年</w:t>
      </w:r>
      <w:r>
        <w:rPr>
          <w:rFonts w:hint="eastAsia" w:ascii="Times New Roman" w:hAnsi="Times New Roman" w:eastAsia="仿宋_GB2312" w:cs="Times New Roman"/>
          <w:color w:val="auto"/>
          <w:sz w:val="24"/>
          <w:szCs w:val="24"/>
          <w:lang w:val="en-US" w:eastAsia="zh-CN"/>
        </w:rPr>
        <w:t>5</w:t>
      </w:r>
      <w:r>
        <w:rPr>
          <w:rFonts w:ascii="Times New Roman" w:hAnsi="Times New Roman" w:eastAsia="仿宋_GB2312" w:cs="Times New Roman"/>
          <w:color w:val="auto"/>
          <w:sz w:val="24"/>
          <w:szCs w:val="24"/>
        </w:rPr>
        <w:t>月。</w:t>
      </w:r>
    </w:p>
    <w:p>
      <w:pPr>
        <w:pStyle w:val="5"/>
        <w:spacing w:before="0" w:after="0" w:line="360" w:lineRule="auto"/>
        <w:rPr>
          <w:rFonts w:ascii="Times New Roman" w:hAnsi="Times New Roman" w:eastAsia="仿宋_GB2312"/>
          <w:color w:val="auto"/>
          <w:sz w:val="28"/>
          <w:szCs w:val="28"/>
        </w:rPr>
      </w:pPr>
      <w:bookmarkStart w:id="54" w:name="_Toc11119"/>
      <w:r>
        <w:rPr>
          <w:rFonts w:ascii="Times New Roman" w:hAnsi="Times New Roman" w:eastAsia="仿宋_GB2312"/>
          <w:color w:val="auto"/>
          <w:sz w:val="28"/>
          <w:szCs w:val="28"/>
        </w:rPr>
        <w:t>6.2内容和方法</w:t>
      </w:r>
      <w:bookmarkEnd w:id="54"/>
    </w:p>
    <w:p>
      <w:pPr>
        <w:spacing w:line="360" w:lineRule="auto"/>
        <w:rPr>
          <w:rFonts w:eastAsia="仿宋_GB2312"/>
          <w:b/>
          <w:color w:val="auto"/>
        </w:rPr>
      </w:pPr>
      <w:r>
        <w:rPr>
          <w:rFonts w:eastAsia="仿宋_GB2312"/>
          <w:b/>
          <w:color w:val="auto"/>
        </w:rPr>
        <w:t>6.2.1监测内容</w:t>
      </w:r>
    </w:p>
    <w:p>
      <w:pPr>
        <w:spacing w:line="360" w:lineRule="auto"/>
        <w:ind w:firstLine="480" w:firstLineChars="200"/>
        <w:rPr>
          <w:rFonts w:eastAsia="仿宋_GB2312"/>
          <w:color w:val="auto"/>
        </w:rPr>
      </w:pPr>
      <w:r>
        <w:rPr>
          <w:rFonts w:eastAsia="仿宋_GB2312"/>
          <w:color w:val="auto"/>
        </w:rPr>
        <w:t>本方案水土保持监测内容主要为：水土流失本底值、</w:t>
      </w:r>
      <w:r>
        <w:rPr>
          <w:rFonts w:eastAsia="仿宋_GB2312"/>
          <w:color w:val="auto"/>
          <w:szCs w:val="24"/>
        </w:rPr>
        <w:t>水土流失自然影响因素</w:t>
      </w:r>
      <w:r>
        <w:rPr>
          <w:rFonts w:eastAsia="仿宋_GB2312"/>
          <w:color w:val="auto"/>
        </w:rPr>
        <w:t>、扰动土地、水土流失状况、水土流失防治成效、水土流失危害。</w:t>
      </w:r>
    </w:p>
    <w:p>
      <w:pPr>
        <w:spacing w:line="360" w:lineRule="auto"/>
        <w:ind w:firstLine="480" w:firstLineChars="200"/>
        <w:rPr>
          <w:rFonts w:eastAsia="仿宋_GB2312"/>
          <w:color w:val="auto"/>
        </w:rPr>
      </w:pPr>
      <w:r>
        <w:rPr>
          <w:rFonts w:eastAsia="仿宋_GB2312"/>
          <w:color w:val="auto"/>
        </w:rPr>
        <w:t>（1）水土流失本底值</w:t>
      </w:r>
    </w:p>
    <w:p>
      <w:pPr>
        <w:spacing w:line="360" w:lineRule="auto"/>
        <w:ind w:firstLine="480" w:firstLineChars="200"/>
        <w:rPr>
          <w:rFonts w:eastAsia="仿宋_GB2312"/>
          <w:color w:val="auto"/>
        </w:rPr>
      </w:pPr>
      <w:r>
        <w:rPr>
          <w:rFonts w:eastAsia="仿宋_GB2312"/>
          <w:color w:val="auto"/>
        </w:rPr>
        <w:t xml:space="preserve">为了反映项目建设前后水土流失状况变化程度，在施工前期对项目区具有代表性的施工场地进行水土流失本底值监测，使施工期间的监测数据具有可比性。  </w:t>
      </w:r>
    </w:p>
    <w:p>
      <w:pPr>
        <w:spacing w:line="360" w:lineRule="auto"/>
        <w:ind w:firstLine="480" w:firstLineChars="200"/>
        <w:rPr>
          <w:rFonts w:eastAsia="仿宋_GB2312"/>
          <w:color w:val="auto"/>
          <w:szCs w:val="24"/>
        </w:rPr>
      </w:pPr>
      <w:r>
        <w:rPr>
          <w:rFonts w:eastAsia="仿宋_GB2312"/>
          <w:color w:val="auto"/>
          <w:szCs w:val="24"/>
        </w:rPr>
        <w:t>（2）水土流失自然影响因素</w:t>
      </w:r>
    </w:p>
    <w:p>
      <w:pPr>
        <w:spacing w:line="360" w:lineRule="auto"/>
        <w:ind w:firstLine="480" w:firstLineChars="200"/>
        <w:rPr>
          <w:rFonts w:eastAsia="仿宋_GB2312"/>
          <w:color w:val="auto"/>
          <w:szCs w:val="24"/>
        </w:rPr>
      </w:pPr>
      <w:r>
        <w:rPr>
          <w:rFonts w:eastAsia="仿宋_GB2312"/>
          <w:color w:val="auto"/>
          <w:szCs w:val="24"/>
        </w:rPr>
        <w:t>主要包括气象水文、地形地貌、地表组成物质、植被等自然影响因素；项目征占地和水土流失防治责任范围变化情况等。</w:t>
      </w:r>
    </w:p>
    <w:p>
      <w:pPr>
        <w:spacing w:line="360" w:lineRule="auto"/>
        <w:ind w:firstLine="480" w:firstLineChars="200"/>
        <w:rPr>
          <w:rFonts w:eastAsia="仿宋_GB2312"/>
          <w:color w:val="auto"/>
        </w:rPr>
      </w:pPr>
      <w:r>
        <w:rPr>
          <w:rFonts w:eastAsia="仿宋_GB2312"/>
          <w:color w:val="auto"/>
        </w:rPr>
        <w:t>（3）扰动土地</w:t>
      </w:r>
    </w:p>
    <w:p>
      <w:pPr>
        <w:spacing w:line="360" w:lineRule="auto"/>
        <w:ind w:firstLine="480" w:firstLineChars="200"/>
        <w:rPr>
          <w:rFonts w:eastAsia="仿宋_GB2312"/>
          <w:color w:val="auto"/>
          <w:szCs w:val="24"/>
        </w:rPr>
      </w:pPr>
      <w:r>
        <w:rPr>
          <w:rFonts w:eastAsia="仿宋_GB2312"/>
          <w:color w:val="auto"/>
          <w:szCs w:val="24"/>
        </w:rPr>
        <w:t>主要包括实际发生的永久和临时占地、扰动地表植被面积、永久和临时弃渣量及变化情况等。</w:t>
      </w:r>
    </w:p>
    <w:p>
      <w:pPr>
        <w:spacing w:line="360" w:lineRule="auto"/>
        <w:ind w:firstLine="480" w:firstLineChars="200"/>
        <w:rPr>
          <w:rFonts w:eastAsia="仿宋_GB2312"/>
          <w:color w:val="auto"/>
          <w:szCs w:val="24"/>
        </w:rPr>
      </w:pPr>
      <w:r>
        <w:rPr>
          <w:rFonts w:eastAsia="仿宋_GB2312"/>
          <w:color w:val="auto"/>
          <w:szCs w:val="24"/>
        </w:rPr>
        <w:t>（4）水土流失状况</w:t>
      </w:r>
    </w:p>
    <w:p>
      <w:pPr>
        <w:spacing w:line="360" w:lineRule="auto"/>
        <w:ind w:firstLine="480" w:firstLineChars="200"/>
        <w:rPr>
          <w:rFonts w:eastAsia="仿宋_GB2312"/>
          <w:color w:val="auto"/>
        </w:rPr>
      </w:pPr>
      <w:r>
        <w:rPr>
          <w:rFonts w:eastAsia="仿宋_GB2312"/>
          <w:color w:val="auto"/>
          <w:szCs w:val="24"/>
        </w:rPr>
        <w:t>主要包括土壤侵蚀类型、形式、面积、分布及强度；各监测分区及其重点对象的土壤流失量。</w:t>
      </w:r>
    </w:p>
    <w:p>
      <w:pPr>
        <w:spacing w:line="360" w:lineRule="auto"/>
        <w:ind w:firstLine="480" w:firstLineChars="200"/>
        <w:rPr>
          <w:rFonts w:eastAsia="仿宋_GB2312"/>
          <w:color w:val="auto"/>
        </w:rPr>
      </w:pPr>
      <w:r>
        <w:rPr>
          <w:rFonts w:eastAsia="仿宋_GB2312"/>
          <w:color w:val="auto"/>
        </w:rPr>
        <w:t>（5）水土流失防治成效</w:t>
      </w:r>
    </w:p>
    <w:p>
      <w:pPr>
        <w:pStyle w:val="20"/>
        <w:spacing w:line="360" w:lineRule="auto"/>
        <w:ind w:left="0" w:leftChars="0" w:firstLine="480" w:firstLineChars="200"/>
        <w:rPr>
          <w:rFonts w:eastAsia="仿宋_GB2312"/>
          <w:color w:val="auto"/>
        </w:rPr>
      </w:pPr>
      <w:r>
        <w:rPr>
          <w:rFonts w:eastAsia="仿宋_GB2312"/>
          <w:color w:val="auto"/>
          <w:szCs w:val="24"/>
        </w:rPr>
        <w:t>主要包括实际采取水土保持工程、植物和临时措施的位置、数量，以及实施水土保持措施前后的防治效果对比情况等。</w:t>
      </w:r>
    </w:p>
    <w:p>
      <w:pPr>
        <w:spacing w:line="360" w:lineRule="auto"/>
        <w:ind w:firstLine="480" w:firstLineChars="200"/>
        <w:rPr>
          <w:rFonts w:eastAsia="仿宋_GB2312"/>
          <w:color w:val="auto"/>
          <w:szCs w:val="24"/>
        </w:rPr>
      </w:pPr>
      <w:r>
        <w:rPr>
          <w:rFonts w:eastAsia="仿宋_GB2312"/>
          <w:color w:val="auto"/>
          <w:szCs w:val="24"/>
        </w:rPr>
        <w:t>（6）</w:t>
      </w:r>
      <w:r>
        <w:rPr>
          <w:rFonts w:eastAsia="仿宋_GB2312"/>
          <w:color w:val="auto"/>
        </w:rPr>
        <w:t>水土流失危害</w:t>
      </w:r>
    </w:p>
    <w:p>
      <w:pPr>
        <w:spacing w:line="360" w:lineRule="auto"/>
        <w:ind w:firstLine="480" w:firstLineChars="200"/>
        <w:rPr>
          <w:rFonts w:eastAsia="仿宋_GB2312"/>
          <w:color w:val="auto"/>
          <w:szCs w:val="24"/>
        </w:rPr>
      </w:pPr>
      <w:r>
        <w:rPr>
          <w:rFonts w:eastAsia="仿宋_GB2312"/>
          <w:color w:val="auto"/>
          <w:szCs w:val="24"/>
        </w:rPr>
        <w:t>主要包括水土流失对主体工程造成危害的方式、数量和程度。</w:t>
      </w:r>
    </w:p>
    <w:p>
      <w:pPr>
        <w:spacing w:line="360" w:lineRule="auto"/>
        <w:rPr>
          <w:rFonts w:eastAsia="仿宋_GB2312"/>
          <w:snapToGrid w:val="0"/>
          <w:color w:val="auto"/>
          <w:szCs w:val="24"/>
        </w:rPr>
      </w:pPr>
      <w:r>
        <w:rPr>
          <w:rFonts w:eastAsia="仿宋_GB2312"/>
          <w:b/>
          <w:color w:val="auto"/>
        </w:rPr>
        <w:t>6.2.2监测方法</w:t>
      </w:r>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根据《生产建设项目水土保持监测与评价标准》（GB/T 51240-2018），结合本项工程的实际情况确定监测方法，监测方法力求经济、实用和可操作性强。 本项目监测分为补充监测和现状监测两部分，补充监测的监测方法采用历史遥感影像分析及资料分析相结合的监测方法；现状监测的监测方法采用实地调查量测和无人机遥感监测相结合的监测方法。</w:t>
      </w:r>
    </w:p>
    <w:p>
      <w:pPr>
        <w:pStyle w:val="48"/>
        <w:spacing w:line="360" w:lineRule="auto"/>
        <w:ind w:firstLine="480"/>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（一）遥感监测</w:t>
      </w:r>
    </w:p>
    <w:p>
      <w:pPr>
        <w:pStyle w:val="48"/>
        <w:spacing w:line="360" w:lineRule="auto"/>
        <w:ind w:firstLine="480"/>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color w:val="auto"/>
          <w:sz w:val="24"/>
        </w:rPr>
        <w:t>以高精度航片或遥感影像为主要数据源，结合相关资料和地面调查，通过解译获得监测区域在施工前项目区域内的土地类型、植被分布、地面坡度、地质土壤、地形地貌及土壤侵蚀的分布、面积和空间特性数据，利用遥感监测获得施工期重点监测地块（开挖面、地表扰动地块、水土保持工程地段、植被破坏及恢复地块等）在不同时段的水土流失数据和防护措施实施情况，将不同时期遥感监测成果进行数据对比、空间分析等，可实现对项目区的水土流失进行动态监测。</w:t>
      </w:r>
    </w:p>
    <w:p>
      <w:pPr>
        <w:pStyle w:val="48"/>
        <w:spacing w:line="360" w:lineRule="auto"/>
        <w:ind w:firstLine="480"/>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（二）资料分析</w:t>
      </w:r>
    </w:p>
    <w:p>
      <w:pPr>
        <w:pStyle w:val="48"/>
        <w:spacing w:line="360" w:lineRule="auto"/>
        <w:ind w:firstLine="480"/>
        <w:rPr>
          <w:rFonts w:hint="eastAsia" w:ascii="Times New Roman" w:hAnsi="Times New Roman" w:eastAsia="仿宋_GB2312" w:cs="Times New Roman"/>
          <w:bCs/>
          <w:color w:val="auto"/>
          <w:sz w:val="24"/>
          <w:szCs w:val="24"/>
          <w:lang w:eastAsia="zh-CN"/>
        </w:rPr>
      </w:pPr>
      <w:r>
        <w:rPr>
          <w:rFonts w:hint="default" w:ascii="Times New Roman" w:hAnsi="Times New Roman" w:eastAsia="仿宋_GB2312" w:cs="Times New Roman"/>
          <w:bCs/>
          <w:color w:val="auto"/>
          <w:sz w:val="24"/>
          <w:szCs w:val="24"/>
        </w:rPr>
        <w:t>建设期间需定期向建设单位收集有关工程资料，从中分析出对水土保持监测有用的数据；通过访问群众，并走访当地水土保持工作人员和有关专家，了解和掌握工程建设造成的水土流失对当地和周边地区的影响</w:t>
      </w:r>
      <w:r>
        <w:rPr>
          <w:rFonts w:hint="eastAsia" w:ascii="Times New Roman" w:hAnsi="Times New Roman" w:eastAsia="仿宋_GB2312" w:cs="Times New Roman"/>
          <w:bCs/>
          <w:color w:val="auto"/>
          <w:sz w:val="24"/>
          <w:szCs w:val="24"/>
          <w:lang w:eastAsia="zh-CN"/>
        </w:rPr>
        <w:t>。</w:t>
      </w:r>
    </w:p>
    <w:p>
      <w:pPr>
        <w:pStyle w:val="48"/>
        <w:spacing w:line="360" w:lineRule="auto"/>
        <w:ind w:firstLine="480"/>
        <w:rPr>
          <w:rFonts w:hint="default" w:ascii="Times New Roman" w:hAnsi="Times New Roman" w:eastAsia="仿宋_GB2312" w:cs="Times New Roman"/>
          <w:bCs/>
          <w:color w:val="auto"/>
          <w:sz w:val="24"/>
          <w:szCs w:val="24"/>
          <w:lang w:val="en-US" w:eastAsia="zh-CN"/>
        </w:rPr>
      </w:pPr>
      <w:r>
        <w:rPr>
          <w:rFonts w:hint="eastAsia" w:ascii="Times New Roman" w:hAnsi="Times New Roman" w:eastAsia="仿宋_GB2312" w:cs="Times New Roman"/>
          <w:bCs/>
          <w:color w:val="auto"/>
          <w:sz w:val="24"/>
          <w:szCs w:val="24"/>
          <w:lang w:eastAsia="zh-CN"/>
        </w:rPr>
        <w:t>（</w:t>
      </w:r>
      <w:r>
        <w:rPr>
          <w:rFonts w:hint="eastAsia" w:ascii="Times New Roman" w:hAnsi="Times New Roman" w:eastAsia="仿宋_GB2312" w:cs="Times New Roman"/>
          <w:bCs/>
          <w:color w:val="auto"/>
          <w:sz w:val="24"/>
          <w:szCs w:val="24"/>
          <w:lang w:val="en-US" w:eastAsia="zh-CN"/>
        </w:rPr>
        <w:t>三</w:t>
      </w:r>
      <w:r>
        <w:rPr>
          <w:rFonts w:hint="eastAsia" w:ascii="Times New Roman" w:hAnsi="Times New Roman" w:eastAsia="仿宋_GB2312" w:cs="Times New Roman"/>
          <w:bCs/>
          <w:color w:val="auto"/>
          <w:sz w:val="24"/>
          <w:szCs w:val="24"/>
          <w:lang w:eastAsia="zh-CN"/>
        </w:rPr>
        <w:t>）</w:t>
      </w:r>
      <w:r>
        <w:rPr>
          <w:rFonts w:hint="eastAsia" w:ascii="Times New Roman" w:hAnsi="Times New Roman" w:eastAsia="仿宋_GB2312" w:cs="Times New Roman"/>
          <w:bCs/>
          <w:color w:val="auto"/>
          <w:sz w:val="24"/>
          <w:szCs w:val="24"/>
          <w:lang w:val="en-US" w:eastAsia="zh-CN"/>
        </w:rPr>
        <w:t>实地调查量测</w:t>
      </w:r>
    </w:p>
    <w:p>
      <w:pPr>
        <w:pStyle w:val="48"/>
        <w:spacing w:line="360" w:lineRule="auto"/>
        <w:ind w:firstLine="480"/>
        <w:rPr>
          <w:rFonts w:hint="eastAsia" w:ascii="Times New Roman" w:hAnsi="Times New Roman" w:eastAsia="仿宋_GB2312" w:cs="Times New Roman"/>
          <w:bCs/>
          <w:color w:val="auto"/>
          <w:sz w:val="24"/>
          <w:szCs w:val="24"/>
          <w:lang w:eastAsia="zh-CN"/>
        </w:rPr>
      </w:pPr>
      <w:r>
        <w:rPr>
          <w:rFonts w:hint="eastAsia" w:ascii="Times New Roman" w:hAnsi="Times New Roman" w:eastAsia="仿宋_GB2312" w:cs="Times New Roman"/>
          <w:bCs/>
          <w:color w:val="auto"/>
          <w:sz w:val="24"/>
          <w:szCs w:val="24"/>
          <w:lang w:eastAsia="zh-CN"/>
        </w:rPr>
        <w:t xml:space="preserve">对水土流失因子、区段水土保持防治效益和基本状况、水土保持措施实施效果主要采用调查监测方法获取数据。每年组织水土保持监测人员在防治责任范围内进行全面调查，调查内容主要包括： </w:t>
      </w:r>
    </w:p>
    <w:p>
      <w:pPr>
        <w:pStyle w:val="48"/>
        <w:numPr>
          <w:ilvl w:val="0"/>
          <w:numId w:val="6"/>
        </w:numPr>
        <w:spacing w:line="360" w:lineRule="auto"/>
        <w:ind w:firstLine="480"/>
        <w:rPr>
          <w:rFonts w:hint="eastAsia" w:ascii="Times New Roman" w:hAnsi="Times New Roman" w:eastAsia="仿宋_GB2312" w:cs="Times New Roman"/>
          <w:bCs/>
          <w:color w:val="auto"/>
          <w:sz w:val="24"/>
          <w:szCs w:val="24"/>
          <w:lang w:eastAsia="zh-CN"/>
        </w:rPr>
      </w:pPr>
      <w:r>
        <w:rPr>
          <w:rFonts w:hint="eastAsia" w:ascii="Times New Roman" w:hAnsi="Times New Roman" w:eastAsia="仿宋_GB2312" w:cs="Times New Roman"/>
          <w:bCs/>
          <w:color w:val="auto"/>
          <w:sz w:val="24"/>
          <w:szCs w:val="24"/>
          <w:lang w:eastAsia="zh-CN"/>
        </w:rPr>
        <w:t xml:space="preserve">土地扰动面积和程度、水土流失面积变化情况、水土流失程度变化情况、水土流失治理面积采用设计资料分析，结合实地勘测及调查进行监测。 </w:t>
      </w:r>
    </w:p>
    <w:p>
      <w:pPr>
        <w:pStyle w:val="48"/>
        <w:numPr>
          <w:ilvl w:val="0"/>
          <w:numId w:val="6"/>
        </w:numPr>
        <w:spacing w:line="360" w:lineRule="auto"/>
        <w:ind w:left="0" w:leftChars="0" w:firstLine="480" w:firstLineChars="200"/>
        <w:rPr>
          <w:rFonts w:hint="eastAsia" w:ascii="Times New Roman" w:hAnsi="Times New Roman" w:eastAsia="仿宋_GB2312" w:cs="Times New Roman"/>
          <w:bCs/>
          <w:color w:val="auto"/>
          <w:sz w:val="24"/>
          <w:szCs w:val="24"/>
          <w:lang w:eastAsia="zh-CN"/>
        </w:rPr>
      </w:pPr>
      <w:r>
        <w:rPr>
          <w:rFonts w:hint="eastAsia" w:ascii="Times New Roman" w:hAnsi="Times New Roman" w:eastAsia="仿宋_GB2312" w:cs="Times New Roman"/>
          <w:bCs/>
          <w:color w:val="auto"/>
          <w:sz w:val="24"/>
          <w:szCs w:val="24"/>
          <w:lang w:eastAsia="zh-CN"/>
        </w:rPr>
        <w:t xml:space="preserve">对工程挖方、填方数量，挖深及堆放高度、临时堆土数量及堆放面积采用查阅设计文件和实地量测统计的方法。 </w:t>
      </w:r>
    </w:p>
    <w:p>
      <w:pPr>
        <w:pStyle w:val="48"/>
        <w:numPr>
          <w:ilvl w:val="0"/>
          <w:numId w:val="6"/>
        </w:numPr>
        <w:spacing w:line="360" w:lineRule="auto"/>
        <w:ind w:left="0" w:leftChars="0" w:firstLine="480" w:firstLineChars="200"/>
        <w:rPr>
          <w:rFonts w:hint="eastAsia" w:ascii="Times New Roman" w:hAnsi="Times New Roman" w:eastAsia="仿宋_GB2312" w:cs="Times New Roman"/>
          <w:bCs/>
          <w:color w:val="auto"/>
          <w:sz w:val="24"/>
          <w:szCs w:val="24"/>
          <w:lang w:val="en-US" w:eastAsia="zh-CN"/>
        </w:rPr>
      </w:pPr>
      <w:r>
        <w:rPr>
          <w:rFonts w:hint="eastAsia" w:ascii="Times New Roman" w:hAnsi="Times New Roman" w:eastAsia="仿宋_GB2312" w:cs="Times New Roman"/>
          <w:bCs/>
          <w:color w:val="auto"/>
          <w:sz w:val="24"/>
          <w:szCs w:val="24"/>
          <w:lang w:eastAsia="zh-CN"/>
        </w:rPr>
        <w:t xml:space="preserve">水土流失防治措施数量和质量：防护工程的稳定性、完好程度和运行情况、各项防治措施的拦渣、蓄水、保土效果采用实地样方调查的方法进行监测。 </w:t>
      </w:r>
      <w:r>
        <w:rPr>
          <w:rFonts w:hint="eastAsia" w:ascii="Times New Roman" w:hAnsi="Times New Roman" w:eastAsia="仿宋_GB2312" w:cs="Times New Roman"/>
          <w:bCs/>
          <w:color w:val="auto"/>
          <w:sz w:val="24"/>
          <w:szCs w:val="24"/>
          <w:lang w:val="en-US" w:eastAsia="zh-CN"/>
        </w:rPr>
        <w:t xml:space="preserve"> </w:t>
      </w:r>
    </w:p>
    <w:p>
      <w:pPr>
        <w:pStyle w:val="48"/>
        <w:numPr>
          <w:ilvl w:val="0"/>
          <w:numId w:val="0"/>
        </w:numPr>
        <w:spacing w:line="360" w:lineRule="auto"/>
        <w:ind w:firstLine="480" w:firstLineChars="200"/>
        <w:rPr>
          <w:rFonts w:hint="eastAsia" w:ascii="Times New Roman" w:hAnsi="Times New Roman" w:eastAsia="仿宋_GB2312" w:cs="Times New Roman"/>
          <w:bCs/>
          <w:color w:val="auto"/>
          <w:sz w:val="24"/>
          <w:szCs w:val="24"/>
          <w:lang w:eastAsia="zh-CN"/>
        </w:rPr>
      </w:pPr>
      <w:r>
        <w:rPr>
          <w:rFonts w:hint="eastAsia" w:ascii="Times New Roman" w:hAnsi="Times New Roman" w:eastAsia="仿宋_GB2312" w:cs="Times New Roman"/>
          <w:bCs/>
          <w:color w:val="auto"/>
          <w:sz w:val="24"/>
          <w:szCs w:val="24"/>
          <w:lang w:eastAsia="zh-CN"/>
        </w:rPr>
        <w:t>（4）工程建设对项目区及周边地区可能造成的危害，对经济、社会发展的影响等评价采用实地调查法，并结合实地量测等方法进行。</w:t>
      </w:r>
    </w:p>
    <w:p>
      <w:pPr>
        <w:pStyle w:val="48"/>
        <w:spacing w:line="360" w:lineRule="auto"/>
        <w:ind w:firstLine="480"/>
        <w:rPr>
          <w:rFonts w:hint="default" w:ascii="Times New Roman" w:hAnsi="Times New Roman" w:eastAsia="仿宋_GB2312" w:cs="Times New Roman"/>
          <w:bCs/>
          <w:color w:val="auto"/>
          <w:sz w:val="24"/>
          <w:szCs w:val="24"/>
          <w:lang w:val="en-US" w:eastAsia="zh-CN"/>
        </w:rPr>
      </w:pPr>
      <w:r>
        <w:rPr>
          <w:rFonts w:hint="eastAsia" w:ascii="Times New Roman" w:hAnsi="Times New Roman" w:eastAsia="仿宋_GB2312" w:cs="Times New Roman"/>
          <w:bCs/>
          <w:color w:val="auto"/>
          <w:sz w:val="24"/>
          <w:szCs w:val="24"/>
          <w:lang w:eastAsia="zh-CN"/>
        </w:rPr>
        <w:t>（</w:t>
      </w:r>
      <w:r>
        <w:rPr>
          <w:rFonts w:hint="eastAsia" w:ascii="Times New Roman" w:hAnsi="Times New Roman" w:eastAsia="仿宋_GB2312" w:cs="Times New Roman"/>
          <w:bCs/>
          <w:color w:val="auto"/>
          <w:sz w:val="24"/>
          <w:szCs w:val="24"/>
          <w:lang w:val="en-US" w:eastAsia="zh-CN"/>
        </w:rPr>
        <w:t>四</w:t>
      </w:r>
      <w:r>
        <w:rPr>
          <w:rFonts w:hint="eastAsia" w:ascii="Times New Roman" w:hAnsi="Times New Roman" w:eastAsia="仿宋_GB2312" w:cs="Times New Roman"/>
          <w:bCs/>
          <w:color w:val="auto"/>
          <w:sz w:val="24"/>
          <w:szCs w:val="24"/>
          <w:lang w:eastAsia="zh-CN"/>
        </w:rPr>
        <w:t>）</w:t>
      </w:r>
      <w:r>
        <w:rPr>
          <w:rFonts w:hint="eastAsia" w:ascii="Times New Roman" w:hAnsi="Times New Roman" w:eastAsia="仿宋_GB2312" w:cs="Times New Roman"/>
          <w:bCs/>
          <w:color w:val="auto"/>
          <w:sz w:val="24"/>
          <w:szCs w:val="24"/>
          <w:lang w:val="en-US" w:eastAsia="zh-CN"/>
        </w:rPr>
        <w:t>无人机遥感监测</w:t>
      </w:r>
    </w:p>
    <w:p>
      <w:pPr>
        <w:pStyle w:val="48"/>
        <w:spacing w:line="360" w:lineRule="auto"/>
        <w:ind w:firstLine="480"/>
        <w:rPr>
          <w:rFonts w:hint="eastAsia" w:ascii="Times New Roman" w:hAnsi="Times New Roman" w:eastAsia="仿宋_GB2312" w:cs="Times New Roman"/>
          <w:bCs/>
          <w:color w:val="auto"/>
          <w:sz w:val="24"/>
          <w:szCs w:val="24"/>
          <w:lang w:eastAsia="zh-CN"/>
        </w:rPr>
      </w:pPr>
      <w:r>
        <w:rPr>
          <w:rFonts w:hint="eastAsia" w:ascii="Times New Roman" w:hAnsi="Times New Roman" w:eastAsia="仿宋_GB2312" w:cs="Times New Roman"/>
          <w:bCs/>
          <w:color w:val="auto"/>
          <w:sz w:val="24"/>
          <w:szCs w:val="24"/>
          <w:lang w:eastAsia="zh-CN"/>
        </w:rPr>
        <w:t>无人机遥感监测是以项目区平面布置图及区域地形图为基础，利用小微型无人机对监测区范围内进行航拍，获取现场高清影像资料。</w:t>
      </w:r>
      <w:r>
        <w:rPr>
          <w:rFonts w:hint="default" w:ascii="Times New Roman" w:hAnsi="Times New Roman" w:eastAsia="仿宋_GB2312" w:cs="Times New Roman"/>
          <w:color w:val="auto"/>
          <w:sz w:val="24"/>
        </w:rPr>
        <w:t>后期通过专业无人机影像处 理软件对航测数据进行解译处理，精确计算监测区实际扰动土地面积等重要信息</w:t>
      </w:r>
      <w:r>
        <w:rPr>
          <w:rFonts w:hint="eastAsia" w:ascii="Times New Roman" w:hAnsi="Times New Roman" w:eastAsia="仿宋_GB2312" w:cs="Times New Roman"/>
          <w:color w:val="auto"/>
          <w:sz w:val="24"/>
          <w:lang w:eastAsia="zh-CN"/>
        </w:rPr>
        <w:t>。</w:t>
      </w:r>
    </w:p>
    <w:p>
      <w:pPr>
        <w:spacing w:line="360" w:lineRule="auto"/>
        <w:rPr>
          <w:rFonts w:eastAsia="仿宋_GB2312"/>
          <w:b/>
          <w:color w:val="auto"/>
        </w:rPr>
      </w:pPr>
      <w:r>
        <w:rPr>
          <w:rFonts w:eastAsia="仿宋_GB2312"/>
          <w:b/>
          <w:color w:val="auto"/>
        </w:rPr>
        <w:t>6.2.3监测频次</w:t>
      </w:r>
    </w:p>
    <w:p>
      <w:pPr>
        <w:spacing w:line="360" w:lineRule="auto"/>
        <w:ind w:firstLine="480" w:firstLineChars="200"/>
        <w:jc w:val="both"/>
        <w:rPr>
          <w:rFonts w:eastAsia="仿宋_GB2312"/>
          <w:color w:val="auto"/>
        </w:rPr>
      </w:pPr>
      <w:r>
        <w:rPr>
          <w:rFonts w:eastAsia="仿宋_GB2312"/>
          <w:color w:val="auto"/>
        </w:rPr>
        <w:t>根据《水利部办公厅关于进一步加强生产建设项目水土保持监测工作的通知》（办水保〔2020〕161号），监测频次要求如下：</w:t>
      </w:r>
    </w:p>
    <w:p>
      <w:pPr>
        <w:numPr>
          <w:ilvl w:val="0"/>
          <w:numId w:val="7"/>
        </w:numPr>
        <w:spacing w:line="360" w:lineRule="auto"/>
        <w:ind w:firstLine="480" w:firstLineChars="200"/>
        <w:rPr>
          <w:rFonts w:eastAsia="仿宋_GB2312"/>
          <w:color w:val="auto"/>
        </w:rPr>
      </w:pPr>
      <w:r>
        <w:rPr>
          <w:rFonts w:eastAsia="仿宋_GB2312"/>
          <w:color w:val="auto"/>
        </w:rPr>
        <w:t xml:space="preserve">水土流失影响因素：地形地貌状况：整个监测期监测 1 次；地表物质：施工准备期和设计水平年各监测 1 次；植被状况：施工准备期前测定 1 次；气象因子：每月 1 次。 </w:t>
      </w:r>
    </w:p>
    <w:p>
      <w:pPr>
        <w:numPr>
          <w:ilvl w:val="0"/>
          <w:numId w:val="7"/>
        </w:numPr>
        <w:spacing w:line="360" w:lineRule="auto"/>
        <w:ind w:left="0" w:leftChars="0" w:firstLine="480" w:firstLineChars="200"/>
        <w:rPr>
          <w:rFonts w:eastAsia="仿宋_GB2312"/>
          <w:color w:val="auto"/>
        </w:rPr>
      </w:pPr>
      <w:r>
        <w:rPr>
          <w:rFonts w:eastAsia="仿宋_GB2312"/>
          <w:color w:val="auto"/>
        </w:rPr>
        <w:t xml:space="preserve">扰动土地情况监测：至少每月监测 1 次。 </w:t>
      </w:r>
    </w:p>
    <w:p>
      <w:pPr>
        <w:numPr>
          <w:ilvl w:val="0"/>
          <w:numId w:val="7"/>
        </w:numPr>
        <w:spacing w:line="360" w:lineRule="auto"/>
        <w:ind w:left="0" w:leftChars="0" w:firstLine="480" w:firstLineChars="200"/>
        <w:rPr>
          <w:rFonts w:eastAsia="仿宋_GB2312"/>
          <w:color w:val="auto"/>
        </w:rPr>
      </w:pPr>
      <w:r>
        <w:rPr>
          <w:rFonts w:eastAsia="仿宋_GB2312"/>
          <w:color w:val="auto"/>
        </w:rPr>
        <w:t xml:space="preserve">水土流失状况监测：至少每月监测 1 次，发生强降水等情况后及时加测。 </w:t>
      </w:r>
    </w:p>
    <w:p>
      <w:pPr>
        <w:numPr>
          <w:ilvl w:val="0"/>
          <w:numId w:val="7"/>
        </w:numPr>
        <w:spacing w:line="360" w:lineRule="auto"/>
        <w:ind w:left="0" w:leftChars="0" w:firstLine="480" w:firstLineChars="200"/>
        <w:rPr>
          <w:rFonts w:eastAsia="仿宋_GB2312"/>
          <w:color w:val="auto"/>
        </w:rPr>
      </w:pPr>
      <w:r>
        <w:rPr>
          <w:rFonts w:eastAsia="仿宋_GB2312"/>
          <w:color w:val="auto"/>
        </w:rPr>
        <w:t>水土流失防治效果监测：至少每季度监测 1 次，其中临时措施至少每月监测 1 次。</w:t>
      </w:r>
    </w:p>
    <w:p>
      <w:pPr>
        <w:numPr>
          <w:ilvl w:val="0"/>
          <w:numId w:val="0"/>
        </w:numPr>
        <w:spacing w:line="360" w:lineRule="auto"/>
        <w:ind w:firstLine="480" w:firstLineChars="200"/>
        <w:rPr>
          <w:rFonts w:hint="eastAsia" w:eastAsia="仿宋_GB2312"/>
          <w:color w:val="auto"/>
          <w:lang w:eastAsia="zh-CN"/>
        </w:rPr>
      </w:pPr>
      <w:r>
        <w:rPr>
          <w:rFonts w:eastAsia="仿宋_GB2312"/>
          <w:color w:val="auto"/>
        </w:rPr>
        <w:t>（5）水土流失危害监测：结合上述监测内容与水土流失状况一并开展，灾害事件发生后 1 周内完成监测</w:t>
      </w:r>
      <w:r>
        <w:rPr>
          <w:rFonts w:hint="eastAsia" w:eastAsia="仿宋_GB2312"/>
          <w:color w:val="auto"/>
          <w:lang w:eastAsia="zh-CN"/>
        </w:rPr>
        <w:t>。</w:t>
      </w:r>
    </w:p>
    <w:p>
      <w:pPr>
        <w:pStyle w:val="5"/>
        <w:spacing w:before="0" w:after="0" w:line="360" w:lineRule="auto"/>
        <w:rPr>
          <w:rFonts w:ascii="Times New Roman" w:hAnsi="Times New Roman" w:eastAsia="仿宋_GB2312"/>
          <w:color w:val="auto"/>
          <w:sz w:val="28"/>
          <w:szCs w:val="28"/>
        </w:rPr>
      </w:pPr>
      <w:bookmarkStart w:id="55" w:name="_Toc1972"/>
      <w:r>
        <w:rPr>
          <w:rFonts w:ascii="Times New Roman" w:hAnsi="Times New Roman" w:eastAsia="仿宋_GB2312"/>
          <w:color w:val="auto"/>
          <w:sz w:val="28"/>
          <w:szCs w:val="28"/>
        </w:rPr>
        <w:t>6.3点位布设</w:t>
      </w:r>
      <w:bookmarkEnd w:id="55"/>
    </w:p>
    <w:p>
      <w:pPr>
        <w:pStyle w:val="48"/>
        <w:ind w:firstLine="480"/>
        <w:rPr>
          <w:rFonts w:ascii="Times New Roman" w:hAnsi="Times New Roman" w:eastAsia="仿宋_GB2312" w:cs="Times New Roman"/>
          <w:b/>
          <w:bCs/>
          <w:color w:val="auto"/>
          <w:sz w:val="24"/>
          <w:szCs w:val="24"/>
        </w:rPr>
      </w:pPr>
      <w:r>
        <w:rPr>
          <w:rFonts w:ascii="Times New Roman" w:hAnsi="Times New Roman" w:eastAsia="仿宋_GB2312" w:cs="Times New Roman"/>
          <w:color w:val="auto"/>
          <w:sz w:val="24"/>
          <w:szCs w:val="24"/>
        </w:rPr>
        <w:t>水土保持监测点布设应遵循代表性、方便性、少受干扰的原则。工程建设区共设置</w:t>
      </w:r>
      <w:r>
        <w:rPr>
          <w:rFonts w:hint="eastAsia" w:ascii="Times New Roman" w:hAnsi="Times New Roman" w:eastAsia="仿宋_GB2312" w:cs="Times New Roman"/>
          <w:color w:val="auto"/>
          <w:sz w:val="24"/>
          <w:szCs w:val="24"/>
        </w:rPr>
        <w:t>1</w:t>
      </w:r>
      <w:r>
        <w:rPr>
          <w:rFonts w:ascii="Times New Roman" w:hAnsi="Times New Roman" w:eastAsia="仿宋_GB2312" w:cs="Times New Roman"/>
          <w:color w:val="auto"/>
          <w:sz w:val="24"/>
          <w:szCs w:val="24"/>
        </w:rPr>
        <w:t>个监测点位。</w:t>
      </w:r>
    </w:p>
    <w:p>
      <w:pPr>
        <w:pStyle w:val="5"/>
        <w:spacing w:before="0" w:after="0" w:line="360" w:lineRule="auto"/>
        <w:rPr>
          <w:rFonts w:ascii="Times New Roman" w:hAnsi="Times New Roman" w:eastAsia="仿宋_GB2312" w:cs="Times New Roman"/>
          <w:color w:val="auto"/>
          <w:sz w:val="28"/>
          <w:szCs w:val="28"/>
        </w:rPr>
      </w:pPr>
      <w:bookmarkStart w:id="56" w:name="_Toc29061"/>
      <w:r>
        <w:rPr>
          <w:rFonts w:ascii="Times New Roman" w:hAnsi="Times New Roman" w:eastAsia="仿宋_GB2312" w:cs="Times New Roman"/>
          <w:color w:val="auto"/>
          <w:sz w:val="28"/>
          <w:szCs w:val="28"/>
        </w:rPr>
        <w:t>6.4实施条件和成果</w:t>
      </w:r>
      <w:bookmarkEnd w:id="56"/>
    </w:p>
    <w:p>
      <w:pPr>
        <w:spacing w:line="360" w:lineRule="auto"/>
        <w:rPr>
          <w:rFonts w:eastAsia="仿宋_GB2312"/>
          <w:b/>
          <w:color w:val="auto"/>
        </w:rPr>
      </w:pPr>
      <w:r>
        <w:rPr>
          <w:rFonts w:eastAsia="仿宋_GB2312"/>
          <w:b/>
          <w:color w:val="auto"/>
        </w:rPr>
        <w:t>6.4.1监测实施条件</w:t>
      </w:r>
    </w:p>
    <w:p>
      <w:pPr>
        <w:pStyle w:val="48"/>
        <w:ind w:firstLine="48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（1）监测人员</w:t>
      </w:r>
    </w:p>
    <w:p>
      <w:pPr>
        <w:pStyle w:val="48"/>
        <w:ind w:firstLine="480"/>
        <w:rPr>
          <w:rFonts w:hint="eastAsia" w:ascii="Times New Roman" w:hAnsi="Times New Roman" w:eastAsia="仿宋_GB2312" w:cs="Times New Roman"/>
          <w:color w:val="auto"/>
          <w:sz w:val="24"/>
          <w:szCs w:val="24"/>
          <w:lang w:val="en-US" w:eastAsia="zh-CN"/>
        </w:rPr>
      </w:pPr>
      <w:r>
        <w:rPr>
          <w:rFonts w:ascii="Times New Roman" w:hAnsi="Times New Roman" w:eastAsia="仿宋_GB2312" w:cs="Times New Roman"/>
          <w:color w:val="auto"/>
          <w:sz w:val="24"/>
          <w:szCs w:val="24"/>
        </w:rPr>
        <w:t>水土保持监测人工包括外业和内业两部分人工。外业内容包括水土保持定点监测勘察、自然状况及生态环境变化调查、水土保持防护效果调查；内业内容包括编制监测实施方案、化验分析、编制监测季度报告表、编制监测总结报告、图件绘制等。监测人员不少于3人，其中1名总监测工程师、1名监测工程师、1名监测员。</w:t>
      </w:r>
      <w:r>
        <w:rPr>
          <w:rFonts w:hint="eastAsia" w:ascii="Times New Roman" w:hAnsi="Times New Roman" w:eastAsia="仿宋_GB2312" w:cs="Times New Roman"/>
          <w:color w:val="auto"/>
          <w:sz w:val="24"/>
          <w:szCs w:val="24"/>
          <w:lang w:val="en-US" w:eastAsia="zh-CN"/>
        </w:rPr>
        <w:t xml:space="preserve">  </w:t>
      </w:r>
    </w:p>
    <w:p>
      <w:pPr>
        <w:pStyle w:val="48"/>
        <w:ind w:firstLine="48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（2）监测设施和设备</w:t>
      </w:r>
    </w:p>
    <w:p>
      <w:pPr>
        <w:pStyle w:val="48"/>
        <w:ind w:firstLine="480"/>
        <w:rPr>
          <w:rFonts w:hint="eastAsia" w:ascii="Times New Roman" w:hAnsi="Times New Roman" w:eastAsia="仿宋_GB2312" w:cs="Times New Roman"/>
          <w:color w:val="auto"/>
          <w:sz w:val="24"/>
          <w:szCs w:val="24"/>
          <w:lang w:eastAsia="zh-CN"/>
        </w:rPr>
      </w:pPr>
      <w:r>
        <w:rPr>
          <w:rFonts w:ascii="Times New Roman" w:hAnsi="Times New Roman" w:eastAsia="仿宋_GB2312" w:cs="Times New Roman"/>
          <w:color w:val="auto"/>
          <w:sz w:val="24"/>
          <w:szCs w:val="24"/>
        </w:rPr>
        <w:t>按监测内容和监测方法的要求，水土保持监测需要的主要仪器设备有电子天平、比重计、烘箱、玻璃仪器、取样工具、测钎</w:t>
      </w: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卫片</w:t>
      </w:r>
      <w:r>
        <w:rPr>
          <w:rFonts w:ascii="Times New Roman" w:hAnsi="Times New Roman" w:eastAsia="仿宋_GB2312" w:cs="Times New Roman"/>
          <w:color w:val="auto"/>
          <w:sz w:val="24"/>
          <w:szCs w:val="24"/>
        </w:rPr>
        <w:t>等监测设备</w:t>
      </w:r>
      <w:r>
        <w:rPr>
          <w:rFonts w:hint="eastAsia" w:ascii="Times New Roman" w:hAnsi="Times New Roman" w:eastAsia="仿宋_GB2312" w:cs="Times New Roman"/>
          <w:color w:val="auto"/>
          <w:sz w:val="24"/>
          <w:szCs w:val="24"/>
          <w:lang w:eastAsia="zh-CN"/>
        </w:rPr>
        <w:t>。</w:t>
      </w:r>
    </w:p>
    <w:p>
      <w:pPr>
        <w:spacing w:line="360" w:lineRule="auto"/>
        <w:rPr>
          <w:rFonts w:eastAsia="仿宋_GB2312"/>
          <w:b/>
          <w:color w:val="auto"/>
        </w:rPr>
      </w:pPr>
      <w:r>
        <w:rPr>
          <w:rFonts w:eastAsia="仿宋_GB2312"/>
          <w:b/>
          <w:color w:val="auto"/>
        </w:rPr>
        <w:t>6.4.2监测成果</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监测成果应包括水土保持监测实施方案、监测报告、图件、数据表（册）、影像资料等。其中监测报告包括季度报告表、专项报告和总结报告；数据表（册）包括原始记录表和汇总分析表。</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（1）监测实施方案：在施工准备期之前进行现场查勘和调查，编制水土保持监测实施方案。</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（2）监测报告：包括季度报告表、专项报告和总结报告，监测期间应编制季度报告表、发生严重水土流失灾害事件时，应于发生事件一周后完成专项报告，监测工作完成后，编制监测总结报告。</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（3）图件：包含项目区地理位置图、扰动地表分布图、监测分区与监测点分布图、土壤侵蚀强度图、水土保持措施分布图。</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（4）数据表（册）；包含原始记录表和汇总分析表。</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（5）影像资料；包含监测过程中拍摄的反映水土流失动态变化及治理措施实施的照片、录像等。</w:t>
      </w:r>
    </w:p>
    <w:p>
      <w:pPr>
        <w:spacing w:line="360" w:lineRule="auto"/>
        <w:ind w:firstLine="480" w:firstLineChars="200"/>
        <w:rPr>
          <w:rFonts w:hint="eastAsia" w:eastAsia="仿宋_GB2312" w:cs="Times New Roman"/>
          <w:color w:val="auto"/>
          <w:sz w:val="24"/>
          <w:lang w:eastAsia="zh-CN"/>
        </w:rPr>
      </w:pPr>
      <w:r>
        <w:rPr>
          <w:rFonts w:hint="default" w:ascii="Times New Roman" w:hAnsi="Times New Roman" w:eastAsia="仿宋_GB2312" w:cs="Times New Roman"/>
          <w:color w:val="auto"/>
          <w:sz w:val="24"/>
        </w:rPr>
        <w:t>（6）监测成果应采用纸质和电子版形式保存，做好数据备份</w:t>
      </w:r>
      <w:r>
        <w:rPr>
          <w:rFonts w:hint="eastAsia" w:eastAsia="仿宋_GB2312" w:cs="Times New Roman"/>
          <w:color w:val="auto"/>
          <w:sz w:val="24"/>
          <w:lang w:eastAsia="zh-CN"/>
        </w:rPr>
        <w:t>。</w:t>
      </w:r>
    </w:p>
    <w:p>
      <w:pPr>
        <w:spacing w:line="360" w:lineRule="auto"/>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6.4.</w:t>
      </w:r>
      <w:r>
        <w:rPr>
          <w:rFonts w:hint="eastAsia" w:ascii="Times New Roman" w:hAnsi="Times New Roman" w:eastAsia="仿宋_GB2312" w:cs="Times New Roman"/>
          <w:b/>
          <w:color w:val="auto"/>
          <w:lang w:val="en-US" w:eastAsia="zh-CN"/>
        </w:rPr>
        <w:t>3</w:t>
      </w:r>
      <w:r>
        <w:rPr>
          <w:rFonts w:hint="default" w:ascii="Times New Roman" w:hAnsi="Times New Roman" w:eastAsia="仿宋_GB2312" w:cs="Times New Roman"/>
          <w:b/>
          <w:color w:val="auto"/>
        </w:rPr>
        <w:t xml:space="preserve"> 监测成果要求</w:t>
      </w:r>
    </w:p>
    <w:p>
      <w:pPr>
        <w:spacing w:line="360" w:lineRule="auto"/>
        <w:ind w:firstLine="480" w:firstLineChars="200"/>
        <w:rPr>
          <w:rFonts w:eastAsia="仿宋_GB2312" w:cs="Times New Roman"/>
          <w:color w:val="auto"/>
          <w:sz w:val="24"/>
          <w:highlight w:val="none"/>
        </w:rPr>
      </w:pPr>
      <w:r>
        <w:rPr>
          <w:rFonts w:eastAsia="仿宋_GB2312" w:cs="Times New Roman"/>
          <w:color w:val="auto"/>
          <w:sz w:val="24"/>
          <w:highlight w:val="none"/>
        </w:rPr>
        <w:t>（1）</w:t>
      </w:r>
      <w:r>
        <w:rPr>
          <w:rFonts w:hint="eastAsia" w:eastAsia="仿宋_GB2312" w:cs="Times New Roman"/>
          <w:color w:val="auto"/>
          <w:sz w:val="24"/>
          <w:highlight w:val="none"/>
          <w:lang w:val="en-US" w:eastAsia="zh-CN"/>
        </w:rPr>
        <w:t>生产建设单位应当自行开展水土保持监测，对生产建设活动造成的水土流失进行监测，并将监测情况定期上报水行政主管部门。</w:t>
      </w:r>
    </w:p>
    <w:p>
      <w:pPr>
        <w:spacing w:line="360" w:lineRule="auto"/>
        <w:ind w:firstLine="480" w:firstLineChars="200"/>
        <w:rPr>
          <w:rFonts w:eastAsia="仿宋_GB2312" w:cs="Times New Roman"/>
          <w:color w:val="auto"/>
          <w:sz w:val="24"/>
          <w:highlight w:val="none"/>
        </w:rPr>
      </w:pPr>
      <w:r>
        <w:rPr>
          <w:rFonts w:eastAsia="仿宋_GB2312" w:cs="Times New Roman"/>
          <w:color w:val="auto"/>
          <w:sz w:val="24"/>
          <w:highlight w:val="none"/>
        </w:rPr>
        <w:t>（</w:t>
      </w:r>
      <w:r>
        <w:rPr>
          <w:rFonts w:hint="eastAsia" w:eastAsia="仿宋_GB2312" w:cs="Times New Roman"/>
          <w:color w:val="auto"/>
          <w:sz w:val="24"/>
          <w:highlight w:val="none"/>
          <w:lang w:val="en-US" w:eastAsia="zh-CN"/>
        </w:rPr>
        <w:t>2</w:t>
      </w:r>
      <w:r>
        <w:rPr>
          <w:rFonts w:eastAsia="仿宋_GB2312" w:cs="Times New Roman"/>
          <w:color w:val="auto"/>
          <w:sz w:val="24"/>
          <w:highlight w:val="none"/>
        </w:rPr>
        <w:t>）监测时需拍摄影像资料，并编写监测记录表。包括照片集和影音资料。</w:t>
      </w:r>
    </w:p>
    <w:p>
      <w:pPr>
        <w:spacing w:line="360" w:lineRule="auto"/>
        <w:ind w:firstLine="480" w:firstLineChars="200"/>
        <w:rPr>
          <w:rFonts w:eastAsia="仿宋_GB2312"/>
          <w:color w:val="auto"/>
          <w:sz w:val="24"/>
          <w:highlight w:val="none"/>
        </w:rPr>
      </w:pPr>
      <w:r>
        <w:rPr>
          <w:rFonts w:eastAsia="仿宋_GB2312" w:cs="Times New Roman"/>
          <w:color w:val="auto"/>
          <w:sz w:val="24"/>
          <w:highlight w:val="none"/>
        </w:rPr>
        <w:t>（</w:t>
      </w:r>
      <w:r>
        <w:rPr>
          <w:rFonts w:hint="eastAsia" w:eastAsia="仿宋_GB2312" w:cs="Times New Roman"/>
          <w:color w:val="auto"/>
          <w:sz w:val="24"/>
          <w:highlight w:val="none"/>
          <w:lang w:val="en-US" w:eastAsia="zh-CN"/>
        </w:rPr>
        <w:t>3</w:t>
      </w:r>
      <w:r>
        <w:rPr>
          <w:rFonts w:eastAsia="仿宋_GB2312" w:cs="Times New Roman"/>
          <w:color w:val="auto"/>
          <w:sz w:val="24"/>
          <w:highlight w:val="none"/>
        </w:rPr>
        <w:t>）对每次监测结果进行统计对比分析，做出简要分析与评价；若发现异</w:t>
      </w:r>
      <w:r>
        <w:rPr>
          <w:rFonts w:eastAsia="仿宋_GB2312"/>
          <w:color w:val="auto"/>
          <w:sz w:val="24"/>
          <w:highlight w:val="none"/>
        </w:rPr>
        <w:t>常情况，应立即通知业主与当地水土保持行政主管部门。</w:t>
      </w:r>
    </w:p>
    <w:p>
      <w:pPr>
        <w:spacing w:line="360" w:lineRule="auto"/>
        <w:ind w:firstLine="480" w:firstLineChars="200"/>
        <w:rPr>
          <w:rFonts w:eastAsia="仿宋_GB2312"/>
          <w:color w:val="auto"/>
          <w:sz w:val="24"/>
          <w:highlight w:val="none"/>
        </w:rPr>
      </w:pPr>
      <w:r>
        <w:rPr>
          <w:rFonts w:eastAsia="仿宋_GB2312"/>
          <w:color w:val="auto"/>
          <w:sz w:val="24"/>
          <w:highlight w:val="none"/>
        </w:rPr>
        <w:t>在监测报告等监测成果中提出“绿黄红”三色评价结论，及时公开公示，并报送当地水行政主管部门。建设单位应当在工程</w:t>
      </w:r>
      <w:r>
        <w:rPr>
          <w:rFonts w:hint="eastAsia" w:eastAsia="仿宋_GB2312"/>
          <w:color w:val="auto"/>
          <w:sz w:val="24"/>
          <w:highlight w:val="none"/>
        </w:rPr>
        <w:t>基建期</w:t>
      </w:r>
      <w:r>
        <w:rPr>
          <w:rFonts w:eastAsia="仿宋_GB2312"/>
          <w:color w:val="auto"/>
          <w:sz w:val="24"/>
          <w:highlight w:val="none"/>
        </w:rPr>
        <w:t>间将水土保持监测季报在其官网公开，同时在业主项目部和施工项目部公开。</w:t>
      </w:r>
    </w:p>
    <w:p>
      <w:pPr>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lang w:val="en-US" w:eastAsia="zh-CN"/>
        </w:rPr>
        <w:t>4</w:t>
      </w:r>
      <w:r>
        <w:rPr>
          <w:rFonts w:eastAsia="仿宋_GB2312"/>
          <w:color w:val="auto"/>
          <w:sz w:val="24"/>
          <w:highlight w:val="none"/>
        </w:rPr>
        <w:t>）监测成果经水行政主管部门成果备案达到标准要求后，可作为工程完工验收的依据。</w:t>
      </w:r>
    </w:p>
    <w:p>
      <w:pPr>
        <w:pStyle w:val="11"/>
        <w:spacing w:line="360" w:lineRule="auto"/>
        <w:ind w:firstLine="480" w:firstLineChars="200"/>
        <w:rPr>
          <w:rFonts w:hint="default" w:ascii="Times New Roman" w:hAnsi="Times New Roman" w:eastAsia="仿宋_GB2312" w:cs="Times New Roman"/>
          <w:color w:val="auto"/>
          <w:kern w:val="0"/>
          <w:sz w:val="21"/>
          <w:szCs w:val="21"/>
          <w:lang w:val="en-US" w:eastAsia="zh-CN" w:bidi="ar-SA"/>
        </w:rPr>
      </w:pPr>
      <w:r>
        <w:rPr>
          <w:rFonts w:eastAsia="仿宋_GB2312"/>
          <w:color w:val="auto"/>
          <w:sz w:val="24"/>
          <w:highlight w:val="none"/>
        </w:rPr>
        <w:t>（</w:t>
      </w:r>
      <w:r>
        <w:rPr>
          <w:rFonts w:hint="eastAsia" w:eastAsia="仿宋_GB2312"/>
          <w:color w:val="auto"/>
          <w:sz w:val="24"/>
          <w:highlight w:val="none"/>
          <w:lang w:val="en-US" w:eastAsia="zh-CN"/>
        </w:rPr>
        <w:t>5</w:t>
      </w:r>
      <w:r>
        <w:rPr>
          <w:rFonts w:eastAsia="仿宋_GB2312"/>
          <w:color w:val="auto"/>
          <w:sz w:val="24"/>
          <w:highlight w:val="none"/>
        </w:rPr>
        <w:t>）监测单位自觉接受水行政主管部门的监督检查。</w:t>
      </w:r>
    </w:p>
    <w:p>
      <w:pPr>
        <w:pStyle w:val="4"/>
        <w:spacing w:before="0" w:after="0" w:line="360" w:lineRule="auto"/>
        <w:rPr>
          <w:rFonts w:eastAsia="仿宋_GB2312"/>
          <w:color w:val="auto"/>
          <w:sz w:val="28"/>
          <w:szCs w:val="28"/>
        </w:rPr>
        <w:sectPr>
          <w:headerReference r:id="rId19" w:type="default"/>
          <w:footerReference r:id="rId20" w:type="default"/>
          <w:type w:val="continuous"/>
          <w:pgSz w:w="11906" w:h="16838"/>
          <w:pgMar w:top="1440" w:right="1588" w:bottom="1440" w:left="1588" w:header="851" w:footer="992" w:gutter="0"/>
          <w:pgNumType w:fmt="decimal"/>
          <w:cols w:space="720" w:num="1"/>
          <w:docGrid w:linePitch="312" w:charSpace="0"/>
        </w:sectPr>
      </w:pPr>
      <w:bookmarkStart w:id="57" w:name="_Toc998"/>
    </w:p>
    <w:p>
      <w:pPr>
        <w:pStyle w:val="4"/>
        <w:spacing w:before="0" w:after="0" w:line="360" w:lineRule="auto"/>
        <w:rPr>
          <w:rFonts w:eastAsia="仿宋_GB2312"/>
          <w:color w:val="auto"/>
          <w:sz w:val="28"/>
          <w:szCs w:val="28"/>
        </w:rPr>
      </w:pPr>
      <w:r>
        <w:rPr>
          <w:rFonts w:eastAsia="仿宋_GB2312"/>
          <w:color w:val="auto"/>
          <w:sz w:val="28"/>
          <w:szCs w:val="28"/>
        </w:rPr>
        <w:t>7水土保持投资估算及效益分析</w:t>
      </w:r>
      <w:bookmarkEnd w:id="57"/>
    </w:p>
    <w:p>
      <w:pPr>
        <w:pStyle w:val="5"/>
        <w:spacing w:before="0" w:after="0" w:line="360" w:lineRule="auto"/>
        <w:rPr>
          <w:rFonts w:ascii="Times New Roman" w:hAnsi="Times New Roman" w:eastAsia="仿宋_GB2312"/>
          <w:color w:val="auto"/>
          <w:sz w:val="28"/>
          <w:szCs w:val="28"/>
        </w:rPr>
      </w:pPr>
      <w:bookmarkStart w:id="58" w:name="_Toc14907"/>
      <w:r>
        <w:rPr>
          <w:rFonts w:ascii="Times New Roman" w:hAnsi="Times New Roman" w:eastAsia="仿宋_GB2312"/>
          <w:color w:val="auto"/>
          <w:sz w:val="28"/>
          <w:szCs w:val="28"/>
        </w:rPr>
        <w:t>7.1投资估算</w:t>
      </w:r>
      <w:bookmarkEnd w:id="58"/>
    </w:p>
    <w:p>
      <w:pPr>
        <w:spacing w:line="360" w:lineRule="auto"/>
        <w:jc w:val="both"/>
        <w:rPr>
          <w:rFonts w:eastAsia="仿宋_GB2312"/>
          <w:b/>
          <w:color w:val="auto"/>
          <w:szCs w:val="24"/>
        </w:rPr>
      </w:pPr>
      <w:r>
        <w:rPr>
          <w:rFonts w:eastAsia="仿宋_GB2312"/>
          <w:b/>
          <w:color w:val="auto"/>
          <w:szCs w:val="24"/>
        </w:rPr>
        <w:t>7.1.1编制原则及依据</w:t>
      </w:r>
    </w:p>
    <w:p>
      <w:pPr>
        <w:spacing w:line="360" w:lineRule="auto"/>
        <w:jc w:val="both"/>
        <w:rPr>
          <w:rFonts w:eastAsia="仿宋_GB2312"/>
          <w:b/>
          <w:color w:val="auto"/>
          <w:szCs w:val="24"/>
        </w:rPr>
      </w:pPr>
      <w:r>
        <w:rPr>
          <w:rFonts w:eastAsia="仿宋_GB2312"/>
          <w:b/>
          <w:color w:val="auto"/>
          <w:szCs w:val="24"/>
        </w:rPr>
        <w:t>7.1.1.1编制原则</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（1）水土保持投资包括主体工程设计的水土保持功能工程投资及新增水土保持投资水土保持投资估算作为主体工程投资估算的重要组成部分，计入主体工程总投资估算中；</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（2）投资估算编制的项目划分、费用构成、表格形式等应依据水土保持工程概（估）算编制规定编写；</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（3）概算定额、取费项目及费率与主体工程一致，主体工程定额中没有的工程项目，应采用水土保持或相关行业的定额、取费项目及费率；</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（4）水土保持补偿费单独计列；</w:t>
      </w:r>
    </w:p>
    <w:p>
      <w:pPr>
        <w:pStyle w:val="11"/>
        <w:spacing w:line="360" w:lineRule="auto"/>
        <w:ind w:firstLine="480" w:firstLineChars="200"/>
        <w:rPr>
          <w:rFonts w:eastAsia="仿宋_GB2312"/>
          <w:color w:val="auto"/>
          <w:szCs w:val="24"/>
        </w:rPr>
      </w:pPr>
      <w:r>
        <w:rPr>
          <w:rFonts w:hint="default" w:ascii="Times New Roman" w:hAnsi="Times New Roman" w:eastAsia="仿宋_GB2312" w:cs="Times New Roman"/>
          <w:color w:val="auto"/>
          <w:sz w:val="24"/>
        </w:rPr>
        <w:t>（5）价格水平年与主体保持一致，</w:t>
      </w:r>
      <w:r>
        <w:rPr>
          <w:rFonts w:hint="default" w:ascii="Times New Roman" w:hAnsi="Times New Roman" w:eastAsia="仿宋_GB2312" w:cs="Times New Roman"/>
          <w:color w:val="auto"/>
          <w:sz w:val="24"/>
        </w:rPr>
        <w:t>为202</w:t>
      </w:r>
      <w:r>
        <w:rPr>
          <w:rFonts w:hint="eastAsia" w:eastAsia="仿宋_GB2312" w:cs="Times New Roman"/>
          <w:color w:val="auto"/>
          <w:sz w:val="24"/>
          <w:lang w:val="en-US" w:eastAsia="zh-CN"/>
        </w:rPr>
        <w:t>2</w:t>
      </w:r>
      <w:r>
        <w:rPr>
          <w:rFonts w:hint="default" w:ascii="Times New Roman" w:hAnsi="Times New Roman" w:eastAsia="仿宋_GB2312" w:cs="Times New Roman"/>
          <w:color w:val="auto"/>
          <w:sz w:val="24"/>
        </w:rPr>
        <w:t>年</w:t>
      </w:r>
      <w:r>
        <w:rPr>
          <w:rFonts w:hint="eastAsia" w:eastAsia="仿宋_GB2312" w:cs="Times New Roman"/>
          <w:color w:val="auto"/>
          <w:sz w:val="24"/>
          <w:lang w:val="en-US" w:eastAsia="zh-CN"/>
        </w:rPr>
        <w:t>第三季度</w:t>
      </w:r>
      <w:r>
        <w:rPr>
          <w:rFonts w:hint="default" w:ascii="Times New Roman" w:hAnsi="Times New Roman" w:eastAsia="仿宋_GB2312" w:cs="Times New Roman"/>
          <w:color w:val="auto"/>
          <w:sz w:val="24"/>
        </w:rPr>
        <w:t>价格水平</w:t>
      </w:r>
      <w:r>
        <w:rPr>
          <w:rFonts w:eastAsia="仿宋_GB2312"/>
          <w:color w:val="auto"/>
          <w:szCs w:val="24"/>
        </w:rPr>
        <w:t>。</w:t>
      </w:r>
    </w:p>
    <w:p>
      <w:pPr>
        <w:spacing w:line="360" w:lineRule="auto"/>
        <w:jc w:val="both"/>
        <w:rPr>
          <w:rFonts w:eastAsia="仿宋_GB2312"/>
          <w:b/>
          <w:color w:val="auto"/>
          <w:szCs w:val="24"/>
        </w:rPr>
      </w:pPr>
      <w:r>
        <w:rPr>
          <w:rFonts w:eastAsia="仿宋_GB2312"/>
          <w:b/>
          <w:color w:val="auto"/>
          <w:szCs w:val="24"/>
        </w:rPr>
        <w:t>7.1.1.2编制依据</w:t>
      </w:r>
    </w:p>
    <w:p>
      <w:pPr>
        <w:pStyle w:val="11"/>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highlight w:val="none"/>
        </w:rPr>
        <w:t>《关于颁发&lt;水土保持工程概（估）算编制规定和定额&gt;的通知》（水利部，水总〔2003〕67号）</w:t>
      </w:r>
      <w:r>
        <w:rPr>
          <w:rFonts w:hint="default" w:ascii="Times New Roman" w:hAnsi="Times New Roman" w:eastAsia="仿宋_GB2312" w:cs="Times New Roman"/>
          <w:color w:val="auto"/>
          <w:sz w:val="24"/>
        </w:rPr>
        <w:t>；</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（2）《水土保持工程概算定额》（水利部，水总〔2003〕67号）；</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（3）《施工机械台时费定额》（水利部，水总〔2003〕67号）；</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（4）《开发建设项目水土保持工程概（估）算编制规定》；</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r>
        <w:rPr>
          <w:rFonts w:hint="eastAsia" w:ascii="Times New Roman" w:hAnsi="Times New Roman" w:eastAsia="仿宋_GB2312" w:cs="Times New Roman"/>
          <w:color w:val="auto"/>
          <w:sz w:val="24"/>
          <w:lang w:val="en-US" w:eastAsia="zh-CN"/>
        </w:rPr>
        <w:t>5</w:t>
      </w:r>
      <w:r>
        <w:rPr>
          <w:rFonts w:hint="default" w:ascii="Times New Roman" w:hAnsi="Times New Roman" w:eastAsia="仿宋_GB2312" w:cs="Times New Roman"/>
          <w:color w:val="auto"/>
          <w:sz w:val="24"/>
        </w:rPr>
        <w:t>）《关于进一步放开建设项目专业服务价格的通知》（国家发展改革委 发改价格〔2015〕299号）；</w:t>
      </w:r>
    </w:p>
    <w:p>
      <w:pPr>
        <w:spacing w:line="360" w:lineRule="auto"/>
        <w:ind w:firstLine="480" w:firstLineChars="200"/>
        <w:rPr>
          <w:rFonts w:hint="default" w:ascii="Times New Roman" w:hAnsi="Times New Roman" w:eastAsia="仿宋_GB2312" w:cs="Times New Roman"/>
          <w:snapToGrid w:val="0"/>
          <w:color w:val="auto"/>
          <w:sz w:val="24"/>
        </w:rPr>
      </w:pPr>
      <w:r>
        <w:rPr>
          <w:rFonts w:hint="default" w:ascii="Times New Roman" w:hAnsi="Times New Roman" w:eastAsia="仿宋_GB2312" w:cs="Times New Roman"/>
          <w:color w:val="auto"/>
          <w:sz w:val="24"/>
        </w:rPr>
        <w:t>（</w:t>
      </w:r>
      <w:r>
        <w:rPr>
          <w:rFonts w:hint="eastAsia" w:ascii="Times New Roman" w:hAnsi="Times New Roman" w:eastAsia="仿宋_GB2312" w:cs="Times New Roman"/>
          <w:color w:val="auto"/>
          <w:sz w:val="24"/>
          <w:lang w:val="en-US" w:eastAsia="zh-CN"/>
        </w:rPr>
        <w:t>6</w:t>
      </w:r>
      <w:r>
        <w:rPr>
          <w:rFonts w:hint="default" w:ascii="Times New Roman" w:hAnsi="Times New Roman" w:eastAsia="仿宋_GB2312" w:cs="Times New Roman"/>
          <w:color w:val="auto"/>
          <w:sz w:val="24"/>
        </w:rPr>
        <w:t>）《水利部办公厅关于调整水利工程计价依据增值税计算标准的通知》（办财务函〔2019〕448号</w:t>
      </w:r>
      <w:r>
        <w:rPr>
          <w:rFonts w:hint="default" w:ascii="Times New Roman" w:hAnsi="Times New Roman" w:eastAsia="仿宋_GB2312" w:cs="Times New Roman"/>
          <w:snapToGrid w:val="0"/>
          <w:color w:val="auto"/>
          <w:sz w:val="24"/>
        </w:rPr>
        <w:t>）；</w:t>
      </w:r>
    </w:p>
    <w:p>
      <w:pPr>
        <w:spacing w:line="360" w:lineRule="auto"/>
        <w:ind w:firstLine="480" w:firstLineChars="200"/>
        <w:rPr>
          <w:rFonts w:hint="default" w:ascii="Times New Roman" w:hAnsi="Times New Roman" w:eastAsia="仿宋_GB2312" w:cs="Times New Roman"/>
          <w:snapToGrid w:val="0"/>
          <w:color w:val="auto"/>
          <w:sz w:val="24"/>
        </w:rPr>
      </w:pPr>
      <w:r>
        <w:rPr>
          <w:rFonts w:hint="default" w:ascii="Times New Roman" w:hAnsi="Times New Roman" w:eastAsia="仿宋_GB2312" w:cs="Times New Roman"/>
          <w:color w:val="auto"/>
          <w:sz w:val="24"/>
        </w:rPr>
        <w:t>（</w:t>
      </w:r>
      <w:r>
        <w:rPr>
          <w:rFonts w:hint="eastAsia" w:ascii="Times New Roman" w:hAnsi="Times New Roman" w:eastAsia="仿宋_GB2312" w:cs="Times New Roman"/>
          <w:color w:val="auto"/>
          <w:sz w:val="24"/>
          <w:lang w:val="en-US" w:eastAsia="zh-CN"/>
        </w:rPr>
        <w:t>7</w:t>
      </w:r>
      <w:r>
        <w:rPr>
          <w:rFonts w:hint="default" w:ascii="Times New Roman" w:hAnsi="Times New Roman" w:eastAsia="仿宋_GB2312" w:cs="Times New Roman"/>
          <w:color w:val="auto"/>
          <w:sz w:val="24"/>
        </w:rPr>
        <w:t>）《吉林省住房和城乡建设厅关于调整定额人工综合工日单价和定额机械费的的通知》（吉建造〔2020〕4号</w:t>
      </w:r>
      <w:r>
        <w:rPr>
          <w:rFonts w:hint="default" w:ascii="Times New Roman" w:hAnsi="Times New Roman" w:eastAsia="仿宋_GB2312" w:cs="Times New Roman"/>
          <w:snapToGrid w:val="0"/>
          <w:color w:val="auto"/>
          <w:sz w:val="24"/>
        </w:rPr>
        <w:t>）。</w:t>
      </w:r>
    </w:p>
    <w:p>
      <w:pPr>
        <w:spacing w:line="360" w:lineRule="auto"/>
        <w:ind w:firstLine="480" w:firstLineChars="200"/>
        <w:rPr>
          <w:rFonts w:hint="eastAsia" w:eastAsia="仿宋_GB2312" w:cs="Times New Roman"/>
          <w:color w:val="auto"/>
          <w:sz w:val="24"/>
          <w:lang w:eastAsia="zh-CN"/>
        </w:rPr>
      </w:pPr>
      <w:r>
        <w:rPr>
          <w:rFonts w:hint="default" w:ascii="Times New Roman" w:hAnsi="Times New Roman" w:eastAsia="仿宋_GB2312" w:cs="Times New Roman"/>
          <w:color w:val="auto"/>
          <w:sz w:val="24"/>
        </w:rPr>
        <w:t>（</w:t>
      </w:r>
      <w:r>
        <w:rPr>
          <w:rFonts w:hint="eastAsia" w:ascii="Times New Roman" w:hAnsi="Times New Roman" w:eastAsia="仿宋_GB2312" w:cs="Times New Roman"/>
          <w:color w:val="auto"/>
          <w:sz w:val="24"/>
          <w:lang w:val="en-US" w:eastAsia="zh-CN"/>
        </w:rPr>
        <w:t>8</w:t>
      </w:r>
      <w:r>
        <w:rPr>
          <w:rFonts w:hint="default" w:ascii="Times New Roman" w:hAnsi="Times New Roman" w:eastAsia="仿宋_GB2312" w:cs="Times New Roman"/>
          <w:color w:val="auto"/>
          <w:sz w:val="24"/>
        </w:rPr>
        <w:t>）《吉林省水利厅关于进一步做好全省水土保持补偿费有关工作的通知》（吉水保函〔2021〕1号）</w:t>
      </w:r>
      <w:r>
        <w:rPr>
          <w:rFonts w:hint="eastAsia" w:eastAsia="仿宋_GB2312" w:cs="Times New Roman"/>
          <w:color w:val="auto"/>
          <w:sz w:val="24"/>
          <w:lang w:eastAsia="zh-CN"/>
        </w:rPr>
        <w:t>；</w:t>
      </w:r>
    </w:p>
    <w:p>
      <w:pPr>
        <w:spacing w:line="360" w:lineRule="auto"/>
        <w:ind w:firstLine="480" w:firstLineChars="200"/>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val="en-US" w:eastAsia="zh-CN"/>
        </w:rPr>
        <w:t>9</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《水土保持补偿费征收使用管理办法》（财政部，财综〔2014〕8号）</w:t>
      </w:r>
      <w:r>
        <w:rPr>
          <w:rFonts w:hint="eastAsia" w:ascii="Times New Roman" w:hAnsi="Times New Roman" w:eastAsia="仿宋_GB2312" w:cs="Times New Roman"/>
          <w:color w:val="auto"/>
          <w:highlight w:val="none"/>
          <w:lang w:eastAsia="zh-CN"/>
        </w:rPr>
        <w:t>；</w:t>
      </w:r>
    </w:p>
    <w:p>
      <w:pPr>
        <w:spacing w:line="360" w:lineRule="auto"/>
        <w:ind w:firstLine="480" w:firstLineChars="200"/>
        <w:rPr>
          <w:rFonts w:hint="default" w:ascii="Times New Roman" w:hAnsi="Times New Roman" w:eastAsia="仿宋_GB2312" w:cs="Times New Roman"/>
          <w:color w:val="auto"/>
          <w:szCs w:val="22"/>
          <w:highlight w:val="none"/>
        </w:rPr>
      </w:pPr>
      <w:r>
        <w:rPr>
          <w:rFonts w:hint="eastAsia" w:ascii="Times New Roman" w:hAnsi="Times New Roman" w:eastAsia="仿宋_GB2312" w:cs="Times New Roman"/>
          <w:color w:val="auto"/>
          <w:szCs w:val="22"/>
          <w:highlight w:val="none"/>
          <w:lang w:val="en-US" w:eastAsia="zh-CN"/>
        </w:rPr>
        <w:t>（10）</w:t>
      </w:r>
      <w:r>
        <w:rPr>
          <w:rFonts w:hint="default" w:ascii="Times New Roman" w:hAnsi="Times New Roman" w:eastAsia="仿宋_GB2312" w:cs="Times New Roman"/>
          <w:color w:val="auto"/>
          <w:szCs w:val="22"/>
          <w:highlight w:val="none"/>
          <w:lang w:val="en-US" w:eastAsia="zh-CN"/>
        </w:rPr>
        <w:t xml:space="preserve">《吉林省水利厅关于进一步加强水土保持补偿费征收使用有关工作的通知》（吉水保函〔2020〕45号）； </w:t>
      </w:r>
    </w:p>
    <w:p>
      <w:pPr>
        <w:spacing w:line="360" w:lineRule="auto"/>
        <w:ind w:firstLine="480" w:firstLineChars="200"/>
        <w:rPr>
          <w:rFonts w:hint="default" w:ascii="Times New Roman" w:hAnsi="Times New Roman" w:eastAsia="仿宋_GB2312" w:cs="Times New Roman"/>
          <w:color w:val="auto"/>
          <w:szCs w:val="22"/>
          <w:highlight w:val="none"/>
        </w:rPr>
      </w:pPr>
      <w:r>
        <w:rPr>
          <w:rFonts w:hint="default" w:ascii="Times New Roman" w:hAnsi="Times New Roman" w:eastAsia="仿宋_GB2312" w:cs="Times New Roman"/>
          <w:color w:val="auto"/>
          <w:szCs w:val="22"/>
          <w:highlight w:val="none"/>
          <w:lang w:val="en-US" w:eastAsia="zh-CN"/>
        </w:rPr>
        <w:t>（</w:t>
      </w:r>
      <w:r>
        <w:rPr>
          <w:rFonts w:hint="eastAsia" w:ascii="Times New Roman" w:hAnsi="Times New Roman" w:eastAsia="仿宋_GB2312" w:cs="Times New Roman"/>
          <w:color w:val="auto"/>
          <w:szCs w:val="22"/>
          <w:highlight w:val="none"/>
          <w:lang w:val="en-US" w:eastAsia="zh-CN"/>
        </w:rPr>
        <w:t>11</w:t>
      </w:r>
      <w:r>
        <w:rPr>
          <w:rFonts w:hint="default" w:ascii="Times New Roman" w:hAnsi="Times New Roman" w:eastAsia="仿宋_GB2312" w:cs="Times New Roman"/>
          <w:color w:val="auto"/>
          <w:szCs w:val="22"/>
          <w:highlight w:val="none"/>
          <w:lang w:val="en-US" w:eastAsia="zh-CN"/>
        </w:rPr>
        <w:t xml:space="preserve">）《财政部关于水土保持补偿费等四项非税收入划转税务部门征收的通知》（财税〔2020〕58号）； </w:t>
      </w:r>
    </w:p>
    <w:p>
      <w:pPr>
        <w:spacing w:line="360" w:lineRule="auto"/>
        <w:ind w:firstLine="480" w:firstLineChars="200"/>
        <w:rPr>
          <w:rFonts w:hint="default" w:ascii="Times New Roman" w:hAnsi="Times New Roman" w:eastAsia="仿宋_GB2312" w:cs="Times New Roman"/>
          <w:color w:val="auto"/>
          <w:szCs w:val="22"/>
          <w:highlight w:val="none"/>
          <w:lang w:val="en-US" w:eastAsia="zh-CN"/>
        </w:rPr>
      </w:pPr>
      <w:r>
        <w:rPr>
          <w:rFonts w:hint="eastAsia" w:ascii="Times New Roman" w:hAnsi="Times New Roman" w:eastAsia="仿宋_GB2312" w:cs="Times New Roman"/>
          <w:color w:val="auto"/>
          <w:szCs w:val="22"/>
          <w:highlight w:val="none"/>
          <w:lang w:val="en-US" w:eastAsia="zh-CN"/>
        </w:rPr>
        <w:t>（12）</w:t>
      </w:r>
      <w:r>
        <w:rPr>
          <w:rFonts w:hint="default" w:ascii="Times New Roman" w:hAnsi="Times New Roman" w:eastAsia="仿宋_GB2312" w:cs="Times New Roman"/>
          <w:color w:val="auto"/>
          <w:szCs w:val="22"/>
          <w:highlight w:val="none"/>
          <w:lang w:val="en-US" w:eastAsia="zh-CN"/>
        </w:rPr>
        <w:t>《国家税务总局关于水土保持补偿费等政府非税收入项目征管职责划转有关事项的公告》（国家税务总局公告2020年第21号）；</w:t>
      </w:r>
    </w:p>
    <w:p>
      <w:pPr>
        <w:spacing w:line="360" w:lineRule="auto"/>
        <w:ind w:firstLine="480" w:firstLineChars="200"/>
        <w:rPr>
          <w:rFonts w:hint="default" w:ascii="Times New Roman" w:hAnsi="Times New Roman" w:eastAsia="仿宋_GB2312" w:cs="Times New Roman"/>
          <w:color w:val="auto"/>
          <w:szCs w:val="22"/>
          <w:highlight w:val="none"/>
          <w:lang w:val="en-US" w:eastAsia="zh-CN"/>
        </w:rPr>
      </w:pPr>
      <w:r>
        <w:rPr>
          <w:rFonts w:hint="eastAsia" w:ascii="Times New Roman" w:hAnsi="Times New Roman" w:eastAsia="仿宋_GB2312" w:cs="Times New Roman"/>
          <w:color w:val="auto"/>
          <w:szCs w:val="22"/>
          <w:highlight w:val="none"/>
          <w:lang w:val="en-US" w:eastAsia="zh-CN"/>
        </w:rPr>
        <w:t>（13）</w:t>
      </w:r>
      <w:r>
        <w:rPr>
          <w:rFonts w:hint="default" w:ascii="Times New Roman" w:hAnsi="Times New Roman" w:eastAsia="仿宋_GB2312" w:cs="Times New Roman"/>
          <w:color w:val="auto"/>
          <w:szCs w:val="22"/>
          <w:highlight w:val="none"/>
          <w:lang w:val="en-US" w:eastAsia="zh-CN"/>
        </w:rPr>
        <w:t>《吉林省水利厅关于进一步做好全省水土保持补偿费有关工作的通知》（吉水保函〔2021〕1号）</w:t>
      </w:r>
      <w:r>
        <w:rPr>
          <w:rFonts w:hint="eastAsia" w:ascii="Times New Roman" w:hAnsi="Times New Roman" w:eastAsia="仿宋_GB2312" w:cs="Times New Roman"/>
          <w:color w:val="auto"/>
          <w:szCs w:val="22"/>
          <w:highlight w:val="none"/>
          <w:lang w:val="en-US" w:eastAsia="zh-CN"/>
        </w:rPr>
        <w:t>；</w:t>
      </w:r>
    </w:p>
    <w:p>
      <w:pPr>
        <w:pStyle w:val="11"/>
        <w:spacing w:line="360" w:lineRule="auto"/>
        <w:ind w:firstLine="480" w:firstLineChars="200"/>
        <w:rPr>
          <w:rFonts w:hint="default" w:ascii="Times New Roman" w:hAnsi="Times New Roman" w:eastAsia="仿宋_GB2312" w:cs="Times New Roman"/>
          <w:color w:val="auto"/>
          <w:szCs w:val="22"/>
          <w:highlight w:val="none"/>
          <w:lang w:val="en-US" w:eastAsia="zh-CN"/>
        </w:rPr>
      </w:pPr>
      <w:r>
        <w:rPr>
          <w:rFonts w:hint="eastAsia" w:ascii="Times New Roman" w:hAnsi="Times New Roman" w:eastAsia="仿宋_GB2312" w:cs="Times New Roman"/>
          <w:color w:val="auto"/>
          <w:szCs w:val="22"/>
          <w:highlight w:val="none"/>
          <w:lang w:val="en-US" w:eastAsia="zh-CN"/>
        </w:rPr>
        <w:t>（14）</w:t>
      </w:r>
      <w:r>
        <w:rPr>
          <w:rFonts w:hint="default" w:ascii="Times New Roman" w:hAnsi="Times New Roman" w:eastAsia="仿宋_GB2312" w:cs="Times New Roman"/>
          <w:color w:val="auto"/>
          <w:szCs w:val="22"/>
          <w:highlight w:val="none"/>
          <w:lang w:val="en-US" w:eastAsia="zh-CN"/>
        </w:rPr>
        <w:t>《吉林省发展和改革委员会 吉林省财政厅 吉林省水利厅 关于核定吉林省水土保持补偿费收费标准及有关问题的通知》（吉发改收费联〔2022〕670号）</w:t>
      </w:r>
      <w:r>
        <w:rPr>
          <w:rFonts w:hint="eastAsia" w:ascii="Times New Roman" w:hAnsi="Times New Roman" w:eastAsia="仿宋_GB2312" w:cs="Times New Roman"/>
          <w:color w:val="auto"/>
          <w:szCs w:val="22"/>
          <w:highlight w:val="none"/>
          <w:lang w:val="en-US" w:eastAsia="zh-CN"/>
        </w:rPr>
        <w:t>；</w:t>
      </w:r>
    </w:p>
    <w:p>
      <w:pPr>
        <w:pStyle w:val="11"/>
        <w:spacing w:line="360" w:lineRule="auto"/>
        <w:ind w:firstLine="480" w:firstLineChars="200"/>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val="en-US" w:eastAsia="zh-CN"/>
        </w:rPr>
        <w:t>15</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吉林省财政厅 吉林省发改委 水利厅 省税务局 中国人民银行长春中心支行关于印发吉林省水土保持补偿费征收使用管理办法的通知</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（吉财税〔2022〕952号）</w:t>
      </w:r>
      <w:r>
        <w:rPr>
          <w:rFonts w:hint="eastAsia" w:ascii="Times New Roman" w:hAnsi="Times New Roman" w:eastAsia="仿宋_GB2312" w:cs="Times New Roman"/>
          <w:color w:val="auto"/>
          <w:highlight w:val="none"/>
          <w:lang w:eastAsia="zh-CN"/>
        </w:rPr>
        <w:t>；</w:t>
      </w:r>
    </w:p>
    <w:p>
      <w:pPr>
        <w:spacing w:line="360" w:lineRule="auto"/>
        <w:ind w:firstLine="480" w:firstLineChars="200"/>
        <w:rPr>
          <w:rFonts w:eastAsia="仿宋_GB2312"/>
          <w:snapToGrid w:val="0"/>
          <w:color w:val="auto"/>
          <w:szCs w:val="24"/>
        </w:rPr>
      </w:pPr>
      <w:r>
        <w:rPr>
          <w:rFonts w:hint="eastAsia" w:ascii="Times New Roman" w:hAnsi="Times New Roman" w:eastAsia="仿宋_GB2312" w:cs="Times New Roman"/>
          <w:color w:val="auto"/>
          <w:sz w:val="24"/>
          <w:highlight w:val="none"/>
          <w:lang w:val="en-US" w:eastAsia="zh-CN" w:bidi="ar-SA"/>
        </w:rPr>
        <w:t>（16）《吉林省水利厅关于进一步做好全省水土保持补偿费征收使用有关工作的通知》（吉水保函〔2023〕1号）</w:t>
      </w:r>
      <w:r>
        <w:rPr>
          <w:rFonts w:eastAsia="仿宋_GB2312"/>
          <w:snapToGrid w:val="0"/>
          <w:color w:val="auto"/>
          <w:szCs w:val="24"/>
        </w:rPr>
        <w:t>。</w:t>
      </w:r>
    </w:p>
    <w:p>
      <w:pPr>
        <w:spacing w:line="360" w:lineRule="auto"/>
        <w:jc w:val="both"/>
        <w:rPr>
          <w:rFonts w:eastAsia="仿宋_GB2312"/>
          <w:b/>
          <w:color w:val="auto"/>
          <w:szCs w:val="24"/>
        </w:rPr>
      </w:pPr>
      <w:r>
        <w:rPr>
          <w:rFonts w:eastAsia="仿宋_GB2312"/>
          <w:b/>
          <w:color w:val="auto"/>
          <w:szCs w:val="24"/>
        </w:rPr>
        <w:t>7.1.2编制说明与估算成果</w:t>
      </w:r>
    </w:p>
    <w:p>
      <w:pPr>
        <w:spacing w:line="360" w:lineRule="auto"/>
        <w:ind w:firstLine="480" w:firstLineChars="200"/>
        <w:jc w:val="both"/>
        <w:rPr>
          <w:rFonts w:eastAsia="仿宋_GB2312"/>
          <w:b/>
          <w:color w:val="auto"/>
          <w:szCs w:val="24"/>
        </w:rPr>
      </w:pPr>
      <w:r>
        <w:rPr>
          <w:rFonts w:hint="default" w:ascii="Times New Roman" w:hAnsi="Times New Roman" w:eastAsia="仿宋_GB2312" w:cs="Times New Roman"/>
          <w:color w:val="auto"/>
          <w:sz w:val="24"/>
        </w:rPr>
        <w:t>水土保持工程投资概（估）算以水利部水总〔2003〕67号文发布的《水土保持生态建设工程概（估）算编制规定》为主要依据，并根据国家有关水土保持工程的规程、规范和有关标准，结合本工程的具体情况进行编制。水土保持工程投资包括水土保持工程费和水土保持补偿费两部分。水土保持工程费用由水土保持工程措施、植物措施、临时工程、独立费用及基本预备费组成。</w:t>
      </w:r>
    </w:p>
    <w:p>
      <w:pPr>
        <w:spacing w:line="360" w:lineRule="auto"/>
        <w:jc w:val="both"/>
        <w:rPr>
          <w:rFonts w:eastAsia="仿宋_GB2312"/>
          <w:b/>
          <w:color w:val="auto"/>
          <w:szCs w:val="24"/>
        </w:rPr>
      </w:pPr>
      <w:r>
        <w:rPr>
          <w:rFonts w:eastAsia="仿宋_GB2312"/>
          <w:b/>
          <w:color w:val="auto"/>
          <w:szCs w:val="24"/>
        </w:rPr>
        <w:t>7.1.2.1编制说明</w:t>
      </w:r>
    </w:p>
    <w:p>
      <w:pPr>
        <w:spacing w:line="360" w:lineRule="auto"/>
        <w:ind w:firstLine="480" w:firstLineChars="200"/>
        <w:jc w:val="both"/>
        <w:rPr>
          <w:rFonts w:eastAsia="仿宋_GB2312"/>
          <w:color w:val="auto"/>
          <w:szCs w:val="24"/>
        </w:rPr>
      </w:pPr>
      <w:r>
        <w:rPr>
          <w:rFonts w:eastAsia="仿宋_GB2312"/>
          <w:color w:val="auto"/>
          <w:szCs w:val="24"/>
        </w:rPr>
        <w:t>一、基础单价及取费标准</w:t>
      </w:r>
    </w:p>
    <w:p>
      <w:pPr>
        <w:pStyle w:val="67"/>
        <w:rPr>
          <w:rFonts w:eastAsia="仿宋_GB2312"/>
          <w:color w:val="auto"/>
          <w:szCs w:val="24"/>
        </w:rPr>
      </w:pPr>
      <w:r>
        <w:rPr>
          <w:rFonts w:eastAsia="仿宋_GB2312"/>
          <w:color w:val="auto"/>
          <w:szCs w:val="24"/>
        </w:rPr>
        <w:t>水土保持工程投资估算以水利部水总</w:t>
      </w:r>
      <w:r>
        <w:rPr>
          <w:rFonts w:eastAsia="仿宋_GB2312"/>
          <w:snapToGrid w:val="0"/>
          <w:color w:val="auto"/>
          <w:szCs w:val="24"/>
        </w:rPr>
        <w:t>〔2003〕</w:t>
      </w:r>
      <w:r>
        <w:rPr>
          <w:rFonts w:eastAsia="仿宋_GB2312"/>
          <w:color w:val="auto"/>
          <w:szCs w:val="24"/>
        </w:rPr>
        <w:t>67号文发布的《开发建设项目水土保持工程概（估）算编制规定》为主要依据，并根据国家有关水土保持工程规范和有关标准，结合本工程的具体情况进行编制。</w:t>
      </w:r>
    </w:p>
    <w:p>
      <w:pPr>
        <w:pStyle w:val="67"/>
        <w:rPr>
          <w:rFonts w:eastAsia="仿宋_GB2312"/>
          <w:color w:val="auto"/>
          <w:szCs w:val="24"/>
        </w:rPr>
      </w:pPr>
      <w:r>
        <w:rPr>
          <w:rFonts w:eastAsia="仿宋_GB2312"/>
          <w:color w:val="auto"/>
          <w:szCs w:val="24"/>
        </w:rPr>
        <w:t>（1）人工预算单价</w:t>
      </w:r>
    </w:p>
    <w:p>
      <w:pPr>
        <w:pStyle w:val="67"/>
        <w:rPr>
          <w:rFonts w:eastAsia="仿宋_GB2312"/>
          <w:color w:val="auto"/>
          <w:szCs w:val="24"/>
        </w:rPr>
      </w:pPr>
      <w:r>
        <w:rPr>
          <w:rFonts w:hint="default" w:ascii="Times New Roman" w:hAnsi="Times New Roman" w:eastAsia="仿宋_GB2312" w:cs="Times New Roman"/>
          <w:bCs/>
          <w:iCs/>
          <w:color w:val="auto"/>
          <w:sz w:val="24"/>
        </w:rPr>
        <w:t>人工工资预算单价与主体工程一致，</w:t>
      </w:r>
      <w:r>
        <w:rPr>
          <w:rFonts w:hint="default" w:ascii="Times New Roman" w:hAnsi="Times New Roman" w:eastAsia="仿宋_GB2312" w:cs="Times New Roman"/>
          <w:bCs/>
          <w:iCs/>
          <w:color w:val="auto"/>
          <w:sz w:val="24"/>
          <w:lang w:val="en-US" w:eastAsia="zh-CN"/>
        </w:rPr>
        <w:t>主体工程单价</w:t>
      </w:r>
      <w:r>
        <w:rPr>
          <w:rFonts w:hint="default" w:ascii="Times New Roman" w:hAnsi="Times New Roman" w:eastAsia="仿宋_GB2312" w:cs="Times New Roman"/>
          <w:color w:val="auto"/>
          <w:sz w:val="24"/>
        </w:rPr>
        <w:t>为160元/工日，人工工时单价为20.00元/工时</w:t>
      </w:r>
      <w:r>
        <w:rPr>
          <w:rFonts w:eastAsia="仿宋_GB2312"/>
          <w:color w:val="auto"/>
          <w:szCs w:val="24"/>
        </w:rPr>
        <w:t>。</w:t>
      </w:r>
    </w:p>
    <w:p>
      <w:pPr>
        <w:pStyle w:val="67"/>
        <w:rPr>
          <w:rFonts w:eastAsia="仿宋_GB2312"/>
          <w:color w:val="auto"/>
          <w:szCs w:val="24"/>
        </w:rPr>
      </w:pPr>
      <w:r>
        <w:rPr>
          <w:rFonts w:eastAsia="仿宋_GB2312"/>
          <w:color w:val="auto"/>
          <w:szCs w:val="24"/>
        </w:rPr>
        <w:t>（2）主要材料价格估算单价</w:t>
      </w:r>
    </w:p>
    <w:p>
      <w:pPr>
        <w:pStyle w:val="67"/>
        <w:rPr>
          <w:rFonts w:eastAsia="仿宋_GB2312"/>
          <w:color w:val="auto"/>
          <w:szCs w:val="24"/>
        </w:rPr>
      </w:pPr>
      <w:r>
        <w:rPr>
          <w:rFonts w:hint="default" w:ascii="Times New Roman" w:hAnsi="Times New Roman" w:eastAsia="仿宋_GB2312" w:cs="Times New Roman"/>
          <w:color w:val="auto"/>
          <w:sz w:val="24"/>
        </w:rPr>
        <w:t>主要材料全部采用202</w:t>
      </w:r>
      <w:r>
        <w:rPr>
          <w:rFonts w:hint="eastAsia" w:eastAsia="仿宋_GB2312" w:cs="Times New Roman"/>
          <w:color w:val="auto"/>
          <w:sz w:val="24"/>
          <w:lang w:val="en-US" w:eastAsia="zh-CN"/>
        </w:rPr>
        <w:t>2</w:t>
      </w:r>
      <w:r>
        <w:rPr>
          <w:rFonts w:hint="default" w:ascii="Times New Roman" w:hAnsi="Times New Roman" w:eastAsia="仿宋_GB2312" w:cs="Times New Roman"/>
          <w:color w:val="auto"/>
          <w:sz w:val="24"/>
        </w:rPr>
        <w:t>年</w:t>
      </w:r>
      <w:r>
        <w:rPr>
          <w:rFonts w:hint="eastAsia"/>
          <w:color w:val="auto"/>
          <w:lang w:val="en-US" w:eastAsia="zh-CN"/>
        </w:rPr>
        <w:t>第三季度</w:t>
      </w:r>
      <w:r>
        <w:rPr>
          <w:rFonts w:hint="default" w:ascii="Times New Roman" w:hAnsi="Times New Roman" w:eastAsia="仿宋_GB2312" w:cs="Times New Roman"/>
          <w:color w:val="auto"/>
          <w:sz w:val="24"/>
        </w:rPr>
        <w:t>价格水平</w:t>
      </w:r>
      <w:r>
        <w:rPr>
          <w:rFonts w:eastAsia="仿宋_GB2312"/>
          <w:color w:val="auto"/>
          <w:szCs w:val="24"/>
        </w:rPr>
        <w:t>。</w:t>
      </w:r>
    </w:p>
    <w:p>
      <w:pPr>
        <w:pStyle w:val="67"/>
        <w:rPr>
          <w:rFonts w:eastAsia="仿宋_GB2312"/>
          <w:color w:val="auto"/>
          <w:szCs w:val="24"/>
        </w:rPr>
      </w:pPr>
      <w:r>
        <w:rPr>
          <w:rFonts w:eastAsia="仿宋_GB2312"/>
          <w:color w:val="auto"/>
          <w:szCs w:val="24"/>
        </w:rPr>
        <w:t>（3）机械使用费</w:t>
      </w:r>
    </w:p>
    <w:p>
      <w:pPr>
        <w:pStyle w:val="67"/>
        <w:rPr>
          <w:rFonts w:eastAsia="仿宋_GB2312"/>
          <w:color w:val="auto"/>
          <w:szCs w:val="24"/>
        </w:rPr>
      </w:pPr>
      <w:r>
        <w:rPr>
          <w:rFonts w:eastAsia="仿宋_GB2312"/>
          <w:color w:val="auto"/>
          <w:szCs w:val="24"/>
        </w:rPr>
        <w:t>根据《开发建设项目水土保持工程概（估）算编制规定》中施工机械台时费定额进行编制，并依据</w:t>
      </w:r>
      <w:r>
        <w:rPr>
          <w:rFonts w:eastAsia="仿宋_GB2312"/>
          <w:color w:val="auto"/>
        </w:rPr>
        <w:t>《</w:t>
      </w:r>
      <w:r>
        <w:rPr>
          <w:rFonts w:eastAsia="仿宋_GB2312"/>
          <w:color w:val="auto"/>
          <w:szCs w:val="24"/>
        </w:rPr>
        <w:t>水利工程营业税改增值税计价依据调整办法</w:t>
      </w:r>
      <w:r>
        <w:rPr>
          <w:rFonts w:eastAsia="仿宋_GB2312"/>
          <w:color w:val="auto"/>
        </w:rPr>
        <w:t>》进行调整</w:t>
      </w:r>
      <w:r>
        <w:rPr>
          <w:rFonts w:eastAsia="仿宋_GB2312"/>
          <w:color w:val="auto"/>
          <w:szCs w:val="24"/>
        </w:rPr>
        <w:t>。</w:t>
      </w:r>
    </w:p>
    <w:p>
      <w:pPr>
        <w:pStyle w:val="67"/>
        <w:rPr>
          <w:rFonts w:eastAsia="仿宋_GB2312"/>
          <w:color w:val="auto"/>
          <w:szCs w:val="24"/>
        </w:rPr>
      </w:pPr>
      <w:r>
        <w:rPr>
          <w:rFonts w:eastAsia="仿宋_GB2312"/>
          <w:color w:val="auto"/>
          <w:szCs w:val="24"/>
        </w:rPr>
        <w:t>（4）水电费</w:t>
      </w:r>
    </w:p>
    <w:p>
      <w:pPr>
        <w:spacing w:line="360" w:lineRule="auto"/>
        <w:ind w:firstLine="480" w:firstLineChars="200"/>
        <w:rPr>
          <w:rFonts w:eastAsia="仿宋_GB2312"/>
          <w:color w:val="auto"/>
          <w:szCs w:val="24"/>
        </w:rPr>
      </w:pPr>
      <w:r>
        <w:rPr>
          <w:rFonts w:hint="default" w:ascii="Times New Roman" w:hAnsi="Times New Roman" w:eastAsia="仿宋_GB2312" w:cs="Times New Roman"/>
          <w:color w:val="auto"/>
          <w:sz w:val="24"/>
        </w:rPr>
        <w:t>工程用水、用电采用主体工程价格，用水按</w:t>
      </w:r>
      <w:r>
        <w:rPr>
          <w:rFonts w:hint="default" w:ascii="Times New Roman" w:hAnsi="Times New Roman" w:eastAsia="仿宋_GB2312" w:cs="Times New Roman"/>
          <w:color w:val="auto"/>
          <w:sz w:val="24"/>
          <w:lang w:val="en-US" w:eastAsia="zh-CN"/>
        </w:rPr>
        <w:t>3.</w:t>
      </w:r>
      <w:r>
        <w:rPr>
          <w:rFonts w:hint="eastAsia" w:eastAsia="仿宋_GB2312" w:cs="Times New Roman"/>
          <w:color w:val="auto"/>
          <w:sz w:val="24"/>
          <w:lang w:val="en-US" w:eastAsia="zh-CN"/>
        </w:rPr>
        <w:t>5</w:t>
      </w:r>
      <w:r>
        <w:rPr>
          <w:rFonts w:hint="default" w:ascii="Times New Roman" w:hAnsi="Times New Roman" w:eastAsia="仿宋_GB2312" w:cs="Times New Roman"/>
          <w:color w:val="auto"/>
          <w:sz w:val="24"/>
          <w:lang w:val="en-US" w:eastAsia="zh-CN"/>
        </w:rPr>
        <w:t>0</w:t>
      </w:r>
      <w:r>
        <w:rPr>
          <w:rFonts w:hint="default" w:ascii="Times New Roman" w:hAnsi="Times New Roman" w:eastAsia="仿宋_GB2312" w:cs="Times New Roman"/>
          <w:color w:val="auto"/>
          <w:sz w:val="24"/>
        </w:rPr>
        <w:t>元/t计，用电按</w:t>
      </w:r>
      <w:r>
        <w:rPr>
          <w:rFonts w:hint="eastAsia" w:eastAsia="仿宋_GB2312" w:cs="Times New Roman"/>
          <w:color w:val="auto"/>
          <w:sz w:val="24"/>
          <w:lang w:val="en-US" w:eastAsia="zh-CN"/>
        </w:rPr>
        <w:t>1.00</w:t>
      </w:r>
      <w:r>
        <w:rPr>
          <w:rFonts w:hint="default" w:ascii="Times New Roman" w:hAnsi="Times New Roman" w:eastAsia="仿宋_GB2312" w:cs="Times New Roman"/>
          <w:color w:val="auto"/>
          <w:sz w:val="24"/>
        </w:rPr>
        <w:t>元/</w:t>
      </w:r>
      <w:r>
        <w:rPr>
          <w:rFonts w:hint="eastAsia" w:eastAsia="仿宋_GB2312" w:cs="Times New Roman"/>
          <w:color w:val="auto"/>
          <w:sz w:val="24"/>
          <w:lang w:eastAsia="zh-CN"/>
        </w:rPr>
        <w:t>kW</w:t>
      </w:r>
      <w:r>
        <w:rPr>
          <w:rFonts w:hint="default" w:ascii="Times New Roman" w:hAnsi="Times New Roman" w:eastAsia="仿宋_GB2312" w:cs="Times New Roman"/>
          <w:color w:val="auto"/>
          <w:sz w:val="24"/>
        </w:rPr>
        <w:t>.h</w:t>
      </w:r>
      <w:r>
        <w:rPr>
          <w:rFonts w:eastAsia="仿宋_GB2312"/>
          <w:color w:val="auto"/>
        </w:rPr>
        <w:t>。</w:t>
      </w:r>
    </w:p>
    <w:p>
      <w:pPr>
        <w:spacing w:line="360" w:lineRule="auto"/>
        <w:ind w:firstLine="480" w:firstLineChars="200"/>
        <w:jc w:val="both"/>
        <w:rPr>
          <w:rFonts w:eastAsia="仿宋_GB2312"/>
          <w:color w:val="auto"/>
          <w:szCs w:val="24"/>
        </w:rPr>
      </w:pPr>
      <w:r>
        <w:rPr>
          <w:rFonts w:eastAsia="仿宋_GB2312"/>
          <w:color w:val="auto"/>
          <w:szCs w:val="24"/>
        </w:rPr>
        <w:t>二、取费标准</w:t>
      </w:r>
    </w:p>
    <w:p>
      <w:pPr>
        <w:spacing w:line="360" w:lineRule="auto"/>
        <w:ind w:firstLine="560"/>
        <w:rPr>
          <w:rFonts w:eastAsia="仿宋_GB2312"/>
          <w:color w:val="auto"/>
          <w:szCs w:val="24"/>
        </w:rPr>
      </w:pPr>
      <w:r>
        <w:rPr>
          <w:rFonts w:eastAsia="仿宋_GB2312"/>
          <w:color w:val="auto"/>
          <w:szCs w:val="24"/>
        </w:rPr>
        <w:t>工程措施定额与主体工程一致，不足部分采用水土保持定额，植物措施采用《开发建设项目水土保持工程概（估）算编制规定》计取。</w:t>
      </w:r>
    </w:p>
    <w:p>
      <w:pPr>
        <w:spacing w:line="360" w:lineRule="auto"/>
        <w:ind w:firstLine="480" w:firstLineChars="200"/>
        <w:rPr>
          <w:rFonts w:eastAsia="仿宋_GB2312"/>
          <w:color w:val="auto"/>
        </w:rPr>
      </w:pPr>
      <w:r>
        <w:rPr>
          <w:rFonts w:eastAsia="仿宋_GB2312"/>
          <w:color w:val="auto"/>
        </w:rPr>
        <w:t>（1）其他直接费：以直接费为计费基础，工程措施取4％，植物措施取2.5％。</w:t>
      </w:r>
    </w:p>
    <w:p>
      <w:pPr>
        <w:spacing w:line="360" w:lineRule="auto"/>
        <w:ind w:firstLine="480" w:firstLineChars="200"/>
        <w:rPr>
          <w:rFonts w:eastAsia="仿宋_GB2312"/>
          <w:color w:val="auto"/>
        </w:rPr>
      </w:pPr>
      <w:r>
        <w:rPr>
          <w:rFonts w:eastAsia="仿宋_GB2312"/>
          <w:color w:val="auto"/>
        </w:rPr>
        <w:t>（2）现场经费：以直接费为计费基础，工程措施取5％，植物措施取4％。</w:t>
      </w:r>
    </w:p>
    <w:p>
      <w:pPr>
        <w:spacing w:line="360" w:lineRule="auto"/>
        <w:ind w:firstLine="480" w:firstLineChars="200"/>
        <w:rPr>
          <w:rFonts w:eastAsia="仿宋_GB2312"/>
          <w:color w:val="auto"/>
        </w:rPr>
      </w:pPr>
      <w:r>
        <w:rPr>
          <w:rFonts w:eastAsia="仿宋_GB2312"/>
          <w:color w:val="auto"/>
        </w:rPr>
        <w:t>（3）间接费：以直接工程费为计费基础，工程措施费率取5.5％，植物措施费率取3.3％。</w:t>
      </w:r>
    </w:p>
    <w:p>
      <w:pPr>
        <w:spacing w:line="360" w:lineRule="auto"/>
        <w:ind w:firstLine="480" w:firstLineChars="200"/>
        <w:rPr>
          <w:rFonts w:eastAsia="仿宋_GB2312"/>
          <w:color w:val="auto"/>
        </w:rPr>
      </w:pPr>
      <w:r>
        <w:rPr>
          <w:rFonts w:eastAsia="仿宋_GB2312"/>
          <w:color w:val="auto"/>
        </w:rPr>
        <w:t>（4）企业利润：以直接工程费和间接费之和为计费基础，工程措施取7％，植物措施取5％。</w:t>
      </w:r>
    </w:p>
    <w:p>
      <w:pPr>
        <w:spacing w:line="360" w:lineRule="auto"/>
        <w:ind w:firstLine="480" w:firstLineChars="200"/>
        <w:rPr>
          <w:rFonts w:eastAsia="仿宋_GB2312"/>
          <w:color w:val="auto"/>
        </w:rPr>
      </w:pPr>
      <w:r>
        <w:rPr>
          <w:rFonts w:eastAsia="仿宋_GB2312"/>
          <w:color w:val="auto"/>
        </w:rPr>
        <w:t>（5）税金：以直接工程费、间接费、企业利润之和为计费基础，按照《水利部办公厅关于调整水利工程计价依据增值税计算标准的通知》办财务函〔2019〕448号)要求，取9％；</w:t>
      </w:r>
    </w:p>
    <w:p>
      <w:pPr>
        <w:spacing w:line="360" w:lineRule="auto"/>
        <w:ind w:firstLine="480" w:firstLineChars="200"/>
        <w:rPr>
          <w:rFonts w:eastAsia="仿宋_GB2312"/>
          <w:color w:val="auto"/>
          <w:szCs w:val="24"/>
        </w:rPr>
      </w:pPr>
      <w:r>
        <w:rPr>
          <w:rFonts w:eastAsia="仿宋_GB2312"/>
          <w:color w:val="auto"/>
        </w:rPr>
        <w:t>（6）扩大：可行性研究阶段，单价扩大10%。</w:t>
      </w:r>
    </w:p>
    <w:p>
      <w:pPr>
        <w:spacing w:line="360" w:lineRule="auto"/>
        <w:ind w:firstLine="480" w:firstLineChars="200"/>
        <w:jc w:val="both"/>
        <w:rPr>
          <w:rFonts w:eastAsia="仿宋_GB2312"/>
          <w:color w:val="auto"/>
          <w:szCs w:val="24"/>
        </w:rPr>
      </w:pPr>
      <w:r>
        <w:rPr>
          <w:rFonts w:eastAsia="仿宋_GB2312"/>
          <w:color w:val="auto"/>
          <w:szCs w:val="24"/>
        </w:rPr>
        <w:t>三、独立费用</w:t>
      </w:r>
    </w:p>
    <w:p>
      <w:pPr>
        <w:spacing w:line="360" w:lineRule="auto"/>
        <w:ind w:firstLine="480" w:firstLineChars="200"/>
        <w:rPr>
          <w:rFonts w:eastAsia="仿宋_GB2312"/>
          <w:color w:val="auto"/>
        </w:rPr>
      </w:pPr>
      <w:r>
        <w:rPr>
          <w:rFonts w:eastAsia="仿宋_GB2312"/>
          <w:color w:val="auto"/>
        </w:rPr>
        <w:t>独立费用部分投资包括建设管理费、工程建设监理费、水土保持监测费、科研勘测设计费和水土保持设施验收费。</w:t>
      </w:r>
    </w:p>
    <w:p>
      <w:pPr>
        <w:spacing w:line="360" w:lineRule="auto"/>
        <w:ind w:firstLine="480" w:firstLineChars="200"/>
        <w:rPr>
          <w:rFonts w:eastAsia="仿宋_GB2312"/>
          <w:color w:val="auto"/>
          <w:szCs w:val="24"/>
        </w:rPr>
      </w:pPr>
      <w:r>
        <w:rPr>
          <w:rFonts w:eastAsia="仿宋_GB2312"/>
          <w:color w:val="auto"/>
          <w:szCs w:val="24"/>
        </w:rPr>
        <w:t>（1）建设管理费：</w:t>
      </w:r>
      <w:r>
        <w:rPr>
          <w:rFonts w:hint="default" w:ascii="Times New Roman" w:hAnsi="Times New Roman" w:eastAsia="仿宋_GB2312" w:cs="Times New Roman"/>
          <w:color w:val="auto"/>
          <w:sz w:val="24"/>
        </w:rPr>
        <w:t>按水土保持投资中第一至第三部分（工程措施、植物措施、</w:t>
      </w:r>
      <w:r>
        <w:rPr>
          <w:rFonts w:hint="default" w:ascii="Times New Roman" w:hAnsi="Times New Roman" w:eastAsia="仿宋_GB2312" w:cs="Times New Roman"/>
          <w:bCs/>
          <w:color w:val="auto"/>
          <w:sz w:val="24"/>
        </w:rPr>
        <w:t>临时措施）新增投资和的2%计算</w:t>
      </w:r>
      <w:r>
        <w:rPr>
          <w:rFonts w:eastAsia="仿宋_GB2312"/>
          <w:color w:val="auto"/>
          <w:szCs w:val="24"/>
        </w:rPr>
        <w:t>。</w:t>
      </w:r>
    </w:p>
    <w:p>
      <w:pPr>
        <w:spacing w:line="360" w:lineRule="auto"/>
        <w:ind w:firstLine="480" w:firstLineChars="200"/>
        <w:rPr>
          <w:rFonts w:eastAsia="仿宋_GB2312"/>
          <w:color w:val="auto"/>
          <w:szCs w:val="24"/>
        </w:rPr>
      </w:pPr>
      <w:r>
        <w:rPr>
          <w:rFonts w:eastAsia="仿宋_GB2312"/>
          <w:color w:val="auto"/>
          <w:szCs w:val="24"/>
        </w:rPr>
        <w:t>（2）工程建设监理费：按</w:t>
      </w:r>
      <w:r>
        <w:rPr>
          <w:rFonts w:eastAsia="仿宋_GB2312"/>
          <w:color w:val="auto"/>
        </w:rPr>
        <w:t>《</w:t>
      </w:r>
      <w:r>
        <w:rPr>
          <w:rFonts w:eastAsia="仿宋_GB2312"/>
          <w:color w:val="auto"/>
          <w:szCs w:val="24"/>
        </w:rPr>
        <w:t>关于进一步放开建设项目专业服务价格的通知</w:t>
      </w:r>
      <w:r>
        <w:rPr>
          <w:rFonts w:eastAsia="仿宋_GB2312"/>
          <w:color w:val="auto"/>
        </w:rPr>
        <w:t>》（发改价格</w:t>
      </w:r>
      <w:r>
        <w:rPr>
          <w:rFonts w:eastAsia="仿宋_GB2312"/>
          <w:snapToGrid w:val="0"/>
          <w:color w:val="auto"/>
          <w:szCs w:val="24"/>
        </w:rPr>
        <w:t>〔2015〕</w:t>
      </w:r>
      <w:r>
        <w:rPr>
          <w:rFonts w:eastAsia="仿宋_GB2312"/>
          <w:color w:val="auto"/>
        </w:rPr>
        <w:t>299号）取费，</w:t>
      </w:r>
      <w:r>
        <w:rPr>
          <w:rFonts w:hint="default" w:ascii="Times New Roman" w:hAnsi="Times New Roman" w:eastAsia="仿宋_GB2312" w:cs="Times New Roman"/>
          <w:bCs/>
          <w:color w:val="auto"/>
          <w:sz w:val="24"/>
        </w:rPr>
        <w:t>参考市场价格计列</w:t>
      </w:r>
      <w:r>
        <w:rPr>
          <w:rFonts w:eastAsia="仿宋_GB2312"/>
          <w:color w:val="auto"/>
          <w:szCs w:val="24"/>
        </w:rPr>
        <w:t>。</w:t>
      </w:r>
    </w:p>
    <w:p>
      <w:pPr>
        <w:spacing w:line="360" w:lineRule="auto"/>
        <w:ind w:firstLine="480" w:firstLineChars="200"/>
        <w:rPr>
          <w:rFonts w:eastAsia="仿宋_GB2312"/>
          <w:color w:val="auto"/>
          <w:szCs w:val="24"/>
        </w:rPr>
      </w:pPr>
      <w:r>
        <w:rPr>
          <w:rFonts w:eastAsia="仿宋_GB2312"/>
          <w:color w:val="auto"/>
          <w:szCs w:val="24"/>
        </w:rPr>
        <w:t>（3）科研勘测设计费：</w:t>
      </w:r>
      <w:r>
        <w:rPr>
          <w:rFonts w:hint="default" w:ascii="Times New Roman" w:hAnsi="Times New Roman" w:eastAsia="仿宋_GB2312" w:cs="Times New Roman"/>
          <w:bCs/>
          <w:color w:val="auto"/>
          <w:sz w:val="24"/>
        </w:rPr>
        <w:t>方案编制费按签订的技术咨询合同计列，后续设计费按《关于进一步放开建设项目专业服务价格的通知》（发改价格〔2015〕299号）</w:t>
      </w:r>
      <w:r>
        <w:rPr>
          <w:rFonts w:eastAsia="仿宋_GB2312"/>
          <w:color w:val="auto"/>
          <w:szCs w:val="24"/>
        </w:rPr>
        <w:t xml:space="preserve">。     </w:t>
      </w:r>
    </w:p>
    <w:p>
      <w:pPr>
        <w:spacing w:line="360" w:lineRule="auto"/>
        <w:ind w:firstLine="480" w:firstLineChars="200"/>
        <w:rPr>
          <w:rFonts w:eastAsia="仿宋_GB2312"/>
          <w:color w:val="auto"/>
          <w:szCs w:val="24"/>
        </w:rPr>
      </w:pPr>
      <w:r>
        <w:rPr>
          <w:rFonts w:eastAsia="仿宋_GB2312"/>
          <w:color w:val="auto"/>
          <w:szCs w:val="24"/>
        </w:rPr>
        <w:t>（4）水土保持监测费：按</w:t>
      </w:r>
      <w:r>
        <w:rPr>
          <w:rFonts w:eastAsia="仿宋_GB2312"/>
          <w:color w:val="auto"/>
        </w:rPr>
        <w:t>《</w:t>
      </w:r>
      <w:r>
        <w:rPr>
          <w:rFonts w:eastAsia="仿宋_GB2312"/>
          <w:color w:val="auto"/>
          <w:szCs w:val="24"/>
        </w:rPr>
        <w:t>关于进一步放开建设项目专业服务价格的通知</w:t>
      </w:r>
      <w:r>
        <w:rPr>
          <w:rFonts w:eastAsia="仿宋_GB2312"/>
          <w:color w:val="auto"/>
        </w:rPr>
        <w:t>》（发改价格</w:t>
      </w:r>
      <w:r>
        <w:rPr>
          <w:rFonts w:eastAsia="仿宋_GB2312"/>
          <w:snapToGrid w:val="0"/>
          <w:color w:val="auto"/>
          <w:szCs w:val="24"/>
        </w:rPr>
        <w:t>〔2015〕</w:t>
      </w:r>
      <w:r>
        <w:rPr>
          <w:rFonts w:eastAsia="仿宋_GB2312"/>
          <w:color w:val="auto"/>
        </w:rPr>
        <w:t>299号）取费，</w:t>
      </w:r>
      <w:r>
        <w:rPr>
          <w:rFonts w:eastAsia="仿宋_GB2312"/>
          <w:color w:val="auto"/>
          <w:szCs w:val="24"/>
        </w:rPr>
        <w:t>参考同类项目合同价格。</w:t>
      </w:r>
    </w:p>
    <w:p>
      <w:pPr>
        <w:spacing w:line="360" w:lineRule="auto"/>
        <w:ind w:firstLine="556" w:firstLineChars="232"/>
        <w:rPr>
          <w:rFonts w:eastAsia="仿宋_GB2312"/>
          <w:color w:val="auto"/>
          <w:szCs w:val="24"/>
        </w:rPr>
      </w:pPr>
      <w:r>
        <w:rPr>
          <w:rFonts w:eastAsia="仿宋_GB2312"/>
          <w:color w:val="auto"/>
          <w:szCs w:val="24"/>
        </w:rPr>
        <w:t>（5）水土保持设施验收费：按</w:t>
      </w:r>
      <w:r>
        <w:rPr>
          <w:rFonts w:eastAsia="仿宋_GB2312"/>
          <w:color w:val="auto"/>
        </w:rPr>
        <w:t>《</w:t>
      </w:r>
      <w:r>
        <w:rPr>
          <w:rFonts w:eastAsia="仿宋_GB2312"/>
          <w:color w:val="auto"/>
          <w:szCs w:val="24"/>
        </w:rPr>
        <w:t>关于进一步放开建设项目专业服务价格的通知</w:t>
      </w:r>
      <w:r>
        <w:rPr>
          <w:rFonts w:eastAsia="仿宋_GB2312"/>
          <w:color w:val="auto"/>
        </w:rPr>
        <w:t>》（发改价格</w:t>
      </w:r>
      <w:r>
        <w:rPr>
          <w:rFonts w:eastAsia="仿宋_GB2312"/>
          <w:snapToGrid w:val="0"/>
          <w:color w:val="auto"/>
          <w:szCs w:val="24"/>
        </w:rPr>
        <w:t>〔2015〕</w:t>
      </w:r>
      <w:r>
        <w:rPr>
          <w:rFonts w:eastAsia="仿宋_GB2312"/>
          <w:color w:val="auto"/>
        </w:rPr>
        <w:t>299号）取费，</w:t>
      </w:r>
      <w:r>
        <w:rPr>
          <w:rFonts w:hint="default" w:ascii="Times New Roman" w:hAnsi="Times New Roman" w:eastAsia="仿宋_GB2312" w:cs="Times New Roman"/>
          <w:bCs/>
          <w:color w:val="auto"/>
          <w:sz w:val="24"/>
        </w:rPr>
        <w:t>参考市场价格计列</w:t>
      </w:r>
      <w:r>
        <w:rPr>
          <w:rFonts w:eastAsia="仿宋_GB2312"/>
          <w:color w:val="auto"/>
          <w:szCs w:val="24"/>
        </w:rPr>
        <w:t>。</w:t>
      </w:r>
    </w:p>
    <w:p>
      <w:pPr>
        <w:spacing w:line="360" w:lineRule="auto"/>
        <w:ind w:firstLine="480" w:firstLineChars="200"/>
        <w:jc w:val="both"/>
        <w:rPr>
          <w:rFonts w:eastAsia="仿宋_GB2312"/>
          <w:color w:val="auto"/>
          <w:szCs w:val="24"/>
        </w:rPr>
      </w:pPr>
      <w:r>
        <w:rPr>
          <w:rFonts w:eastAsia="仿宋_GB2312"/>
          <w:color w:val="auto"/>
          <w:szCs w:val="24"/>
        </w:rPr>
        <w:t>四、基本预备费</w:t>
      </w:r>
    </w:p>
    <w:p>
      <w:pPr>
        <w:spacing w:line="360" w:lineRule="auto"/>
        <w:ind w:firstLine="556" w:firstLineChars="232"/>
        <w:rPr>
          <w:rFonts w:eastAsia="仿宋_GB2312"/>
          <w:color w:val="auto"/>
          <w:szCs w:val="24"/>
        </w:rPr>
      </w:pPr>
      <w:r>
        <w:rPr>
          <w:rFonts w:hint="default" w:ascii="Times New Roman" w:hAnsi="Times New Roman" w:eastAsia="仿宋_GB2312" w:cs="Times New Roman"/>
          <w:bCs/>
          <w:color w:val="auto"/>
          <w:sz w:val="24"/>
        </w:rPr>
        <w:t>基本预备费按一到四部分新增投资和的6.00％计取</w:t>
      </w:r>
      <w:r>
        <w:rPr>
          <w:rFonts w:eastAsia="仿宋_GB2312"/>
          <w:color w:val="auto"/>
          <w:szCs w:val="24"/>
        </w:rPr>
        <w:t>。</w:t>
      </w:r>
    </w:p>
    <w:p>
      <w:pPr>
        <w:spacing w:line="360" w:lineRule="auto"/>
        <w:ind w:firstLine="480" w:firstLineChars="200"/>
        <w:jc w:val="both"/>
        <w:rPr>
          <w:rFonts w:eastAsia="仿宋_GB2312"/>
          <w:color w:val="auto"/>
          <w:szCs w:val="24"/>
        </w:rPr>
      </w:pPr>
      <w:r>
        <w:rPr>
          <w:rFonts w:eastAsia="仿宋_GB2312"/>
          <w:color w:val="auto"/>
          <w:szCs w:val="24"/>
        </w:rPr>
        <w:t>五、水土保持补偿费</w:t>
      </w:r>
    </w:p>
    <w:p>
      <w:pPr>
        <w:spacing w:line="360" w:lineRule="auto"/>
        <w:ind w:firstLine="480" w:firstLineChars="200"/>
        <w:rPr>
          <w:rFonts w:eastAsia="仿宋_GB2312"/>
          <w:color w:val="auto"/>
          <w:szCs w:val="24"/>
        </w:rPr>
      </w:pPr>
      <w:r>
        <w:rPr>
          <w:rFonts w:hint="default" w:ascii="Times New Roman" w:hAnsi="Times New Roman" w:eastAsia="仿宋_GB2312" w:cs="Times New Roman"/>
          <w:color w:val="auto"/>
          <w:sz w:val="24"/>
          <w:highlight w:val="none"/>
        </w:rPr>
        <w:t>依据《吉林省财政厅 吉林省发展改革委员会 吉林省财政厅 国家税务总局吉林省税务局 中国人民银行长春中心支行关于印发&lt;吉林省水土保持补偿费征收使用管理办法&gt;的通知》（吉财税〔2022〕952号）、《吉林省发改委 吉林省财政厅 吉林省水利厅关于核定吉林省水土保持补偿费收费标准及有关问题的通知》（吉发改收费联〔2022〕670号）</w:t>
      </w:r>
      <w:r>
        <w:rPr>
          <w:rFonts w:hint="eastAsia"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rPr>
        <w:t>《吉林省水利厅关于进一步做好全省水土保持补偿费</w:t>
      </w:r>
      <w:r>
        <w:rPr>
          <w:rFonts w:hint="eastAsia" w:ascii="Times New Roman" w:hAnsi="Times New Roman" w:eastAsia="仿宋_GB2312" w:cs="Times New Roman"/>
          <w:color w:val="auto"/>
          <w:sz w:val="24"/>
          <w:highlight w:val="none"/>
          <w:lang w:val="en-US" w:eastAsia="zh-CN"/>
        </w:rPr>
        <w:t>征收使用</w:t>
      </w:r>
      <w:r>
        <w:rPr>
          <w:rFonts w:hint="default" w:ascii="Times New Roman" w:hAnsi="Times New Roman" w:eastAsia="仿宋_GB2312" w:cs="Times New Roman"/>
          <w:color w:val="auto"/>
          <w:sz w:val="24"/>
          <w:highlight w:val="none"/>
        </w:rPr>
        <w:t>有关工作的通知》（吉水保函〔202</w:t>
      </w:r>
      <w:r>
        <w:rPr>
          <w:rFonts w:hint="eastAsia" w:ascii="Times New Roman" w:hAnsi="Times New Roman" w:eastAsia="仿宋_GB2312" w:cs="Times New Roman"/>
          <w:color w:val="auto"/>
          <w:sz w:val="24"/>
          <w:highlight w:val="none"/>
          <w:lang w:val="en-US" w:eastAsia="zh-CN"/>
        </w:rPr>
        <w:t>3</w:t>
      </w:r>
      <w:r>
        <w:rPr>
          <w:rFonts w:hint="default" w:ascii="Times New Roman" w:hAnsi="Times New Roman" w:eastAsia="仿宋_GB2312" w:cs="Times New Roman"/>
          <w:color w:val="auto"/>
          <w:sz w:val="24"/>
          <w:highlight w:val="none"/>
        </w:rPr>
        <w:t>〕1号）等收取水土保持补偿费，对一般性生产建设项目，按照征占用土地面积一次性计征，每平方米0.45元（不足1平方米的按1平方米计）。</w:t>
      </w:r>
      <w:r>
        <w:rPr>
          <w:rFonts w:eastAsia="仿宋_GB2312"/>
          <w:color w:val="auto"/>
          <w:sz w:val="24"/>
          <w:highlight w:val="none"/>
        </w:rPr>
        <w:t>本项目按照征占用土地面积计征水土保持补偿费，同时缴纳义务人应当在项目开工前一次性缴纳水土保持补偿费</w:t>
      </w:r>
      <w:r>
        <w:rPr>
          <w:rFonts w:eastAsia="仿宋_GB2312"/>
          <w:color w:val="auto"/>
          <w:szCs w:val="24"/>
        </w:rPr>
        <w:t>。</w:t>
      </w:r>
    </w:p>
    <w:p>
      <w:pPr>
        <w:spacing w:line="360" w:lineRule="auto"/>
        <w:rPr>
          <w:rFonts w:eastAsia="仿宋_GB2312"/>
          <w:b/>
          <w:color w:val="auto"/>
        </w:rPr>
      </w:pPr>
      <w:r>
        <w:rPr>
          <w:rFonts w:eastAsia="仿宋_GB2312"/>
          <w:b/>
          <w:color w:val="auto"/>
        </w:rPr>
        <w:t>7.1.2.2估算成果</w:t>
      </w:r>
    </w:p>
    <w:p>
      <w:pPr>
        <w:spacing w:line="360" w:lineRule="auto"/>
        <w:ind w:firstLine="480" w:firstLineChars="200"/>
        <w:rPr>
          <w:rFonts w:eastAsia="仿宋_GB2312"/>
          <w:color w:val="auto"/>
          <w:highlight w:val="none"/>
        </w:rPr>
      </w:pPr>
      <w:r>
        <w:rPr>
          <w:rFonts w:eastAsia="仿宋_GB2312"/>
          <w:color w:val="auto"/>
          <w:szCs w:val="24"/>
          <w:highlight w:val="none"/>
        </w:rPr>
        <w:t>本项目水土保持总投资为</w:t>
      </w:r>
      <w:r>
        <w:rPr>
          <w:rFonts w:hint="eastAsia" w:eastAsia="仿宋_GB2312"/>
          <w:color w:val="auto"/>
          <w:szCs w:val="24"/>
          <w:highlight w:val="none"/>
          <w:lang w:val="en-US" w:eastAsia="zh-CN"/>
        </w:rPr>
        <w:t>14.39</w:t>
      </w:r>
      <w:r>
        <w:rPr>
          <w:rFonts w:eastAsia="仿宋_GB2312"/>
          <w:color w:val="auto"/>
          <w:szCs w:val="24"/>
          <w:highlight w:val="none"/>
        </w:rPr>
        <w:t>万元，</w:t>
      </w:r>
      <w:r>
        <w:rPr>
          <w:rFonts w:eastAsia="仿宋_GB2312"/>
          <w:bCs/>
          <w:color w:val="auto"/>
          <w:szCs w:val="24"/>
          <w:highlight w:val="none"/>
        </w:rPr>
        <w:t>其中工程措施投资</w:t>
      </w:r>
      <w:r>
        <w:rPr>
          <w:rFonts w:hint="eastAsia" w:eastAsia="仿宋_GB2312"/>
          <w:bCs/>
          <w:color w:val="auto"/>
          <w:szCs w:val="24"/>
          <w:highlight w:val="none"/>
          <w:lang w:val="en-US" w:eastAsia="zh-CN"/>
        </w:rPr>
        <w:t>0.00</w:t>
      </w:r>
      <w:r>
        <w:rPr>
          <w:rFonts w:eastAsia="仿宋_GB2312"/>
          <w:bCs/>
          <w:color w:val="auto"/>
          <w:szCs w:val="24"/>
          <w:highlight w:val="none"/>
        </w:rPr>
        <w:t>万元、植物措施投资</w:t>
      </w:r>
      <w:r>
        <w:rPr>
          <w:rFonts w:hint="eastAsia" w:eastAsia="仿宋_GB2312"/>
          <w:bCs/>
          <w:color w:val="auto"/>
          <w:szCs w:val="24"/>
          <w:highlight w:val="none"/>
          <w:lang w:val="en-US" w:eastAsia="zh-CN"/>
        </w:rPr>
        <w:t>0.00</w:t>
      </w:r>
      <w:r>
        <w:rPr>
          <w:rFonts w:eastAsia="仿宋_GB2312"/>
          <w:bCs/>
          <w:color w:val="auto"/>
          <w:szCs w:val="24"/>
          <w:highlight w:val="none"/>
        </w:rPr>
        <w:t>万元、临时措施投资</w:t>
      </w:r>
      <w:r>
        <w:rPr>
          <w:rFonts w:hint="eastAsia" w:eastAsia="仿宋_GB2312"/>
          <w:bCs/>
          <w:color w:val="auto"/>
          <w:szCs w:val="24"/>
          <w:highlight w:val="none"/>
          <w:lang w:val="en-US" w:eastAsia="zh-CN"/>
        </w:rPr>
        <w:t>0.29</w:t>
      </w:r>
      <w:r>
        <w:rPr>
          <w:rFonts w:eastAsia="仿宋_GB2312"/>
          <w:bCs/>
          <w:color w:val="auto"/>
          <w:szCs w:val="24"/>
          <w:highlight w:val="none"/>
        </w:rPr>
        <w:t>万元、独立费用</w:t>
      </w:r>
      <w:r>
        <w:rPr>
          <w:rFonts w:hint="eastAsia" w:eastAsia="仿宋_GB2312"/>
          <w:bCs/>
          <w:color w:val="auto"/>
          <w:szCs w:val="24"/>
          <w:highlight w:val="none"/>
          <w:lang w:val="en-US" w:eastAsia="zh-CN"/>
        </w:rPr>
        <w:t>13.00</w:t>
      </w:r>
      <w:r>
        <w:rPr>
          <w:rFonts w:eastAsia="仿宋_GB2312"/>
          <w:bCs/>
          <w:color w:val="auto"/>
          <w:szCs w:val="24"/>
          <w:highlight w:val="none"/>
        </w:rPr>
        <w:t>万元（其中水土保持监理费</w:t>
      </w:r>
      <w:r>
        <w:rPr>
          <w:rFonts w:hint="eastAsia" w:eastAsia="仿宋_GB2312"/>
          <w:bCs/>
          <w:color w:val="auto"/>
          <w:szCs w:val="24"/>
          <w:highlight w:val="none"/>
          <w:lang w:val="en-US" w:eastAsia="zh-CN"/>
        </w:rPr>
        <w:t>3.00</w:t>
      </w:r>
      <w:r>
        <w:rPr>
          <w:rFonts w:eastAsia="仿宋_GB2312"/>
          <w:bCs/>
          <w:color w:val="auto"/>
          <w:szCs w:val="24"/>
          <w:highlight w:val="none"/>
        </w:rPr>
        <w:t>万元、水土保持监测费</w:t>
      </w:r>
      <w:r>
        <w:rPr>
          <w:rFonts w:hint="eastAsia" w:eastAsia="仿宋_GB2312"/>
          <w:bCs/>
          <w:color w:val="auto"/>
          <w:szCs w:val="24"/>
          <w:highlight w:val="none"/>
          <w:lang w:val="en-US" w:eastAsia="zh-CN"/>
        </w:rPr>
        <w:t>5.00</w:t>
      </w:r>
      <w:r>
        <w:rPr>
          <w:rFonts w:eastAsia="仿宋_GB2312"/>
          <w:bCs/>
          <w:color w:val="auto"/>
          <w:szCs w:val="24"/>
          <w:highlight w:val="none"/>
        </w:rPr>
        <w:t>万元）、基本预备费</w:t>
      </w:r>
      <w:r>
        <w:rPr>
          <w:rFonts w:hint="eastAsia" w:eastAsia="仿宋_GB2312"/>
          <w:bCs/>
          <w:color w:val="auto"/>
          <w:szCs w:val="24"/>
          <w:highlight w:val="none"/>
          <w:lang w:val="en-US" w:eastAsia="zh-CN"/>
        </w:rPr>
        <w:t>0.80</w:t>
      </w:r>
      <w:r>
        <w:rPr>
          <w:rFonts w:eastAsia="仿宋_GB2312"/>
          <w:bCs/>
          <w:color w:val="auto"/>
          <w:szCs w:val="24"/>
          <w:highlight w:val="none"/>
        </w:rPr>
        <w:t>万元、水土保持补偿费</w:t>
      </w:r>
      <w:r>
        <w:rPr>
          <w:rFonts w:hint="eastAsia" w:eastAsia="仿宋_GB2312"/>
          <w:bCs/>
          <w:color w:val="auto"/>
          <w:szCs w:val="24"/>
          <w:highlight w:val="none"/>
          <w:lang w:val="en-US" w:eastAsia="zh-CN"/>
        </w:rPr>
        <w:t>0.30</w:t>
      </w:r>
      <w:r>
        <w:rPr>
          <w:rFonts w:eastAsia="仿宋_GB2312"/>
          <w:bCs/>
          <w:color w:val="auto"/>
          <w:szCs w:val="24"/>
          <w:highlight w:val="none"/>
        </w:rPr>
        <w:t>万元。水土保持投资具体见表7-1~7-</w:t>
      </w:r>
      <w:r>
        <w:rPr>
          <w:rFonts w:hint="eastAsia" w:eastAsia="仿宋_GB2312"/>
          <w:bCs/>
          <w:color w:val="auto"/>
          <w:szCs w:val="24"/>
          <w:highlight w:val="none"/>
          <w:lang w:val="en-US" w:eastAsia="zh-CN"/>
        </w:rPr>
        <w:t>7</w:t>
      </w:r>
      <w:r>
        <w:rPr>
          <w:rFonts w:eastAsia="仿宋_GB2312"/>
          <w:bCs/>
          <w:color w:val="auto"/>
          <w:szCs w:val="24"/>
          <w:highlight w:val="none"/>
        </w:rPr>
        <w:t>。</w:t>
      </w:r>
      <w:r>
        <w:rPr>
          <w:rFonts w:eastAsia="仿宋_GB2312"/>
          <w:bCs/>
          <w:color w:val="auto"/>
          <w:szCs w:val="24"/>
          <w:highlight w:val="none"/>
        </w:rPr>
        <w:t xml:space="preserve">          </w:t>
      </w:r>
    </w:p>
    <w:p>
      <w:pPr>
        <w:spacing w:line="240" w:lineRule="auto"/>
        <w:jc w:val="center"/>
        <w:rPr>
          <w:rFonts w:eastAsia="仿宋_GB2312"/>
          <w:b/>
          <w:bCs/>
          <w:color w:val="auto"/>
          <w:szCs w:val="24"/>
        </w:rPr>
      </w:pPr>
      <w:r>
        <w:rPr>
          <w:rFonts w:eastAsia="仿宋_GB2312"/>
          <w:b/>
          <w:bCs/>
          <w:color w:val="auto"/>
          <w:szCs w:val="24"/>
        </w:rPr>
        <w:t>表7-1    投资估算总表           单位：万元</w:t>
      </w:r>
    </w:p>
    <w:tbl>
      <w:tblPr>
        <w:tblStyle w:val="24"/>
        <w:tblW w:w="888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424"/>
        <w:gridCol w:w="1341"/>
        <w:gridCol w:w="1417"/>
        <w:gridCol w:w="1134"/>
        <w:gridCol w:w="136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widowControl/>
              <w:jc w:val="center"/>
              <w:rPr>
                <w:color w:val="auto"/>
                <w:sz w:val="21"/>
                <w:szCs w:val="21"/>
              </w:rPr>
            </w:pPr>
            <w:r>
              <w:rPr>
                <w:rFonts w:eastAsia="仿宋_GB2312"/>
                <w:color w:val="auto"/>
                <w:sz w:val="21"/>
                <w:szCs w:val="21"/>
              </w:rPr>
              <w:t>序号</w:t>
            </w:r>
          </w:p>
        </w:tc>
        <w:tc>
          <w:tcPr>
            <w:tcW w:w="2424" w:type="dxa"/>
            <w:tcBorders>
              <w:tl2br w:val="nil"/>
              <w:tr2bl w:val="nil"/>
            </w:tcBorders>
            <w:vAlign w:val="center"/>
          </w:tcPr>
          <w:p>
            <w:pPr>
              <w:widowControl/>
              <w:jc w:val="center"/>
              <w:rPr>
                <w:color w:val="auto"/>
                <w:sz w:val="21"/>
                <w:szCs w:val="21"/>
              </w:rPr>
            </w:pPr>
            <w:r>
              <w:rPr>
                <w:rFonts w:eastAsia="仿宋_GB2312"/>
                <w:color w:val="auto"/>
                <w:sz w:val="21"/>
                <w:szCs w:val="21"/>
              </w:rPr>
              <w:t>工程或费用名称</w:t>
            </w:r>
          </w:p>
        </w:tc>
        <w:tc>
          <w:tcPr>
            <w:tcW w:w="1341" w:type="dxa"/>
            <w:tcBorders>
              <w:tl2br w:val="nil"/>
              <w:tr2bl w:val="nil"/>
            </w:tcBorders>
            <w:vAlign w:val="center"/>
          </w:tcPr>
          <w:p>
            <w:pPr>
              <w:widowControl/>
              <w:jc w:val="center"/>
              <w:rPr>
                <w:color w:val="auto"/>
                <w:sz w:val="21"/>
                <w:szCs w:val="21"/>
              </w:rPr>
            </w:pPr>
            <w:r>
              <w:rPr>
                <w:rFonts w:eastAsia="仿宋_GB2312"/>
                <w:color w:val="auto"/>
                <w:sz w:val="21"/>
                <w:szCs w:val="21"/>
              </w:rPr>
              <w:t>建安工程费</w:t>
            </w:r>
          </w:p>
        </w:tc>
        <w:tc>
          <w:tcPr>
            <w:tcW w:w="1417" w:type="dxa"/>
            <w:tcBorders>
              <w:tl2br w:val="nil"/>
              <w:tr2bl w:val="nil"/>
            </w:tcBorders>
            <w:vAlign w:val="center"/>
          </w:tcPr>
          <w:p>
            <w:pPr>
              <w:widowControl/>
              <w:jc w:val="center"/>
              <w:rPr>
                <w:color w:val="auto"/>
                <w:sz w:val="21"/>
                <w:szCs w:val="21"/>
              </w:rPr>
            </w:pPr>
            <w:r>
              <w:rPr>
                <w:rFonts w:eastAsia="仿宋_GB2312"/>
                <w:color w:val="auto"/>
                <w:sz w:val="21"/>
                <w:szCs w:val="21"/>
              </w:rPr>
              <w:t>植物措施费</w:t>
            </w:r>
          </w:p>
        </w:tc>
        <w:tc>
          <w:tcPr>
            <w:tcW w:w="1134" w:type="dxa"/>
            <w:tcBorders>
              <w:tl2br w:val="nil"/>
              <w:tr2bl w:val="nil"/>
            </w:tcBorders>
            <w:vAlign w:val="center"/>
          </w:tcPr>
          <w:p>
            <w:pPr>
              <w:widowControl/>
              <w:jc w:val="center"/>
              <w:rPr>
                <w:color w:val="auto"/>
                <w:sz w:val="21"/>
                <w:szCs w:val="21"/>
              </w:rPr>
            </w:pPr>
            <w:r>
              <w:rPr>
                <w:rFonts w:eastAsia="仿宋_GB2312"/>
                <w:color w:val="auto"/>
                <w:sz w:val="21"/>
                <w:szCs w:val="21"/>
              </w:rPr>
              <w:t>独立费用</w:t>
            </w:r>
          </w:p>
        </w:tc>
        <w:tc>
          <w:tcPr>
            <w:tcW w:w="1360" w:type="dxa"/>
            <w:tcBorders>
              <w:tl2br w:val="nil"/>
              <w:tr2bl w:val="nil"/>
            </w:tcBorders>
            <w:vAlign w:val="center"/>
          </w:tcPr>
          <w:p>
            <w:pPr>
              <w:widowControl/>
              <w:jc w:val="center"/>
              <w:rPr>
                <w:color w:val="auto"/>
                <w:sz w:val="21"/>
                <w:szCs w:val="21"/>
              </w:rPr>
            </w:pPr>
            <w:r>
              <w:rPr>
                <w:rFonts w:eastAsia="仿宋_GB2312"/>
                <w:color w:val="auto"/>
                <w:sz w:val="21"/>
                <w:szCs w:val="21"/>
              </w:rPr>
              <w:t>合计（万元）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rFonts w:eastAsia="仿宋_GB2312"/>
                <w:color w:val="auto"/>
                <w:sz w:val="21"/>
                <w:szCs w:val="21"/>
              </w:rPr>
              <w:t>第一部分</w:t>
            </w:r>
            <w:r>
              <w:rPr>
                <w:color w:val="auto"/>
                <w:sz w:val="21"/>
                <w:szCs w:val="21"/>
              </w:rPr>
              <w:t xml:space="preserve"> </w:t>
            </w:r>
          </w:p>
        </w:tc>
        <w:tc>
          <w:tcPr>
            <w:tcW w:w="2424" w:type="dxa"/>
            <w:tcBorders>
              <w:tl2br w:val="nil"/>
              <w:tr2bl w:val="nil"/>
            </w:tcBorders>
            <w:vAlign w:val="center"/>
          </w:tcPr>
          <w:p>
            <w:pPr>
              <w:jc w:val="center"/>
              <w:rPr>
                <w:color w:val="auto"/>
                <w:sz w:val="21"/>
                <w:szCs w:val="21"/>
              </w:rPr>
            </w:pPr>
            <w:r>
              <w:rPr>
                <w:rFonts w:eastAsia="仿宋_GB2312"/>
                <w:color w:val="auto"/>
                <w:sz w:val="21"/>
                <w:szCs w:val="21"/>
              </w:rPr>
              <w:t>工程措施</w:t>
            </w:r>
          </w:p>
        </w:tc>
        <w:tc>
          <w:tcPr>
            <w:tcW w:w="1341" w:type="dxa"/>
            <w:tcBorders>
              <w:tl2br w:val="nil"/>
              <w:tr2bl w:val="nil"/>
            </w:tcBorders>
            <w:vAlign w:val="center"/>
          </w:tcPr>
          <w:p>
            <w:pPr>
              <w:jc w:val="center"/>
              <w:rPr>
                <w:color w:val="auto"/>
                <w:sz w:val="21"/>
                <w:szCs w:val="21"/>
              </w:rPr>
            </w:pPr>
            <w:r>
              <w:rPr>
                <w:rFonts w:hint="eastAsia"/>
                <w:color w:val="auto"/>
                <w:sz w:val="21"/>
                <w:szCs w:val="21"/>
                <w:lang w:val="en-US" w:eastAsia="zh-CN"/>
              </w:rPr>
              <w:t>0.00</w:t>
            </w:r>
          </w:p>
        </w:tc>
        <w:tc>
          <w:tcPr>
            <w:tcW w:w="1417" w:type="dxa"/>
            <w:tcBorders>
              <w:tl2br w:val="nil"/>
              <w:tr2bl w:val="nil"/>
            </w:tcBorders>
            <w:vAlign w:val="center"/>
          </w:tcPr>
          <w:p>
            <w:pPr>
              <w:jc w:val="center"/>
              <w:rPr>
                <w:color w:val="auto"/>
                <w:sz w:val="21"/>
                <w:szCs w:val="21"/>
              </w:rPr>
            </w:pPr>
          </w:p>
        </w:tc>
        <w:tc>
          <w:tcPr>
            <w:tcW w:w="1134" w:type="dxa"/>
            <w:tcBorders>
              <w:tl2br w:val="nil"/>
              <w:tr2bl w:val="nil"/>
            </w:tcBorders>
            <w:vAlign w:val="center"/>
          </w:tcPr>
          <w:p>
            <w:pPr>
              <w:jc w:val="center"/>
              <w:rPr>
                <w:color w:val="auto"/>
                <w:sz w:val="21"/>
                <w:szCs w:val="21"/>
              </w:rPr>
            </w:pPr>
          </w:p>
        </w:tc>
        <w:tc>
          <w:tcPr>
            <w:tcW w:w="1360" w:type="dxa"/>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color w:val="auto"/>
                <w:sz w:val="21"/>
                <w:szCs w:val="21"/>
              </w:rPr>
              <w:t>1</w:t>
            </w:r>
          </w:p>
        </w:tc>
        <w:tc>
          <w:tcPr>
            <w:tcW w:w="2424" w:type="dxa"/>
            <w:tcBorders>
              <w:tl2br w:val="nil"/>
              <w:tr2bl w:val="nil"/>
            </w:tcBorders>
            <w:vAlign w:val="center"/>
          </w:tcPr>
          <w:p>
            <w:pPr>
              <w:jc w:val="center"/>
              <w:rPr>
                <w:rFonts w:eastAsia="仿宋_GB2312"/>
                <w:color w:val="auto"/>
                <w:sz w:val="21"/>
                <w:szCs w:val="21"/>
              </w:rPr>
            </w:pPr>
            <w:r>
              <w:rPr>
                <w:rFonts w:eastAsia="仿宋_GB2312"/>
                <w:color w:val="auto"/>
                <w:sz w:val="21"/>
                <w:szCs w:val="21"/>
              </w:rPr>
              <w:t>工程建设区</w:t>
            </w:r>
          </w:p>
        </w:tc>
        <w:tc>
          <w:tcPr>
            <w:tcW w:w="1341" w:type="dxa"/>
            <w:tcBorders>
              <w:tl2br w:val="nil"/>
              <w:tr2bl w:val="nil"/>
            </w:tcBorders>
            <w:vAlign w:val="center"/>
          </w:tcPr>
          <w:p>
            <w:pPr>
              <w:jc w:val="center"/>
              <w:rPr>
                <w:color w:val="auto"/>
                <w:sz w:val="21"/>
                <w:szCs w:val="21"/>
              </w:rPr>
            </w:pPr>
            <w:r>
              <w:rPr>
                <w:rFonts w:hint="eastAsia"/>
                <w:color w:val="auto"/>
                <w:sz w:val="21"/>
                <w:szCs w:val="21"/>
                <w:lang w:val="en-US" w:eastAsia="zh-CN"/>
              </w:rPr>
              <w:t>0.00</w:t>
            </w:r>
          </w:p>
        </w:tc>
        <w:tc>
          <w:tcPr>
            <w:tcW w:w="1417" w:type="dxa"/>
            <w:tcBorders>
              <w:tl2br w:val="nil"/>
              <w:tr2bl w:val="nil"/>
            </w:tcBorders>
            <w:vAlign w:val="center"/>
          </w:tcPr>
          <w:p>
            <w:pPr>
              <w:jc w:val="center"/>
              <w:rPr>
                <w:color w:val="auto"/>
                <w:sz w:val="21"/>
                <w:szCs w:val="21"/>
              </w:rPr>
            </w:pPr>
          </w:p>
        </w:tc>
        <w:tc>
          <w:tcPr>
            <w:tcW w:w="1134" w:type="dxa"/>
            <w:tcBorders>
              <w:tl2br w:val="nil"/>
              <w:tr2bl w:val="nil"/>
            </w:tcBorders>
            <w:vAlign w:val="center"/>
          </w:tcPr>
          <w:p>
            <w:pPr>
              <w:jc w:val="center"/>
              <w:rPr>
                <w:color w:val="auto"/>
                <w:sz w:val="21"/>
                <w:szCs w:val="21"/>
              </w:rPr>
            </w:pPr>
          </w:p>
        </w:tc>
        <w:tc>
          <w:tcPr>
            <w:tcW w:w="1360" w:type="dxa"/>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rFonts w:eastAsia="仿宋_GB2312"/>
                <w:color w:val="auto"/>
                <w:sz w:val="21"/>
                <w:szCs w:val="21"/>
              </w:rPr>
              <w:t>第二部分</w:t>
            </w:r>
            <w:r>
              <w:rPr>
                <w:color w:val="auto"/>
                <w:sz w:val="21"/>
                <w:szCs w:val="21"/>
              </w:rPr>
              <w:t xml:space="preserve"> </w:t>
            </w:r>
          </w:p>
        </w:tc>
        <w:tc>
          <w:tcPr>
            <w:tcW w:w="2424" w:type="dxa"/>
            <w:tcBorders>
              <w:tl2br w:val="nil"/>
              <w:tr2bl w:val="nil"/>
            </w:tcBorders>
            <w:vAlign w:val="center"/>
          </w:tcPr>
          <w:p>
            <w:pPr>
              <w:jc w:val="center"/>
              <w:rPr>
                <w:color w:val="auto"/>
                <w:sz w:val="21"/>
                <w:szCs w:val="21"/>
              </w:rPr>
            </w:pPr>
            <w:r>
              <w:rPr>
                <w:rFonts w:eastAsia="仿宋_GB2312"/>
                <w:color w:val="auto"/>
                <w:sz w:val="21"/>
                <w:szCs w:val="21"/>
              </w:rPr>
              <w:t>植物措施</w:t>
            </w:r>
          </w:p>
        </w:tc>
        <w:tc>
          <w:tcPr>
            <w:tcW w:w="1341" w:type="dxa"/>
            <w:tcBorders>
              <w:tl2br w:val="nil"/>
              <w:tr2bl w:val="nil"/>
            </w:tcBorders>
            <w:vAlign w:val="center"/>
          </w:tcPr>
          <w:p>
            <w:pPr>
              <w:jc w:val="center"/>
              <w:rPr>
                <w:color w:val="auto"/>
                <w:sz w:val="21"/>
                <w:szCs w:val="21"/>
              </w:rPr>
            </w:pPr>
          </w:p>
        </w:tc>
        <w:tc>
          <w:tcPr>
            <w:tcW w:w="1417" w:type="dxa"/>
            <w:tcBorders>
              <w:tl2br w:val="nil"/>
              <w:tr2bl w:val="nil"/>
            </w:tcBorders>
            <w:vAlign w:val="center"/>
          </w:tcPr>
          <w:p>
            <w:pPr>
              <w:jc w:val="center"/>
              <w:rPr>
                <w:color w:val="auto"/>
                <w:sz w:val="21"/>
                <w:szCs w:val="21"/>
              </w:rPr>
            </w:pPr>
            <w:r>
              <w:rPr>
                <w:rFonts w:hint="eastAsia"/>
                <w:color w:val="auto"/>
                <w:sz w:val="21"/>
                <w:szCs w:val="21"/>
                <w:lang w:val="en-US" w:eastAsia="zh-CN"/>
              </w:rPr>
              <w:t>0.00</w:t>
            </w:r>
          </w:p>
        </w:tc>
        <w:tc>
          <w:tcPr>
            <w:tcW w:w="1134" w:type="dxa"/>
            <w:tcBorders>
              <w:tl2br w:val="nil"/>
              <w:tr2bl w:val="nil"/>
            </w:tcBorders>
            <w:vAlign w:val="center"/>
          </w:tcPr>
          <w:p>
            <w:pPr>
              <w:jc w:val="center"/>
              <w:rPr>
                <w:color w:val="auto"/>
                <w:sz w:val="21"/>
                <w:szCs w:val="21"/>
              </w:rPr>
            </w:pPr>
          </w:p>
        </w:tc>
        <w:tc>
          <w:tcPr>
            <w:tcW w:w="1360" w:type="dxa"/>
            <w:tcBorders>
              <w:tl2br w:val="nil"/>
              <w:tr2bl w:val="nil"/>
            </w:tcBorders>
            <w:vAlign w:val="center"/>
          </w:tcPr>
          <w:p>
            <w:pPr>
              <w:jc w:val="center"/>
              <w:rPr>
                <w:color w:val="auto"/>
                <w:sz w:val="21"/>
                <w:szCs w:val="21"/>
              </w:rPr>
            </w:pPr>
            <w:r>
              <w:rPr>
                <w:rFonts w:hint="eastAsia"/>
                <w:color w:val="auto"/>
                <w:sz w:val="21"/>
                <w:szCs w:val="21"/>
                <w:lang w:val="en-US" w:eastAsia="zh-CN"/>
              </w:rPr>
              <w:t>0.00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color w:val="auto"/>
                <w:sz w:val="21"/>
                <w:szCs w:val="21"/>
              </w:rPr>
              <w:t>1</w:t>
            </w:r>
          </w:p>
        </w:tc>
        <w:tc>
          <w:tcPr>
            <w:tcW w:w="2424" w:type="dxa"/>
            <w:tcBorders>
              <w:tl2br w:val="nil"/>
              <w:tr2bl w:val="nil"/>
            </w:tcBorders>
            <w:vAlign w:val="center"/>
          </w:tcPr>
          <w:p>
            <w:pPr>
              <w:jc w:val="center"/>
              <w:rPr>
                <w:color w:val="auto"/>
                <w:sz w:val="21"/>
                <w:szCs w:val="21"/>
              </w:rPr>
            </w:pPr>
            <w:r>
              <w:rPr>
                <w:rFonts w:eastAsia="仿宋_GB2312"/>
                <w:color w:val="auto"/>
                <w:sz w:val="21"/>
                <w:szCs w:val="21"/>
              </w:rPr>
              <w:t>工程建设区</w:t>
            </w:r>
          </w:p>
        </w:tc>
        <w:tc>
          <w:tcPr>
            <w:tcW w:w="1341" w:type="dxa"/>
            <w:tcBorders>
              <w:tl2br w:val="nil"/>
              <w:tr2bl w:val="nil"/>
            </w:tcBorders>
            <w:vAlign w:val="center"/>
          </w:tcPr>
          <w:p>
            <w:pPr>
              <w:jc w:val="center"/>
              <w:rPr>
                <w:color w:val="auto"/>
                <w:sz w:val="21"/>
                <w:szCs w:val="21"/>
              </w:rPr>
            </w:pPr>
          </w:p>
        </w:tc>
        <w:tc>
          <w:tcPr>
            <w:tcW w:w="1417" w:type="dxa"/>
            <w:tcBorders>
              <w:tl2br w:val="nil"/>
              <w:tr2bl w:val="nil"/>
            </w:tcBorders>
            <w:vAlign w:val="center"/>
          </w:tcPr>
          <w:p>
            <w:pPr>
              <w:jc w:val="center"/>
              <w:rPr>
                <w:color w:val="auto"/>
              </w:rPr>
            </w:pPr>
            <w:r>
              <w:rPr>
                <w:rFonts w:hint="eastAsia"/>
                <w:color w:val="auto"/>
                <w:sz w:val="21"/>
                <w:szCs w:val="21"/>
                <w:lang w:val="en-US" w:eastAsia="zh-CN"/>
              </w:rPr>
              <w:t>0.00</w:t>
            </w:r>
          </w:p>
        </w:tc>
        <w:tc>
          <w:tcPr>
            <w:tcW w:w="1134" w:type="dxa"/>
            <w:tcBorders>
              <w:tl2br w:val="nil"/>
              <w:tr2bl w:val="nil"/>
            </w:tcBorders>
            <w:vAlign w:val="center"/>
          </w:tcPr>
          <w:p>
            <w:pPr>
              <w:jc w:val="center"/>
              <w:rPr>
                <w:color w:val="auto"/>
                <w:sz w:val="21"/>
                <w:szCs w:val="21"/>
              </w:rPr>
            </w:pPr>
          </w:p>
        </w:tc>
        <w:tc>
          <w:tcPr>
            <w:tcW w:w="1360" w:type="dxa"/>
            <w:tcBorders>
              <w:tl2br w:val="nil"/>
              <w:tr2bl w:val="nil"/>
            </w:tcBorders>
            <w:vAlign w:val="center"/>
          </w:tcPr>
          <w:p>
            <w:pPr>
              <w:jc w:val="center"/>
              <w:rPr>
                <w:color w:val="auto"/>
              </w:rPr>
            </w:pPr>
            <w:r>
              <w:rPr>
                <w:rFonts w:hint="eastAsia"/>
                <w:color w:val="auto"/>
                <w:sz w:val="21"/>
                <w:szCs w:val="21"/>
                <w:lang w:val="en-US" w:eastAsia="zh-CN"/>
              </w:rPr>
              <w:t>0.00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2" w:type="dxa"/>
            <w:tcBorders>
              <w:tl2br w:val="nil"/>
              <w:tr2bl w:val="nil"/>
            </w:tcBorders>
            <w:vAlign w:val="center"/>
          </w:tcPr>
          <w:p>
            <w:pPr>
              <w:jc w:val="center"/>
              <w:rPr>
                <w:color w:val="auto"/>
                <w:sz w:val="21"/>
                <w:szCs w:val="21"/>
              </w:rPr>
            </w:pPr>
            <w:r>
              <w:rPr>
                <w:rFonts w:eastAsia="仿宋_GB2312"/>
                <w:color w:val="auto"/>
                <w:sz w:val="21"/>
                <w:szCs w:val="21"/>
              </w:rPr>
              <w:t>第三部分</w:t>
            </w:r>
            <w:r>
              <w:rPr>
                <w:color w:val="auto"/>
                <w:sz w:val="21"/>
                <w:szCs w:val="21"/>
              </w:rPr>
              <w:t xml:space="preserve"> </w:t>
            </w:r>
          </w:p>
        </w:tc>
        <w:tc>
          <w:tcPr>
            <w:tcW w:w="2424" w:type="dxa"/>
            <w:tcBorders>
              <w:tl2br w:val="nil"/>
              <w:tr2bl w:val="nil"/>
            </w:tcBorders>
            <w:vAlign w:val="center"/>
          </w:tcPr>
          <w:p>
            <w:pPr>
              <w:jc w:val="center"/>
              <w:rPr>
                <w:rFonts w:eastAsia="仿宋_GB2312"/>
                <w:color w:val="auto"/>
                <w:sz w:val="21"/>
                <w:szCs w:val="21"/>
              </w:rPr>
            </w:pPr>
            <w:r>
              <w:rPr>
                <w:rFonts w:eastAsia="仿宋_GB2312"/>
                <w:color w:val="auto"/>
                <w:sz w:val="21"/>
                <w:szCs w:val="21"/>
              </w:rPr>
              <w:t>临时措施</w:t>
            </w:r>
          </w:p>
        </w:tc>
        <w:tc>
          <w:tcPr>
            <w:tcW w:w="1341" w:type="dxa"/>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0.29</w:t>
            </w:r>
          </w:p>
        </w:tc>
        <w:tc>
          <w:tcPr>
            <w:tcW w:w="1417" w:type="dxa"/>
            <w:tcBorders>
              <w:tl2br w:val="nil"/>
              <w:tr2bl w:val="nil"/>
            </w:tcBorders>
            <w:vAlign w:val="center"/>
          </w:tcPr>
          <w:p>
            <w:pPr>
              <w:pStyle w:val="71"/>
              <w:rPr>
                <w:rFonts w:ascii="Times New Roman" w:hAnsi="Times New Roman" w:eastAsia="仿宋_GB2312"/>
                <w:color w:val="auto"/>
              </w:rPr>
            </w:pPr>
          </w:p>
        </w:tc>
        <w:tc>
          <w:tcPr>
            <w:tcW w:w="1134" w:type="dxa"/>
            <w:tcBorders>
              <w:tl2br w:val="nil"/>
              <w:tr2bl w:val="nil"/>
            </w:tcBorders>
            <w:vAlign w:val="center"/>
          </w:tcPr>
          <w:p>
            <w:pPr>
              <w:jc w:val="center"/>
              <w:rPr>
                <w:color w:val="auto"/>
                <w:sz w:val="21"/>
                <w:szCs w:val="21"/>
              </w:rPr>
            </w:pPr>
          </w:p>
        </w:tc>
        <w:tc>
          <w:tcPr>
            <w:tcW w:w="1360" w:type="dxa"/>
            <w:tcBorders>
              <w:tl2br w:val="nil"/>
              <w:tr2bl w:val="nil"/>
            </w:tcBorders>
            <w:vAlign w:val="center"/>
          </w:tcPr>
          <w:p>
            <w:pPr>
              <w:jc w:val="center"/>
              <w:rPr>
                <w:color w:val="auto"/>
                <w:sz w:val="21"/>
                <w:szCs w:val="21"/>
              </w:rPr>
            </w:pPr>
            <w:r>
              <w:rPr>
                <w:rFonts w:hint="eastAsia"/>
                <w:color w:val="auto"/>
                <w:sz w:val="21"/>
                <w:szCs w:val="21"/>
                <w:lang w:val="en-US" w:eastAsia="zh-CN"/>
              </w:rPr>
              <w:t>0.29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color w:val="auto"/>
                <w:sz w:val="21"/>
                <w:szCs w:val="21"/>
              </w:rPr>
              <w:t>1</w:t>
            </w:r>
          </w:p>
        </w:tc>
        <w:tc>
          <w:tcPr>
            <w:tcW w:w="2424" w:type="dxa"/>
            <w:tcBorders>
              <w:tl2br w:val="nil"/>
              <w:tr2bl w:val="nil"/>
            </w:tcBorders>
            <w:vAlign w:val="center"/>
          </w:tcPr>
          <w:p>
            <w:pPr>
              <w:jc w:val="center"/>
              <w:rPr>
                <w:rFonts w:eastAsia="仿宋_GB2312"/>
                <w:color w:val="auto"/>
                <w:sz w:val="21"/>
                <w:szCs w:val="21"/>
              </w:rPr>
            </w:pPr>
            <w:r>
              <w:rPr>
                <w:rFonts w:eastAsia="仿宋_GB2312"/>
                <w:color w:val="auto"/>
                <w:sz w:val="21"/>
                <w:szCs w:val="21"/>
              </w:rPr>
              <w:t>工程建设区</w:t>
            </w:r>
          </w:p>
        </w:tc>
        <w:tc>
          <w:tcPr>
            <w:tcW w:w="1341" w:type="dxa"/>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0.29</w:t>
            </w:r>
          </w:p>
        </w:tc>
        <w:tc>
          <w:tcPr>
            <w:tcW w:w="1417" w:type="dxa"/>
            <w:tcBorders>
              <w:tl2br w:val="nil"/>
              <w:tr2bl w:val="nil"/>
            </w:tcBorders>
            <w:vAlign w:val="center"/>
          </w:tcPr>
          <w:p>
            <w:pPr>
              <w:pStyle w:val="71"/>
              <w:rPr>
                <w:rFonts w:ascii="Times New Roman" w:hAnsi="Times New Roman" w:eastAsia="仿宋_GB2312"/>
                <w:color w:val="auto"/>
              </w:rPr>
            </w:pPr>
          </w:p>
        </w:tc>
        <w:tc>
          <w:tcPr>
            <w:tcW w:w="1134" w:type="dxa"/>
            <w:tcBorders>
              <w:tl2br w:val="nil"/>
              <w:tr2bl w:val="nil"/>
            </w:tcBorders>
            <w:vAlign w:val="center"/>
          </w:tcPr>
          <w:p>
            <w:pPr>
              <w:jc w:val="center"/>
              <w:rPr>
                <w:color w:val="auto"/>
                <w:sz w:val="21"/>
                <w:szCs w:val="21"/>
              </w:rPr>
            </w:pPr>
          </w:p>
        </w:tc>
        <w:tc>
          <w:tcPr>
            <w:tcW w:w="1360" w:type="dxa"/>
            <w:tcBorders>
              <w:tl2br w:val="nil"/>
              <w:tr2bl w:val="nil"/>
            </w:tcBorders>
            <w:vAlign w:val="center"/>
          </w:tcPr>
          <w:p>
            <w:pPr>
              <w:jc w:val="center"/>
              <w:rPr>
                <w:rFonts w:eastAsia="仿宋_GB2312"/>
                <w:color w:val="auto"/>
                <w:sz w:val="21"/>
                <w:szCs w:val="21"/>
              </w:rPr>
            </w:pPr>
            <w:r>
              <w:rPr>
                <w:rFonts w:hint="eastAsia"/>
                <w:color w:val="auto"/>
                <w:sz w:val="21"/>
                <w:szCs w:val="21"/>
                <w:lang w:val="en-US" w:eastAsia="zh-CN"/>
              </w:rPr>
              <w:t>0.29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color w:val="auto"/>
                <w:sz w:val="21"/>
                <w:szCs w:val="21"/>
              </w:rPr>
              <w:t>2</w:t>
            </w:r>
          </w:p>
        </w:tc>
        <w:tc>
          <w:tcPr>
            <w:tcW w:w="2424" w:type="dxa"/>
            <w:tcBorders>
              <w:tl2br w:val="nil"/>
              <w:tr2bl w:val="nil"/>
            </w:tcBorders>
            <w:vAlign w:val="center"/>
          </w:tcPr>
          <w:p>
            <w:pPr>
              <w:jc w:val="center"/>
              <w:rPr>
                <w:rFonts w:eastAsia="仿宋_GB2312"/>
                <w:color w:val="auto"/>
                <w:sz w:val="21"/>
                <w:szCs w:val="21"/>
              </w:rPr>
            </w:pPr>
            <w:r>
              <w:rPr>
                <w:rFonts w:eastAsia="仿宋_GB2312"/>
                <w:color w:val="auto"/>
                <w:sz w:val="21"/>
                <w:szCs w:val="21"/>
              </w:rPr>
              <w:t>其他临时措施</w:t>
            </w:r>
          </w:p>
        </w:tc>
        <w:tc>
          <w:tcPr>
            <w:tcW w:w="1341" w:type="dxa"/>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0.00</w:t>
            </w:r>
          </w:p>
        </w:tc>
        <w:tc>
          <w:tcPr>
            <w:tcW w:w="1417" w:type="dxa"/>
            <w:tcBorders>
              <w:tl2br w:val="nil"/>
              <w:tr2bl w:val="nil"/>
            </w:tcBorders>
            <w:vAlign w:val="center"/>
          </w:tcPr>
          <w:p>
            <w:pPr>
              <w:pStyle w:val="71"/>
              <w:rPr>
                <w:rFonts w:ascii="Times New Roman" w:hAnsi="Times New Roman" w:eastAsia="仿宋_GB2312"/>
                <w:color w:val="auto"/>
              </w:rPr>
            </w:pPr>
          </w:p>
        </w:tc>
        <w:tc>
          <w:tcPr>
            <w:tcW w:w="1134" w:type="dxa"/>
            <w:tcBorders>
              <w:tl2br w:val="nil"/>
              <w:tr2bl w:val="nil"/>
            </w:tcBorders>
            <w:vAlign w:val="center"/>
          </w:tcPr>
          <w:p>
            <w:pPr>
              <w:jc w:val="center"/>
              <w:rPr>
                <w:color w:val="auto"/>
                <w:sz w:val="21"/>
                <w:szCs w:val="21"/>
              </w:rPr>
            </w:pPr>
          </w:p>
        </w:tc>
        <w:tc>
          <w:tcPr>
            <w:tcW w:w="1360" w:type="dxa"/>
            <w:tcBorders>
              <w:tl2br w:val="nil"/>
              <w:tr2bl w:val="nil"/>
            </w:tcBorders>
            <w:vAlign w:val="center"/>
          </w:tcPr>
          <w:p>
            <w:pPr>
              <w:jc w:val="center"/>
              <w:rPr>
                <w:color w:val="auto"/>
                <w:sz w:val="21"/>
                <w:szCs w:val="21"/>
              </w:rPr>
            </w:pPr>
            <w:r>
              <w:rPr>
                <w:rFonts w:hint="eastAsia"/>
                <w:color w:val="auto"/>
                <w:sz w:val="21"/>
                <w:szCs w:val="21"/>
                <w:lang w:val="en-US" w:eastAsia="zh-CN"/>
              </w:rPr>
              <w:t>0.00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rFonts w:eastAsia="仿宋_GB2312"/>
                <w:color w:val="auto"/>
                <w:sz w:val="21"/>
                <w:szCs w:val="21"/>
              </w:rPr>
              <w:t>第四部分</w:t>
            </w:r>
            <w:r>
              <w:rPr>
                <w:color w:val="auto"/>
                <w:sz w:val="21"/>
                <w:szCs w:val="21"/>
              </w:rPr>
              <w:t xml:space="preserve"> </w:t>
            </w:r>
          </w:p>
        </w:tc>
        <w:tc>
          <w:tcPr>
            <w:tcW w:w="2424" w:type="dxa"/>
            <w:tcBorders>
              <w:tl2br w:val="nil"/>
              <w:tr2bl w:val="nil"/>
            </w:tcBorders>
            <w:vAlign w:val="center"/>
          </w:tcPr>
          <w:p>
            <w:pPr>
              <w:jc w:val="center"/>
              <w:rPr>
                <w:color w:val="auto"/>
                <w:sz w:val="21"/>
                <w:szCs w:val="21"/>
              </w:rPr>
            </w:pPr>
            <w:r>
              <w:rPr>
                <w:rFonts w:eastAsia="仿宋_GB2312"/>
                <w:color w:val="auto"/>
                <w:sz w:val="21"/>
                <w:szCs w:val="21"/>
              </w:rPr>
              <w:t>独立费用</w:t>
            </w:r>
          </w:p>
        </w:tc>
        <w:tc>
          <w:tcPr>
            <w:tcW w:w="1341" w:type="dxa"/>
            <w:tcBorders>
              <w:tl2br w:val="nil"/>
              <w:tr2bl w:val="nil"/>
            </w:tcBorders>
            <w:vAlign w:val="center"/>
          </w:tcPr>
          <w:p>
            <w:pPr>
              <w:jc w:val="center"/>
              <w:rPr>
                <w:color w:val="auto"/>
                <w:sz w:val="21"/>
                <w:szCs w:val="21"/>
              </w:rPr>
            </w:pPr>
            <w:r>
              <w:rPr>
                <w:color w:val="auto"/>
                <w:sz w:val="21"/>
                <w:szCs w:val="21"/>
              </w:rPr>
              <w:t>　</w:t>
            </w:r>
          </w:p>
        </w:tc>
        <w:tc>
          <w:tcPr>
            <w:tcW w:w="1417" w:type="dxa"/>
            <w:tcBorders>
              <w:tl2br w:val="nil"/>
              <w:tr2bl w:val="nil"/>
            </w:tcBorders>
            <w:vAlign w:val="center"/>
          </w:tcPr>
          <w:p>
            <w:pPr>
              <w:jc w:val="center"/>
              <w:rPr>
                <w:color w:val="auto"/>
                <w:sz w:val="21"/>
                <w:szCs w:val="21"/>
              </w:rPr>
            </w:pPr>
            <w:r>
              <w:rPr>
                <w:color w:val="auto"/>
                <w:sz w:val="21"/>
                <w:szCs w:val="21"/>
              </w:rPr>
              <w:t>　</w:t>
            </w:r>
          </w:p>
        </w:tc>
        <w:tc>
          <w:tcPr>
            <w:tcW w:w="1134" w:type="dxa"/>
            <w:tcBorders>
              <w:tl2br w:val="nil"/>
              <w:tr2bl w:val="nil"/>
            </w:tcBorders>
            <w:vAlign w:val="center"/>
          </w:tcPr>
          <w:p>
            <w:pPr>
              <w:jc w:val="center"/>
              <w:rPr>
                <w:rFonts w:hint="default"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13.00</w:t>
            </w:r>
          </w:p>
        </w:tc>
        <w:tc>
          <w:tcPr>
            <w:tcW w:w="1360" w:type="dxa"/>
            <w:tcBorders>
              <w:tl2br w:val="nil"/>
              <w:tr2bl w:val="nil"/>
            </w:tcBorders>
            <w:vAlign w:val="center"/>
          </w:tcPr>
          <w:p>
            <w:pPr>
              <w:jc w:val="center"/>
              <w:rPr>
                <w:rFonts w:hint="default"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13.00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color w:val="auto"/>
                <w:sz w:val="21"/>
                <w:szCs w:val="21"/>
              </w:rPr>
              <w:t>1</w:t>
            </w:r>
          </w:p>
        </w:tc>
        <w:tc>
          <w:tcPr>
            <w:tcW w:w="2424" w:type="dxa"/>
            <w:tcBorders>
              <w:tl2br w:val="nil"/>
              <w:tr2bl w:val="nil"/>
            </w:tcBorders>
            <w:vAlign w:val="center"/>
          </w:tcPr>
          <w:p>
            <w:pPr>
              <w:jc w:val="center"/>
              <w:rPr>
                <w:color w:val="auto"/>
                <w:sz w:val="21"/>
                <w:szCs w:val="21"/>
              </w:rPr>
            </w:pPr>
            <w:r>
              <w:rPr>
                <w:rFonts w:eastAsia="仿宋_GB2312"/>
                <w:color w:val="auto"/>
                <w:sz w:val="21"/>
                <w:szCs w:val="21"/>
              </w:rPr>
              <w:t>建设管理费</w:t>
            </w:r>
          </w:p>
        </w:tc>
        <w:tc>
          <w:tcPr>
            <w:tcW w:w="1341" w:type="dxa"/>
            <w:tcBorders>
              <w:tl2br w:val="nil"/>
              <w:tr2bl w:val="nil"/>
            </w:tcBorders>
            <w:vAlign w:val="center"/>
          </w:tcPr>
          <w:p>
            <w:pPr>
              <w:jc w:val="center"/>
              <w:rPr>
                <w:color w:val="auto"/>
                <w:sz w:val="21"/>
                <w:szCs w:val="21"/>
              </w:rPr>
            </w:pPr>
            <w:r>
              <w:rPr>
                <w:color w:val="auto"/>
                <w:sz w:val="21"/>
                <w:szCs w:val="21"/>
              </w:rPr>
              <w:t>　</w:t>
            </w:r>
          </w:p>
        </w:tc>
        <w:tc>
          <w:tcPr>
            <w:tcW w:w="1417" w:type="dxa"/>
            <w:tcBorders>
              <w:tl2br w:val="nil"/>
              <w:tr2bl w:val="nil"/>
            </w:tcBorders>
            <w:vAlign w:val="center"/>
          </w:tcPr>
          <w:p>
            <w:pPr>
              <w:jc w:val="center"/>
              <w:rPr>
                <w:color w:val="auto"/>
                <w:sz w:val="21"/>
                <w:szCs w:val="21"/>
              </w:rPr>
            </w:pPr>
            <w:r>
              <w:rPr>
                <w:color w:val="auto"/>
                <w:sz w:val="21"/>
                <w:szCs w:val="21"/>
              </w:rPr>
              <w:t>　</w:t>
            </w:r>
          </w:p>
        </w:tc>
        <w:tc>
          <w:tcPr>
            <w:tcW w:w="1134" w:type="dxa"/>
            <w:tcBorders>
              <w:tl2br w:val="nil"/>
              <w:tr2bl w:val="nil"/>
            </w:tcBorders>
            <w:vAlign w:val="center"/>
          </w:tcPr>
          <w:p>
            <w:pPr>
              <w:jc w:val="center"/>
              <w:rPr>
                <w:rFonts w:hint="eastAsia" w:ascii="Times New Roman" w:hAnsi="Times New Roman" w:eastAsia="宋体" w:cs="Times New Roman"/>
                <w:bCs/>
                <w:color w:val="auto"/>
                <w:sz w:val="21"/>
                <w:szCs w:val="21"/>
                <w:lang w:val="en-US" w:eastAsia="zh-CN" w:bidi="ar-SA"/>
              </w:rPr>
            </w:pPr>
            <w:r>
              <w:rPr>
                <w:bCs/>
                <w:color w:val="auto"/>
                <w:sz w:val="21"/>
                <w:szCs w:val="21"/>
              </w:rPr>
              <w:t>0.</w:t>
            </w:r>
            <w:r>
              <w:rPr>
                <w:rFonts w:hint="eastAsia"/>
                <w:bCs/>
                <w:color w:val="auto"/>
                <w:sz w:val="21"/>
                <w:szCs w:val="21"/>
              </w:rPr>
              <w:t>0</w:t>
            </w:r>
            <w:r>
              <w:rPr>
                <w:rFonts w:hint="eastAsia"/>
                <w:bCs/>
                <w:color w:val="auto"/>
                <w:sz w:val="21"/>
                <w:szCs w:val="21"/>
                <w:lang w:val="en-US" w:eastAsia="zh-CN"/>
              </w:rPr>
              <w:t>0</w:t>
            </w:r>
          </w:p>
        </w:tc>
        <w:tc>
          <w:tcPr>
            <w:tcW w:w="1360" w:type="dxa"/>
            <w:tcBorders>
              <w:tl2br w:val="nil"/>
              <w:tr2bl w:val="nil"/>
            </w:tcBorders>
            <w:vAlign w:val="center"/>
          </w:tcPr>
          <w:p>
            <w:pPr>
              <w:jc w:val="center"/>
              <w:rPr>
                <w:rFonts w:hint="eastAsia" w:ascii="Times New Roman" w:hAnsi="Times New Roman" w:eastAsia="宋体" w:cs="Times New Roman"/>
                <w:bCs/>
                <w:color w:val="auto"/>
                <w:sz w:val="21"/>
                <w:szCs w:val="21"/>
                <w:lang w:val="en-US" w:eastAsia="zh-CN" w:bidi="ar-SA"/>
              </w:rPr>
            </w:pPr>
            <w:r>
              <w:rPr>
                <w:bCs/>
                <w:color w:val="auto"/>
                <w:sz w:val="21"/>
                <w:szCs w:val="21"/>
              </w:rPr>
              <w:t>0.</w:t>
            </w:r>
            <w:r>
              <w:rPr>
                <w:rFonts w:hint="eastAsia"/>
                <w:bCs/>
                <w:color w:val="auto"/>
                <w:sz w:val="21"/>
                <w:szCs w:val="21"/>
              </w:rPr>
              <w:t>0</w:t>
            </w:r>
            <w:r>
              <w:rPr>
                <w:rFonts w:hint="eastAsia"/>
                <w:bCs/>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color w:val="auto"/>
                <w:sz w:val="21"/>
                <w:szCs w:val="21"/>
              </w:rPr>
              <w:t>2</w:t>
            </w:r>
          </w:p>
        </w:tc>
        <w:tc>
          <w:tcPr>
            <w:tcW w:w="2424" w:type="dxa"/>
            <w:tcBorders>
              <w:tl2br w:val="nil"/>
              <w:tr2bl w:val="nil"/>
            </w:tcBorders>
            <w:vAlign w:val="center"/>
          </w:tcPr>
          <w:p>
            <w:pPr>
              <w:jc w:val="center"/>
              <w:rPr>
                <w:color w:val="auto"/>
                <w:sz w:val="21"/>
                <w:szCs w:val="21"/>
              </w:rPr>
            </w:pPr>
            <w:r>
              <w:rPr>
                <w:rFonts w:eastAsia="仿宋_GB2312"/>
                <w:color w:val="auto"/>
                <w:sz w:val="21"/>
                <w:szCs w:val="21"/>
              </w:rPr>
              <w:t>水土保持监理费</w:t>
            </w:r>
          </w:p>
        </w:tc>
        <w:tc>
          <w:tcPr>
            <w:tcW w:w="1341" w:type="dxa"/>
            <w:tcBorders>
              <w:tl2br w:val="nil"/>
              <w:tr2bl w:val="nil"/>
            </w:tcBorders>
            <w:vAlign w:val="center"/>
          </w:tcPr>
          <w:p>
            <w:pPr>
              <w:jc w:val="center"/>
              <w:rPr>
                <w:color w:val="auto"/>
                <w:sz w:val="21"/>
                <w:szCs w:val="21"/>
              </w:rPr>
            </w:pPr>
            <w:r>
              <w:rPr>
                <w:color w:val="auto"/>
                <w:sz w:val="21"/>
                <w:szCs w:val="21"/>
              </w:rPr>
              <w:t>　</w:t>
            </w:r>
          </w:p>
        </w:tc>
        <w:tc>
          <w:tcPr>
            <w:tcW w:w="1417" w:type="dxa"/>
            <w:tcBorders>
              <w:tl2br w:val="nil"/>
              <w:tr2bl w:val="nil"/>
            </w:tcBorders>
            <w:vAlign w:val="center"/>
          </w:tcPr>
          <w:p>
            <w:pPr>
              <w:jc w:val="center"/>
              <w:rPr>
                <w:color w:val="auto"/>
                <w:sz w:val="21"/>
                <w:szCs w:val="21"/>
              </w:rPr>
            </w:pPr>
            <w:r>
              <w:rPr>
                <w:color w:val="auto"/>
                <w:sz w:val="21"/>
                <w:szCs w:val="21"/>
              </w:rPr>
              <w:t>　</w:t>
            </w:r>
          </w:p>
        </w:tc>
        <w:tc>
          <w:tcPr>
            <w:tcW w:w="1134" w:type="dxa"/>
            <w:tcBorders>
              <w:tl2br w:val="nil"/>
              <w:tr2bl w:val="nil"/>
            </w:tcBorders>
            <w:vAlign w:val="center"/>
          </w:tcPr>
          <w:p>
            <w:pPr>
              <w:jc w:val="center"/>
              <w:rPr>
                <w:rFonts w:hint="default"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3.00</w:t>
            </w:r>
          </w:p>
        </w:tc>
        <w:tc>
          <w:tcPr>
            <w:tcW w:w="1360" w:type="dxa"/>
            <w:tcBorders>
              <w:tl2br w:val="nil"/>
              <w:tr2bl w:val="nil"/>
            </w:tcBorders>
            <w:vAlign w:val="center"/>
          </w:tcPr>
          <w:p>
            <w:pPr>
              <w:jc w:val="center"/>
              <w:rPr>
                <w:rFonts w:hint="default"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3.00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color w:val="auto"/>
                <w:sz w:val="21"/>
                <w:szCs w:val="21"/>
              </w:rPr>
              <w:t>3</w:t>
            </w:r>
          </w:p>
        </w:tc>
        <w:tc>
          <w:tcPr>
            <w:tcW w:w="2424" w:type="dxa"/>
            <w:tcBorders>
              <w:tl2br w:val="nil"/>
              <w:tr2bl w:val="nil"/>
            </w:tcBorders>
            <w:vAlign w:val="center"/>
          </w:tcPr>
          <w:p>
            <w:pPr>
              <w:jc w:val="center"/>
              <w:rPr>
                <w:color w:val="auto"/>
                <w:sz w:val="21"/>
                <w:szCs w:val="21"/>
              </w:rPr>
            </w:pPr>
            <w:r>
              <w:rPr>
                <w:rFonts w:eastAsia="仿宋_GB2312"/>
                <w:color w:val="auto"/>
                <w:sz w:val="21"/>
                <w:szCs w:val="21"/>
              </w:rPr>
              <w:t>科研勘测设计费</w:t>
            </w:r>
          </w:p>
        </w:tc>
        <w:tc>
          <w:tcPr>
            <w:tcW w:w="1341" w:type="dxa"/>
            <w:tcBorders>
              <w:tl2br w:val="nil"/>
              <w:tr2bl w:val="nil"/>
            </w:tcBorders>
            <w:vAlign w:val="center"/>
          </w:tcPr>
          <w:p>
            <w:pPr>
              <w:jc w:val="center"/>
              <w:rPr>
                <w:color w:val="auto"/>
                <w:sz w:val="21"/>
                <w:szCs w:val="21"/>
              </w:rPr>
            </w:pPr>
            <w:r>
              <w:rPr>
                <w:color w:val="auto"/>
                <w:sz w:val="21"/>
                <w:szCs w:val="21"/>
              </w:rPr>
              <w:t>　</w:t>
            </w:r>
          </w:p>
        </w:tc>
        <w:tc>
          <w:tcPr>
            <w:tcW w:w="1417" w:type="dxa"/>
            <w:tcBorders>
              <w:tl2br w:val="nil"/>
              <w:tr2bl w:val="nil"/>
            </w:tcBorders>
            <w:vAlign w:val="center"/>
          </w:tcPr>
          <w:p>
            <w:pPr>
              <w:jc w:val="center"/>
              <w:rPr>
                <w:color w:val="auto"/>
                <w:sz w:val="21"/>
                <w:szCs w:val="21"/>
              </w:rPr>
            </w:pPr>
            <w:r>
              <w:rPr>
                <w:color w:val="auto"/>
                <w:sz w:val="21"/>
                <w:szCs w:val="21"/>
              </w:rPr>
              <w:t>　</w:t>
            </w:r>
          </w:p>
        </w:tc>
        <w:tc>
          <w:tcPr>
            <w:tcW w:w="1134" w:type="dxa"/>
            <w:tcBorders>
              <w:tl2br w:val="nil"/>
              <w:tr2bl w:val="nil"/>
            </w:tcBorders>
            <w:vAlign w:val="center"/>
          </w:tcPr>
          <w:p>
            <w:pPr>
              <w:jc w:val="center"/>
              <w:rPr>
                <w:rFonts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3</w:t>
            </w:r>
            <w:r>
              <w:rPr>
                <w:rFonts w:hint="eastAsia"/>
                <w:bCs/>
                <w:color w:val="auto"/>
                <w:sz w:val="21"/>
                <w:szCs w:val="21"/>
              </w:rPr>
              <w:t>.00</w:t>
            </w:r>
          </w:p>
        </w:tc>
        <w:tc>
          <w:tcPr>
            <w:tcW w:w="1360" w:type="dxa"/>
            <w:tcBorders>
              <w:tl2br w:val="nil"/>
              <w:tr2bl w:val="nil"/>
            </w:tcBorders>
            <w:vAlign w:val="center"/>
          </w:tcPr>
          <w:p>
            <w:pPr>
              <w:jc w:val="center"/>
              <w:rPr>
                <w:rFonts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3</w:t>
            </w:r>
            <w:r>
              <w:rPr>
                <w:rFonts w:hint="eastAsia"/>
                <w:bCs/>
                <w:color w:val="auto"/>
                <w:sz w:val="21"/>
                <w:szCs w:val="21"/>
              </w:rPr>
              <w:t>.00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color w:val="auto"/>
                <w:sz w:val="21"/>
                <w:szCs w:val="21"/>
              </w:rPr>
              <w:t>4</w:t>
            </w:r>
          </w:p>
        </w:tc>
        <w:tc>
          <w:tcPr>
            <w:tcW w:w="2424" w:type="dxa"/>
            <w:tcBorders>
              <w:tl2br w:val="nil"/>
              <w:tr2bl w:val="nil"/>
            </w:tcBorders>
            <w:vAlign w:val="center"/>
          </w:tcPr>
          <w:p>
            <w:pPr>
              <w:jc w:val="center"/>
              <w:rPr>
                <w:rFonts w:eastAsia="仿宋_GB2312"/>
                <w:color w:val="auto"/>
                <w:sz w:val="21"/>
                <w:szCs w:val="21"/>
              </w:rPr>
            </w:pPr>
            <w:r>
              <w:rPr>
                <w:rFonts w:eastAsia="仿宋_GB2312"/>
                <w:color w:val="auto"/>
                <w:sz w:val="21"/>
                <w:szCs w:val="21"/>
              </w:rPr>
              <w:t>水土保持监测费</w:t>
            </w:r>
          </w:p>
        </w:tc>
        <w:tc>
          <w:tcPr>
            <w:tcW w:w="1341" w:type="dxa"/>
            <w:tcBorders>
              <w:tl2br w:val="nil"/>
              <w:tr2bl w:val="nil"/>
            </w:tcBorders>
            <w:vAlign w:val="center"/>
          </w:tcPr>
          <w:p>
            <w:pPr>
              <w:jc w:val="center"/>
              <w:rPr>
                <w:color w:val="auto"/>
                <w:sz w:val="21"/>
                <w:szCs w:val="21"/>
              </w:rPr>
            </w:pPr>
            <w:r>
              <w:rPr>
                <w:color w:val="auto"/>
                <w:sz w:val="21"/>
                <w:szCs w:val="21"/>
              </w:rPr>
              <w:t>　</w:t>
            </w:r>
          </w:p>
        </w:tc>
        <w:tc>
          <w:tcPr>
            <w:tcW w:w="1417" w:type="dxa"/>
            <w:tcBorders>
              <w:tl2br w:val="nil"/>
              <w:tr2bl w:val="nil"/>
            </w:tcBorders>
            <w:vAlign w:val="center"/>
          </w:tcPr>
          <w:p>
            <w:pPr>
              <w:jc w:val="center"/>
              <w:rPr>
                <w:color w:val="auto"/>
                <w:sz w:val="21"/>
                <w:szCs w:val="21"/>
              </w:rPr>
            </w:pPr>
            <w:r>
              <w:rPr>
                <w:color w:val="auto"/>
                <w:sz w:val="21"/>
                <w:szCs w:val="21"/>
              </w:rPr>
              <w:t>　</w:t>
            </w:r>
          </w:p>
        </w:tc>
        <w:tc>
          <w:tcPr>
            <w:tcW w:w="1134" w:type="dxa"/>
            <w:tcBorders>
              <w:tl2br w:val="nil"/>
              <w:tr2bl w:val="nil"/>
            </w:tcBorders>
            <w:vAlign w:val="center"/>
          </w:tcPr>
          <w:p>
            <w:pPr>
              <w:jc w:val="center"/>
              <w:rPr>
                <w:rFonts w:hint="default"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5.00</w:t>
            </w:r>
          </w:p>
        </w:tc>
        <w:tc>
          <w:tcPr>
            <w:tcW w:w="1360" w:type="dxa"/>
            <w:tcBorders>
              <w:tl2br w:val="nil"/>
              <w:tr2bl w:val="nil"/>
            </w:tcBorders>
            <w:vAlign w:val="center"/>
          </w:tcPr>
          <w:p>
            <w:pPr>
              <w:jc w:val="center"/>
              <w:rPr>
                <w:rFonts w:hint="default"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color w:val="auto"/>
                <w:sz w:val="21"/>
                <w:szCs w:val="21"/>
              </w:rPr>
              <w:t>5</w:t>
            </w:r>
          </w:p>
        </w:tc>
        <w:tc>
          <w:tcPr>
            <w:tcW w:w="2424" w:type="dxa"/>
            <w:tcBorders>
              <w:tl2br w:val="nil"/>
              <w:tr2bl w:val="nil"/>
            </w:tcBorders>
            <w:vAlign w:val="center"/>
          </w:tcPr>
          <w:p>
            <w:pPr>
              <w:jc w:val="center"/>
              <w:rPr>
                <w:rFonts w:eastAsia="仿宋_GB2312"/>
                <w:color w:val="auto"/>
                <w:sz w:val="21"/>
                <w:szCs w:val="21"/>
              </w:rPr>
            </w:pPr>
            <w:r>
              <w:rPr>
                <w:rFonts w:eastAsia="仿宋_GB2312"/>
                <w:color w:val="auto"/>
                <w:sz w:val="21"/>
                <w:szCs w:val="21"/>
              </w:rPr>
              <w:t>水土保持设施验收费</w:t>
            </w:r>
          </w:p>
        </w:tc>
        <w:tc>
          <w:tcPr>
            <w:tcW w:w="1341" w:type="dxa"/>
            <w:tcBorders>
              <w:tl2br w:val="nil"/>
              <w:tr2bl w:val="nil"/>
            </w:tcBorders>
            <w:vAlign w:val="center"/>
          </w:tcPr>
          <w:p>
            <w:pPr>
              <w:jc w:val="center"/>
              <w:rPr>
                <w:color w:val="auto"/>
                <w:sz w:val="21"/>
                <w:szCs w:val="21"/>
              </w:rPr>
            </w:pPr>
            <w:r>
              <w:rPr>
                <w:color w:val="auto"/>
                <w:sz w:val="21"/>
                <w:szCs w:val="21"/>
              </w:rPr>
              <w:t>　</w:t>
            </w:r>
          </w:p>
        </w:tc>
        <w:tc>
          <w:tcPr>
            <w:tcW w:w="1417" w:type="dxa"/>
            <w:tcBorders>
              <w:tl2br w:val="nil"/>
              <w:tr2bl w:val="nil"/>
            </w:tcBorders>
            <w:vAlign w:val="center"/>
          </w:tcPr>
          <w:p>
            <w:pPr>
              <w:jc w:val="center"/>
              <w:rPr>
                <w:color w:val="auto"/>
                <w:sz w:val="21"/>
                <w:szCs w:val="21"/>
              </w:rPr>
            </w:pPr>
            <w:r>
              <w:rPr>
                <w:color w:val="auto"/>
                <w:sz w:val="21"/>
                <w:szCs w:val="21"/>
              </w:rPr>
              <w:t>　</w:t>
            </w:r>
          </w:p>
        </w:tc>
        <w:tc>
          <w:tcPr>
            <w:tcW w:w="1134" w:type="dxa"/>
            <w:tcBorders>
              <w:tl2br w:val="nil"/>
              <w:tr2bl w:val="nil"/>
            </w:tcBorders>
            <w:vAlign w:val="center"/>
          </w:tcPr>
          <w:p>
            <w:pPr>
              <w:jc w:val="center"/>
              <w:rPr>
                <w:rFonts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2</w:t>
            </w:r>
            <w:r>
              <w:rPr>
                <w:rFonts w:hint="eastAsia"/>
                <w:bCs/>
                <w:color w:val="auto"/>
                <w:sz w:val="21"/>
                <w:szCs w:val="21"/>
              </w:rPr>
              <w:t>.00</w:t>
            </w:r>
          </w:p>
        </w:tc>
        <w:tc>
          <w:tcPr>
            <w:tcW w:w="1360" w:type="dxa"/>
            <w:tcBorders>
              <w:tl2br w:val="nil"/>
              <w:tr2bl w:val="nil"/>
            </w:tcBorders>
            <w:vAlign w:val="center"/>
          </w:tcPr>
          <w:p>
            <w:pPr>
              <w:jc w:val="center"/>
              <w:rPr>
                <w:rFonts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2</w:t>
            </w:r>
            <w:r>
              <w:rPr>
                <w:rFonts w:hint="eastAsia"/>
                <w:bCs/>
                <w:color w:val="auto"/>
                <w:sz w:val="21"/>
                <w:szCs w:val="21"/>
              </w:rPr>
              <w:t>.00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color w:val="auto"/>
                <w:sz w:val="21"/>
                <w:szCs w:val="21"/>
              </w:rPr>
              <w:t>　</w:t>
            </w:r>
          </w:p>
        </w:tc>
        <w:tc>
          <w:tcPr>
            <w:tcW w:w="2424" w:type="dxa"/>
            <w:tcBorders>
              <w:tl2br w:val="nil"/>
              <w:tr2bl w:val="nil"/>
            </w:tcBorders>
            <w:vAlign w:val="center"/>
          </w:tcPr>
          <w:p>
            <w:pPr>
              <w:jc w:val="center"/>
              <w:rPr>
                <w:color w:val="auto"/>
                <w:sz w:val="21"/>
                <w:szCs w:val="21"/>
              </w:rPr>
            </w:pPr>
            <w:r>
              <w:rPr>
                <w:rFonts w:eastAsia="仿宋_GB2312"/>
                <w:color w:val="auto"/>
                <w:sz w:val="21"/>
                <w:szCs w:val="21"/>
              </w:rPr>
              <w:t>一至四部分合计</w:t>
            </w:r>
          </w:p>
        </w:tc>
        <w:tc>
          <w:tcPr>
            <w:tcW w:w="1341" w:type="dxa"/>
            <w:tcBorders>
              <w:tl2br w:val="nil"/>
              <w:tr2bl w:val="nil"/>
            </w:tcBorders>
            <w:vAlign w:val="center"/>
          </w:tcPr>
          <w:p>
            <w:pPr>
              <w:jc w:val="center"/>
              <w:rPr>
                <w:color w:val="auto"/>
                <w:sz w:val="21"/>
                <w:szCs w:val="21"/>
              </w:rPr>
            </w:pPr>
            <w:r>
              <w:rPr>
                <w:color w:val="auto"/>
                <w:sz w:val="21"/>
                <w:szCs w:val="21"/>
              </w:rPr>
              <w:t>　</w:t>
            </w:r>
          </w:p>
        </w:tc>
        <w:tc>
          <w:tcPr>
            <w:tcW w:w="1417" w:type="dxa"/>
            <w:tcBorders>
              <w:tl2br w:val="nil"/>
              <w:tr2bl w:val="nil"/>
            </w:tcBorders>
            <w:vAlign w:val="center"/>
          </w:tcPr>
          <w:p>
            <w:pPr>
              <w:jc w:val="center"/>
              <w:rPr>
                <w:color w:val="auto"/>
                <w:sz w:val="21"/>
                <w:szCs w:val="21"/>
              </w:rPr>
            </w:pPr>
            <w:r>
              <w:rPr>
                <w:color w:val="auto"/>
                <w:sz w:val="21"/>
                <w:szCs w:val="21"/>
              </w:rPr>
              <w:t>　</w:t>
            </w:r>
          </w:p>
        </w:tc>
        <w:tc>
          <w:tcPr>
            <w:tcW w:w="1134" w:type="dxa"/>
            <w:tcBorders>
              <w:tl2br w:val="nil"/>
              <w:tr2bl w:val="nil"/>
            </w:tcBorders>
            <w:vAlign w:val="center"/>
          </w:tcPr>
          <w:p>
            <w:pPr>
              <w:jc w:val="center"/>
              <w:rPr>
                <w:color w:val="auto"/>
                <w:sz w:val="21"/>
                <w:szCs w:val="21"/>
              </w:rPr>
            </w:pPr>
            <w:r>
              <w:rPr>
                <w:color w:val="auto"/>
                <w:sz w:val="21"/>
                <w:szCs w:val="21"/>
              </w:rPr>
              <w:t>　</w:t>
            </w:r>
          </w:p>
        </w:tc>
        <w:tc>
          <w:tcPr>
            <w:tcW w:w="1360" w:type="dxa"/>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13.29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rFonts w:eastAsia="仿宋_GB2312"/>
                <w:color w:val="auto"/>
                <w:sz w:val="21"/>
                <w:szCs w:val="21"/>
              </w:rPr>
              <w:t>第五部分</w:t>
            </w:r>
            <w:r>
              <w:rPr>
                <w:color w:val="auto"/>
                <w:sz w:val="21"/>
                <w:szCs w:val="21"/>
              </w:rPr>
              <w:t xml:space="preserve"> </w:t>
            </w:r>
          </w:p>
        </w:tc>
        <w:tc>
          <w:tcPr>
            <w:tcW w:w="2424" w:type="dxa"/>
            <w:tcBorders>
              <w:tl2br w:val="nil"/>
              <w:tr2bl w:val="nil"/>
            </w:tcBorders>
            <w:vAlign w:val="center"/>
          </w:tcPr>
          <w:p>
            <w:pPr>
              <w:jc w:val="center"/>
              <w:rPr>
                <w:color w:val="auto"/>
                <w:sz w:val="21"/>
                <w:szCs w:val="21"/>
              </w:rPr>
            </w:pPr>
            <w:r>
              <w:rPr>
                <w:rFonts w:eastAsia="仿宋_GB2312"/>
                <w:color w:val="auto"/>
                <w:sz w:val="21"/>
                <w:szCs w:val="21"/>
              </w:rPr>
              <w:t>基本预备费</w:t>
            </w:r>
          </w:p>
        </w:tc>
        <w:tc>
          <w:tcPr>
            <w:tcW w:w="1341" w:type="dxa"/>
            <w:tcBorders>
              <w:tl2br w:val="nil"/>
              <w:tr2bl w:val="nil"/>
            </w:tcBorders>
            <w:vAlign w:val="center"/>
          </w:tcPr>
          <w:p>
            <w:pPr>
              <w:jc w:val="center"/>
              <w:rPr>
                <w:color w:val="auto"/>
                <w:sz w:val="21"/>
                <w:szCs w:val="21"/>
              </w:rPr>
            </w:pPr>
            <w:r>
              <w:rPr>
                <w:color w:val="auto"/>
                <w:sz w:val="21"/>
                <w:szCs w:val="21"/>
              </w:rPr>
              <w:t>　</w:t>
            </w:r>
          </w:p>
        </w:tc>
        <w:tc>
          <w:tcPr>
            <w:tcW w:w="1417" w:type="dxa"/>
            <w:tcBorders>
              <w:tl2br w:val="nil"/>
              <w:tr2bl w:val="nil"/>
            </w:tcBorders>
            <w:vAlign w:val="center"/>
          </w:tcPr>
          <w:p>
            <w:pPr>
              <w:jc w:val="center"/>
              <w:rPr>
                <w:color w:val="auto"/>
                <w:sz w:val="21"/>
                <w:szCs w:val="21"/>
              </w:rPr>
            </w:pPr>
            <w:r>
              <w:rPr>
                <w:color w:val="auto"/>
                <w:sz w:val="21"/>
                <w:szCs w:val="21"/>
              </w:rPr>
              <w:t>　</w:t>
            </w:r>
          </w:p>
        </w:tc>
        <w:tc>
          <w:tcPr>
            <w:tcW w:w="1134" w:type="dxa"/>
            <w:tcBorders>
              <w:tl2br w:val="nil"/>
              <w:tr2bl w:val="nil"/>
            </w:tcBorders>
            <w:vAlign w:val="center"/>
          </w:tcPr>
          <w:p>
            <w:pPr>
              <w:jc w:val="center"/>
              <w:rPr>
                <w:color w:val="auto"/>
                <w:sz w:val="21"/>
                <w:szCs w:val="21"/>
              </w:rPr>
            </w:pPr>
            <w:r>
              <w:rPr>
                <w:color w:val="auto"/>
                <w:sz w:val="21"/>
                <w:szCs w:val="21"/>
              </w:rPr>
              <w:t>　</w:t>
            </w:r>
          </w:p>
        </w:tc>
        <w:tc>
          <w:tcPr>
            <w:tcW w:w="1360" w:type="dxa"/>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auto"/>
                <w:sz w:val="21"/>
                <w:szCs w:val="21"/>
              </w:rPr>
            </w:pPr>
            <w:r>
              <w:rPr>
                <w:rFonts w:eastAsia="仿宋_GB2312"/>
                <w:color w:val="auto"/>
                <w:sz w:val="21"/>
                <w:szCs w:val="21"/>
              </w:rPr>
              <w:t>第六部分</w:t>
            </w:r>
            <w:r>
              <w:rPr>
                <w:color w:val="auto"/>
                <w:sz w:val="21"/>
                <w:szCs w:val="21"/>
              </w:rPr>
              <w:t xml:space="preserve"> </w:t>
            </w:r>
          </w:p>
        </w:tc>
        <w:tc>
          <w:tcPr>
            <w:tcW w:w="2424" w:type="dxa"/>
            <w:tcBorders>
              <w:tl2br w:val="nil"/>
              <w:tr2bl w:val="nil"/>
            </w:tcBorders>
            <w:vAlign w:val="center"/>
          </w:tcPr>
          <w:p>
            <w:pPr>
              <w:jc w:val="center"/>
              <w:rPr>
                <w:color w:val="auto"/>
                <w:sz w:val="21"/>
                <w:szCs w:val="21"/>
              </w:rPr>
            </w:pPr>
            <w:r>
              <w:rPr>
                <w:rFonts w:eastAsia="仿宋_GB2312"/>
                <w:color w:val="auto"/>
                <w:sz w:val="21"/>
                <w:szCs w:val="21"/>
              </w:rPr>
              <w:t>水土保持补偿费</w:t>
            </w:r>
          </w:p>
        </w:tc>
        <w:tc>
          <w:tcPr>
            <w:tcW w:w="1341" w:type="dxa"/>
            <w:tcBorders>
              <w:tl2br w:val="nil"/>
              <w:tr2bl w:val="nil"/>
            </w:tcBorders>
            <w:vAlign w:val="center"/>
          </w:tcPr>
          <w:p>
            <w:pPr>
              <w:jc w:val="center"/>
              <w:rPr>
                <w:color w:val="auto"/>
                <w:sz w:val="21"/>
                <w:szCs w:val="21"/>
              </w:rPr>
            </w:pPr>
            <w:r>
              <w:rPr>
                <w:color w:val="auto"/>
                <w:sz w:val="21"/>
                <w:szCs w:val="21"/>
              </w:rPr>
              <w:t>　</w:t>
            </w:r>
          </w:p>
        </w:tc>
        <w:tc>
          <w:tcPr>
            <w:tcW w:w="1417" w:type="dxa"/>
            <w:tcBorders>
              <w:tl2br w:val="nil"/>
              <w:tr2bl w:val="nil"/>
            </w:tcBorders>
            <w:vAlign w:val="center"/>
          </w:tcPr>
          <w:p>
            <w:pPr>
              <w:jc w:val="center"/>
              <w:rPr>
                <w:color w:val="auto"/>
                <w:sz w:val="21"/>
                <w:szCs w:val="21"/>
              </w:rPr>
            </w:pPr>
            <w:r>
              <w:rPr>
                <w:color w:val="auto"/>
                <w:sz w:val="21"/>
                <w:szCs w:val="21"/>
              </w:rPr>
              <w:t>　</w:t>
            </w:r>
          </w:p>
        </w:tc>
        <w:tc>
          <w:tcPr>
            <w:tcW w:w="1134" w:type="dxa"/>
            <w:tcBorders>
              <w:tl2br w:val="nil"/>
              <w:tr2bl w:val="nil"/>
            </w:tcBorders>
            <w:vAlign w:val="center"/>
          </w:tcPr>
          <w:p>
            <w:pPr>
              <w:jc w:val="center"/>
              <w:rPr>
                <w:color w:val="auto"/>
                <w:sz w:val="21"/>
                <w:szCs w:val="21"/>
              </w:rPr>
            </w:pPr>
          </w:p>
        </w:tc>
        <w:tc>
          <w:tcPr>
            <w:tcW w:w="1360" w:type="dxa"/>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0.30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36" w:type="dxa"/>
            <w:gridSpan w:val="2"/>
            <w:tcBorders>
              <w:tl2br w:val="nil"/>
              <w:tr2bl w:val="nil"/>
            </w:tcBorders>
            <w:vAlign w:val="center"/>
          </w:tcPr>
          <w:p>
            <w:pPr>
              <w:widowControl/>
              <w:jc w:val="center"/>
              <w:rPr>
                <w:color w:val="auto"/>
                <w:sz w:val="21"/>
                <w:szCs w:val="21"/>
              </w:rPr>
            </w:pPr>
            <w:r>
              <w:rPr>
                <w:rFonts w:eastAsia="仿宋_GB2312"/>
                <w:color w:val="auto"/>
                <w:sz w:val="21"/>
                <w:szCs w:val="21"/>
              </w:rPr>
              <w:t>工程总投资</w:t>
            </w:r>
          </w:p>
        </w:tc>
        <w:tc>
          <w:tcPr>
            <w:tcW w:w="1341" w:type="dxa"/>
            <w:tcBorders>
              <w:tl2br w:val="nil"/>
              <w:tr2bl w:val="nil"/>
            </w:tcBorders>
            <w:vAlign w:val="center"/>
          </w:tcPr>
          <w:p>
            <w:pPr>
              <w:widowControl/>
              <w:jc w:val="center"/>
              <w:rPr>
                <w:color w:val="auto"/>
                <w:sz w:val="21"/>
                <w:szCs w:val="21"/>
              </w:rPr>
            </w:pPr>
          </w:p>
        </w:tc>
        <w:tc>
          <w:tcPr>
            <w:tcW w:w="1417" w:type="dxa"/>
            <w:tcBorders>
              <w:tl2br w:val="nil"/>
              <w:tr2bl w:val="nil"/>
            </w:tcBorders>
            <w:vAlign w:val="center"/>
          </w:tcPr>
          <w:p>
            <w:pPr>
              <w:widowControl/>
              <w:jc w:val="center"/>
              <w:rPr>
                <w:color w:val="auto"/>
                <w:sz w:val="21"/>
                <w:szCs w:val="21"/>
              </w:rPr>
            </w:pPr>
          </w:p>
        </w:tc>
        <w:tc>
          <w:tcPr>
            <w:tcW w:w="1134" w:type="dxa"/>
            <w:tcBorders>
              <w:tl2br w:val="nil"/>
              <w:tr2bl w:val="nil"/>
            </w:tcBorders>
            <w:vAlign w:val="center"/>
          </w:tcPr>
          <w:p>
            <w:pPr>
              <w:widowControl/>
              <w:jc w:val="center"/>
              <w:rPr>
                <w:color w:val="auto"/>
                <w:sz w:val="21"/>
                <w:szCs w:val="21"/>
              </w:rPr>
            </w:pPr>
          </w:p>
        </w:tc>
        <w:tc>
          <w:tcPr>
            <w:tcW w:w="1360" w:type="dxa"/>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14.39</w:t>
            </w:r>
          </w:p>
        </w:tc>
      </w:tr>
    </w:tbl>
    <w:p>
      <w:pPr>
        <w:spacing w:beforeLines="50" w:line="240" w:lineRule="auto"/>
        <w:jc w:val="center"/>
        <w:rPr>
          <w:rFonts w:eastAsia="仿宋_GB2312"/>
          <w:b/>
          <w:bCs/>
          <w:color w:val="auto"/>
          <w:szCs w:val="24"/>
        </w:rPr>
      </w:pPr>
    </w:p>
    <w:p>
      <w:pPr>
        <w:spacing w:beforeLines="50" w:line="240" w:lineRule="auto"/>
        <w:jc w:val="center"/>
        <w:rPr>
          <w:rFonts w:eastAsia="仿宋_GB2312"/>
          <w:b/>
          <w:bCs/>
          <w:color w:val="auto"/>
          <w:szCs w:val="24"/>
        </w:rPr>
      </w:pPr>
      <w:r>
        <w:rPr>
          <w:rFonts w:eastAsia="仿宋_GB2312"/>
          <w:b/>
          <w:bCs/>
          <w:color w:val="auto"/>
          <w:szCs w:val="24"/>
        </w:rPr>
        <w:t>表7-</w:t>
      </w:r>
      <w:r>
        <w:rPr>
          <w:rFonts w:hint="eastAsia" w:eastAsia="仿宋_GB2312"/>
          <w:b/>
          <w:bCs/>
          <w:color w:val="auto"/>
          <w:szCs w:val="24"/>
          <w:lang w:val="en-US" w:eastAsia="zh-CN"/>
        </w:rPr>
        <w:t>2</w:t>
      </w:r>
      <w:r>
        <w:rPr>
          <w:rFonts w:eastAsia="仿宋_GB2312"/>
          <w:b/>
          <w:bCs/>
          <w:color w:val="auto"/>
          <w:szCs w:val="24"/>
        </w:rPr>
        <w:t xml:space="preserve">    水土保持</w:t>
      </w:r>
      <w:r>
        <w:rPr>
          <w:rFonts w:hint="eastAsia" w:eastAsia="仿宋_GB2312"/>
          <w:b/>
          <w:bCs/>
          <w:color w:val="auto"/>
          <w:szCs w:val="24"/>
          <w:lang w:val="en-US" w:eastAsia="zh-CN"/>
        </w:rPr>
        <w:t>分部</w:t>
      </w:r>
      <w:r>
        <w:rPr>
          <w:rFonts w:eastAsia="仿宋_GB2312"/>
          <w:b/>
          <w:bCs/>
          <w:color w:val="auto"/>
          <w:szCs w:val="24"/>
        </w:rPr>
        <w:t>投资估算表    单位：万元</w:t>
      </w:r>
    </w:p>
    <w:tbl>
      <w:tblPr>
        <w:tblStyle w:val="24"/>
        <w:tblW w:w="873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0"/>
        <w:gridCol w:w="2301"/>
        <w:gridCol w:w="1110"/>
        <w:gridCol w:w="1327"/>
        <w:gridCol w:w="1260"/>
        <w:gridCol w:w="13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序号</w:t>
            </w:r>
          </w:p>
        </w:tc>
        <w:tc>
          <w:tcPr>
            <w:tcW w:w="2301"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项目</w:t>
            </w:r>
          </w:p>
        </w:tc>
        <w:tc>
          <w:tcPr>
            <w:tcW w:w="1110"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单位</w:t>
            </w:r>
          </w:p>
        </w:tc>
        <w:tc>
          <w:tcPr>
            <w:tcW w:w="1327"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数量</w:t>
            </w:r>
          </w:p>
        </w:tc>
        <w:tc>
          <w:tcPr>
            <w:tcW w:w="1260"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单价（元）</w:t>
            </w:r>
          </w:p>
        </w:tc>
        <w:tc>
          <w:tcPr>
            <w:tcW w:w="1354"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合计（</w:t>
            </w:r>
            <w:r>
              <w:rPr>
                <w:rFonts w:hint="eastAsia" w:eastAsia="仿宋_GB2312"/>
                <w:bCs/>
                <w:color w:val="auto"/>
                <w:sz w:val="21"/>
                <w:szCs w:val="21"/>
                <w:lang w:val="en-US" w:eastAsia="zh-CN"/>
              </w:rPr>
              <w:t>万</w:t>
            </w:r>
            <w:r>
              <w:rPr>
                <w:rFonts w:eastAsia="仿宋_GB2312"/>
                <w:bCs/>
                <w:color w:val="auto"/>
                <w:sz w:val="21"/>
                <w:szCs w:val="21"/>
              </w:rPr>
              <w:t>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widowControl/>
              <w:jc w:val="center"/>
              <w:rPr>
                <w:rFonts w:hint="eastAsia" w:eastAsia="仿宋_GB2312"/>
                <w:bCs/>
                <w:color w:val="auto"/>
                <w:sz w:val="21"/>
                <w:szCs w:val="21"/>
                <w:lang w:val="en-US" w:eastAsia="zh-CN"/>
              </w:rPr>
            </w:pPr>
            <w:r>
              <w:rPr>
                <w:rFonts w:hint="eastAsia" w:eastAsia="仿宋_GB2312"/>
                <w:bCs/>
                <w:color w:val="auto"/>
                <w:sz w:val="21"/>
                <w:szCs w:val="21"/>
                <w:lang w:val="en-US" w:eastAsia="zh-CN"/>
              </w:rPr>
              <w:t>第一部分</w:t>
            </w:r>
          </w:p>
        </w:tc>
        <w:tc>
          <w:tcPr>
            <w:tcW w:w="2301" w:type="dxa"/>
            <w:tcBorders>
              <w:tl2br w:val="nil"/>
              <w:tr2bl w:val="nil"/>
            </w:tcBorders>
            <w:vAlign w:val="center"/>
          </w:tcPr>
          <w:p>
            <w:pPr>
              <w:widowControl/>
              <w:jc w:val="center"/>
              <w:rPr>
                <w:rFonts w:eastAsia="仿宋_GB2312"/>
                <w:bCs/>
                <w:color w:val="auto"/>
                <w:sz w:val="21"/>
                <w:szCs w:val="21"/>
              </w:rPr>
            </w:pPr>
            <w:r>
              <w:rPr>
                <w:rFonts w:eastAsia="仿宋_GB2312"/>
                <w:color w:val="auto"/>
                <w:sz w:val="21"/>
                <w:szCs w:val="21"/>
              </w:rPr>
              <w:t>工程措施</w:t>
            </w:r>
          </w:p>
        </w:tc>
        <w:tc>
          <w:tcPr>
            <w:tcW w:w="1110" w:type="dxa"/>
            <w:tcBorders>
              <w:tl2br w:val="nil"/>
              <w:tr2bl w:val="nil"/>
            </w:tcBorders>
            <w:vAlign w:val="center"/>
          </w:tcPr>
          <w:p>
            <w:pPr>
              <w:widowControl/>
              <w:jc w:val="center"/>
              <w:rPr>
                <w:rFonts w:hint="default" w:eastAsia="仿宋_GB2312"/>
                <w:bCs/>
                <w:color w:val="auto"/>
                <w:sz w:val="21"/>
                <w:szCs w:val="21"/>
                <w:lang w:val="en-US" w:eastAsia="zh-CN"/>
              </w:rPr>
            </w:pPr>
            <w:r>
              <w:rPr>
                <w:rFonts w:hint="eastAsia" w:eastAsia="仿宋_GB2312"/>
                <w:bCs/>
                <w:color w:val="auto"/>
                <w:sz w:val="21"/>
                <w:szCs w:val="21"/>
                <w:lang w:val="en-US" w:eastAsia="zh-CN"/>
              </w:rPr>
              <w:t>--</w:t>
            </w:r>
          </w:p>
        </w:tc>
        <w:tc>
          <w:tcPr>
            <w:tcW w:w="1327"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c>
          <w:tcPr>
            <w:tcW w:w="1260"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c>
          <w:tcPr>
            <w:tcW w:w="1354"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widowControl/>
              <w:jc w:val="center"/>
              <w:rPr>
                <w:rFonts w:hint="default" w:eastAsia="仿宋_GB2312"/>
                <w:bCs/>
                <w:color w:val="auto"/>
                <w:sz w:val="21"/>
                <w:szCs w:val="21"/>
                <w:lang w:val="en-US" w:eastAsia="zh-CN"/>
              </w:rPr>
            </w:pPr>
            <w:r>
              <w:rPr>
                <w:rFonts w:hint="eastAsia" w:eastAsia="仿宋_GB2312"/>
                <w:bCs/>
                <w:color w:val="auto"/>
                <w:sz w:val="21"/>
                <w:szCs w:val="21"/>
                <w:lang w:val="en-US" w:eastAsia="zh-CN"/>
              </w:rPr>
              <w:t>1</w:t>
            </w:r>
          </w:p>
        </w:tc>
        <w:tc>
          <w:tcPr>
            <w:tcW w:w="2301" w:type="dxa"/>
            <w:tcBorders>
              <w:tl2br w:val="nil"/>
              <w:tr2bl w:val="nil"/>
            </w:tcBorders>
            <w:vAlign w:val="center"/>
          </w:tcPr>
          <w:p>
            <w:pPr>
              <w:widowControl/>
              <w:jc w:val="center"/>
              <w:rPr>
                <w:rFonts w:hint="default" w:eastAsia="仿宋_GB2312"/>
                <w:color w:val="auto"/>
                <w:sz w:val="21"/>
                <w:szCs w:val="21"/>
                <w:lang w:val="en-US" w:eastAsia="zh-CN"/>
              </w:rPr>
            </w:pPr>
            <w:r>
              <w:rPr>
                <w:rFonts w:hint="eastAsia" w:eastAsia="仿宋_GB2312"/>
                <w:color w:val="auto"/>
                <w:sz w:val="21"/>
                <w:szCs w:val="21"/>
                <w:lang w:val="en-US" w:eastAsia="zh-CN"/>
              </w:rPr>
              <w:t>工程建设区</w:t>
            </w:r>
          </w:p>
        </w:tc>
        <w:tc>
          <w:tcPr>
            <w:tcW w:w="1110"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c>
          <w:tcPr>
            <w:tcW w:w="1327"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c>
          <w:tcPr>
            <w:tcW w:w="1260"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c>
          <w:tcPr>
            <w:tcW w:w="1354"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widowControl/>
              <w:jc w:val="center"/>
              <w:rPr>
                <w:rFonts w:hint="eastAsia" w:eastAsia="仿宋_GB2312"/>
                <w:bCs/>
                <w:color w:val="auto"/>
                <w:sz w:val="21"/>
                <w:szCs w:val="21"/>
                <w:lang w:val="en-US" w:eastAsia="zh-CN"/>
              </w:rPr>
            </w:pPr>
            <w:r>
              <w:rPr>
                <w:rFonts w:hint="eastAsia" w:eastAsia="仿宋_GB2312"/>
                <w:bCs/>
                <w:color w:val="auto"/>
                <w:sz w:val="21"/>
                <w:szCs w:val="21"/>
                <w:lang w:val="en-US" w:eastAsia="zh-CN"/>
              </w:rPr>
              <w:t>第二部分</w:t>
            </w:r>
          </w:p>
        </w:tc>
        <w:tc>
          <w:tcPr>
            <w:tcW w:w="2301" w:type="dxa"/>
            <w:tcBorders>
              <w:tl2br w:val="nil"/>
              <w:tr2bl w:val="nil"/>
            </w:tcBorders>
            <w:vAlign w:val="center"/>
          </w:tcPr>
          <w:p>
            <w:pPr>
              <w:widowControl/>
              <w:jc w:val="center"/>
              <w:rPr>
                <w:rFonts w:hint="default" w:eastAsia="仿宋_GB2312"/>
                <w:bCs/>
                <w:color w:val="auto"/>
                <w:sz w:val="21"/>
                <w:szCs w:val="21"/>
                <w:lang w:val="en-US" w:eastAsia="zh-CN"/>
              </w:rPr>
            </w:pPr>
            <w:r>
              <w:rPr>
                <w:rFonts w:hint="eastAsia" w:eastAsia="仿宋_GB2312"/>
                <w:bCs/>
                <w:color w:val="auto"/>
                <w:sz w:val="21"/>
                <w:szCs w:val="21"/>
                <w:lang w:val="en-US" w:eastAsia="zh-CN"/>
              </w:rPr>
              <w:t>植物措施</w:t>
            </w:r>
          </w:p>
        </w:tc>
        <w:tc>
          <w:tcPr>
            <w:tcW w:w="1110"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c>
          <w:tcPr>
            <w:tcW w:w="1327"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c>
          <w:tcPr>
            <w:tcW w:w="1260"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c>
          <w:tcPr>
            <w:tcW w:w="1354"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widowControl/>
              <w:jc w:val="center"/>
              <w:rPr>
                <w:rFonts w:hint="default" w:eastAsia="仿宋_GB2312"/>
                <w:bCs/>
                <w:color w:val="auto"/>
                <w:sz w:val="21"/>
                <w:szCs w:val="21"/>
                <w:lang w:val="en-US" w:eastAsia="zh-CN"/>
              </w:rPr>
            </w:pPr>
            <w:r>
              <w:rPr>
                <w:rFonts w:hint="eastAsia" w:eastAsia="仿宋_GB2312"/>
                <w:bCs/>
                <w:color w:val="auto"/>
                <w:sz w:val="21"/>
                <w:szCs w:val="21"/>
                <w:lang w:val="en-US" w:eastAsia="zh-CN"/>
              </w:rPr>
              <w:t>1</w:t>
            </w:r>
          </w:p>
        </w:tc>
        <w:tc>
          <w:tcPr>
            <w:tcW w:w="2301" w:type="dxa"/>
            <w:tcBorders>
              <w:tl2br w:val="nil"/>
              <w:tr2bl w:val="nil"/>
            </w:tcBorders>
            <w:vAlign w:val="center"/>
          </w:tcPr>
          <w:p>
            <w:pPr>
              <w:widowControl/>
              <w:jc w:val="center"/>
              <w:rPr>
                <w:rFonts w:eastAsia="仿宋_GB2312"/>
                <w:bCs/>
                <w:color w:val="auto"/>
                <w:sz w:val="21"/>
                <w:szCs w:val="21"/>
              </w:rPr>
            </w:pPr>
            <w:r>
              <w:rPr>
                <w:rFonts w:hint="eastAsia" w:eastAsia="仿宋_GB2312"/>
                <w:color w:val="auto"/>
                <w:sz w:val="21"/>
                <w:szCs w:val="21"/>
                <w:lang w:val="en-US" w:eastAsia="zh-CN"/>
              </w:rPr>
              <w:t>工程建设区</w:t>
            </w:r>
          </w:p>
        </w:tc>
        <w:tc>
          <w:tcPr>
            <w:tcW w:w="1110"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c>
          <w:tcPr>
            <w:tcW w:w="1327"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c>
          <w:tcPr>
            <w:tcW w:w="1260"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c>
          <w:tcPr>
            <w:tcW w:w="1354" w:type="dxa"/>
            <w:tcBorders>
              <w:tl2br w:val="nil"/>
              <w:tr2bl w:val="nil"/>
            </w:tcBorders>
            <w:vAlign w:val="center"/>
          </w:tcPr>
          <w:p>
            <w:pPr>
              <w:widowControl/>
              <w:jc w:val="center"/>
              <w:rPr>
                <w:rFonts w:eastAsia="仿宋_GB2312"/>
                <w:bCs/>
                <w:color w:val="auto"/>
                <w:sz w:val="21"/>
                <w:szCs w:val="21"/>
              </w:rPr>
            </w:pPr>
            <w:r>
              <w:rPr>
                <w:rFonts w:hint="eastAsia" w:eastAsia="仿宋_GB2312"/>
                <w:bCs/>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jc w:val="center"/>
              <w:rPr>
                <w:bCs/>
                <w:color w:val="auto"/>
                <w:sz w:val="21"/>
                <w:szCs w:val="21"/>
              </w:rPr>
            </w:pPr>
            <w:r>
              <w:rPr>
                <w:rFonts w:eastAsia="仿宋_GB2312"/>
                <w:bCs/>
                <w:color w:val="auto"/>
                <w:sz w:val="21"/>
                <w:szCs w:val="21"/>
              </w:rPr>
              <w:t>第三部分</w:t>
            </w:r>
          </w:p>
        </w:tc>
        <w:tc>
          <w:tcPr>
            <w:tcW w:w="2301" w:type="dxa"/>
            <w:tcBorders>
              <w:tl2br w:val="nil"/>
              <w:tr2bl w:val="nil"/>
            </w:tcBorders>
            <w:vAlign w:val="center"/>
          </w:tcPr>
          <w:p>
            <w:pPr>
              <w:jc w:val="center"/>
              <w:rPr>
                <w:bCs/>
                <w:color w:val="auto"/>
                <w:sz w:val="21"/>
                <w:szCs w:val="21"/>
              </w:rPr>
            </w:pPr>
            <w:r>
              <w:rPr>
                <w:rFonts w:eastAsia="仿宋_GB2312"/>
                <w:bCs/>
                <w:color w:val="auto"/>
                <w:sz w:val="21"/>
                <w:szCs w:val="21"/>
              </w:rPr>
              <w:t>临时措施</w:t>
            </w:r>
          </w:p>
        </w:tc>
        <w:tc>
          <w:tcPr>
            <w:tcW w:w="1110" w:type="dxa"/>
            <w:tcBorders>
              <w:tl2br w:val="nil"/>
              <w:tr2bl w:val="nil"/>
            </w:tcBorders>
            <w:vAlign w:val="center"/>
          </w:tcPr>
          <w:p>
            <w:pPr>
              <w:jc w:val="center"/>
              <w:rPr>
                <w:bCs/>
                <w:color w:val="auto"/>
                <w:sz w:val="21"/>
                <w:szCs w:val="21"/>
              </w:rPr>
            </w:pPr>
            <w:r>
              <w:rPr>
                <w:bCs/>
                <w:color w:val="auto"/>
                <w:sz w:val="21"/>
                <w:szCs w:val="21"/>
              </w:rPr>
              <w:t>　</w:t>
            </w:r>
          </w:p>
        </w:tc>
        <w:tc>
          <w:tcPr>
            <w:tcW w:w="1327" w:type="dxa"/>
            <w:tcBorders>
              <w:tl2br w:val="nil"/>
              <w:tr2bl w:val="nil"/>
            </w:tcBorders>
            <w:vAlign w:val="center"/>
          </w:tcPr>
          <w:p>
            <w:pPr>
              <w:pStyle w:val="71"/>
              <w:rPr>
                <w:rFonts w:ascii="Times New Roman" w:hAnsi="Times New Roman"/>
                <w:bCs/>
                <w:color w:val="auto"/>
              </w:rPr>
            </w:pPr>
          </w:p>
        </w:tc>
        <w:tc>
          <w:tcPr>
            <w:tcW w:w="1260" w:type="dxa"/>
            <w:tcBorders>
              <w:tl2br w:val="nil"/>
              <w:tr2bl w:val="nil"/>
            </w:tcBorders>
            <w:vAlign w:val="center"/>
          </w:tcPr>
          <w:p>
            <w:pPr>
              <w:pStyle w:val="71"/>
              <w:rPr>
                <w:rFonts w:ascii="Times New Roman" w:hAnsi="Times New Roman"/>
                <w:bCs/>
                <w:color w:val="auto"/>
              </w:rPr>
            </w:pPr>
          </w:p>
        </w:tc>
        <w:tc>
          <w:tcPr>
            <w:tcW w:w="1354" w:type="dxa"/>
            <w:tcBorders>
              <w:tl2br w:val="nil"/>
              <w:tr2bl w:val="nil"/>
            </w:tcBorders>
            <w:vAlign w:val="center"/>
          </w:tcPr>
          <w:p>
            <w:pPr>
              <w:pStyle w:val="71"/>
              <w:rPr>
                <w:rFonts w:hint="default" w:ascii="Times New Roman" w:hAnsi="Times New Roman" w:eastAsia="宋体"/>
                <w:bCs/>
                <w:color w:val="auto"/>
                <w:lang w:val="en-US" w:eastAsia="zh-CN"/>
              </w:rPr>
            </w:pPr>
            <w:r>
              <w:rPr>
                <w:rFonts w:hint="eastAsia" w:ascii="Times New Roman" w:hAnsi="Times New Roman"/>
                <w:bCs/>
                <w:color w:val="auto"/>
                <w:lang w:val="en-US" w:eastAsia="zh-CN"/>
              </w:rPr>
              <w:t>0.29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jc w:val="center"/>
              <w:rPr>
                <w:bCs/>
                <w:color w:val="auto"/>
                <w:sz w:val="21"/>
                <w:szCs w:val="21"/>
              </w:rPr>
            </w:pPr>
            <w:r>
              <w:rPr>
                <w:bCs/>
                <w:color w:val="auto"/>
                <w:sz w:val="21"/>
                <w:szCs w:val="21"/>
              </w:rPr>
              <w:t>1</w:t>
            </w:r>
          </w:p>
        </w:tc>
        <w:tc>
          <w:tcPr>
            <w:tcW w:w="2301" w:type="dxa"/>
            <w:tcBorders>
              <w:tl2br w:val="nil"/>
              <w:tr2bl w:val="nil"/>
            </w:tcBorders>
            <w:vAlign w:val="center"/>
          </w:tcPr>
          <w:p>
            <w:pPr>
              <w:spacing w:line="240" w:lineRule="auto"/>
              <w:jc w:val="center"/>
              <w:rPr>
                <w:bCs/>
                <w:color w:val="auto"/>
                <w:sz w:val="21"/>
                <w:szCs w:val="21"/>
              </w:rPr>
            </w:pPr>
            <w:r>
              <w:rPr>
                <w:rFonts w:eastAsia="仿宋_GB2312"/>
                <w:bCs/>
                <w:color w:val="auto"/>
                <w:sz w:val="21"/>
                <w:szCs w:val="21"/>
              </w:rPr>
              <w:t>密目网苫盖</w:t>
            </w:r>
          </w:p>
        </w:tc>
        <w:tc>
          <w:tcPr>
            <w:tcW w:w="1110" w:type="dxa"/>
            <w:tcBorders>
              <w:tl2br w:val="nil"/>
              <w:tr2bl w:val="nil"/>
            </w:tcBorders>
            <w:vAlign w:val="center"/>
          </w:tcPr>
          <w:p>
            <w:pPr>
              <w:widowControl/>
              <w:jc w:val="center"/>
              <w:rPr>
                <w:bCs/>
                <w:color w:val="auto"/>
                <w:sz w:val="21"/>
                <w:szCs w:val="21"/>
              </w:rPr>
            </w:pPr>
            <w:r>
              <w:rPr>
                <w:rFonts w:hint="default" w:ascii="Times New Roman" w:hAnsi="Times New Roman" w:eastAsia="仿宋_GB2312" w:cs="Times New Roman"/>
                <w:color w:val="auto"/>
                <w:kern w:val="0"/>
                <w:sz w:val="21"/>
                <w:szCs w:val="21"/>
                <w:highlight w:val="none"/>
              </w:rPr>
              <w:t>m</w:t>
            </w:r>
            <w:r>
              <w:rPr>
                <w:rFonts w:hint="default" w:ascii="Times New Roman" w:hAnsi="Times New Roman" w:eastAsia="仿宋_GB2312" w:cs="Times New Roman"/>
                <w:color w:val="auto"/>
                <w:kern w:val="0"/>
                <w:sz w:val="21"/>
                <w:szCs w:val="21"/>
                <w:highlight w:val="none"/>
                <w:vertAlign w:val="superscript"/>
              </w:rPr>
              <w:t>2</w:t>
            </w:r>
          </w:p>
        </w:tc>
        <w:tc>
          <w:tcPr>
            <w:tcW w:w="1327" w:type="dxa"/>
            <w:tcBorders>
              <w:tl2br w:val="nil"/>
              <w:tr2bl w:val="nil"/>
            </w:tcBorders>
            <w:vAlign w:val="center"/>
          </w:tcPr>
          <w:p>
            <w:pPr>
              <w:widowControl/>
              <w:jc w:val="center"/>
              <w:rPr>
                <w:rFonts w:eastAsia="仿宋_GB2312"/>
                <w:bCs/>
                <w:color w:val="auto"/>
                <w:sz w:val="21"/>
                <w:szCs w:val="21"/>
              </w:rPr>
            </w:pPr>
            <w:r>
              <w:rPr>
                <w:rFonts w:hint="eastAsia" w:eastAsia="仿宋_GB2312" w:cs="Times New Roman"/>
                <w:color w:val="auto"/>
                <w:kern w:val="0"/>
                <w:sz w:val="21"/>
                <w:szCs w:val="21"/>
                <w:highlight w:val="none"/>
                <w:lang w:val="en-US" w:eastAsia="zh-CN"/>
              </w:rPr>
              <w:t>3</w:t>
            </w:r>
            <w:r>
              <w:rPr>
                <w:rFonts w:hint="default" w:ascii="Times New Roman" w:hAnsi="Times New Roman" w:eastAsia="仿宋_GB2312" w:cs="Times New Roman"/>
                <w:color w:val="auto"/>
                <w:kern w:val="0"/>
                <w:sz w:val="21"/>
                <w:szCs w:val="21"/>
                <w:highlight w:val="none"/>
                <w:lang w:val="en-US" w:eastAsia="zh-CN"/>
              </w:rPr>
              <w:t>00</w:t>
            </w:r>
          </w:p>
        </w:tc>
        <w:tc>
          <w:tcPr>
            <w:tcW w:w="1260" w:type="dxa"/>
            <w:tcBorders>
              <w:tl2br w:val="nil"/>
              <w:tr2bl w:val="nil"/>
            </w:tcBorders>
            <w:vAlign w:val="center"/>
          </w:tcPr>
          <w:p>
            <w:pPr>
              <w:widowControl/>
              <w:jc w:val="center"/>
              <w:rPr>
                <w:bCs/>
                <w:color w:val="auto"/>
                <w:sz w:val="21"/>
                <w:szCs w:val="21"/>
              </w:rPr>
            </w:pPr>
            <w:r>
              <w:rPr>
                <w:rFonts w:hint="default" w:ascii="Times New Roman" w:hAnsi="Times New Roman" w:eastAsia="仿宋_GB2312" w:cs="Times New Roman"/>
                <w:color w:val="auto"/>
                <w:kern w:val="0"/>
                <w:sz w:val="21"/>
                <w:szCs w:val="21"/>
                <w:highlight w:val="none"/>
                <w:lang w:val="en-US" w:eastAsia="zh-CN"/>
              </w:rPr>
              <w:t>4.59</w:t>
            </w:r>
          </w:p>
        </w:tc>
        <w:tc>
          <w:tcPr>
            <w:tcW w:w="1354" w:type="dxa"/>
            <w:tcBorders>
              <w:tl2br w:val="nil"/>
              <w:tr2bl w:val="nil"/>
            </w:tcBorders>
            <w:vAlign w:val="center"/>
          </w:tcPr>
          <w:p>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0.14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jc w:val="center"/>
              <w:rPr>
                <w:rFonts w:hint="eastAsia" w:eastAsia="宋体"/>
                <w:bCs/>
                <w:color w:val="auto"/>
                <w:sz w:val="21"/>
                <w:szCs w:val="21"/>
                <w:lang w:val="en-US" w:eastAsia="zh-CN"/>
              </w:rPr>
            </w:pPr>
            <w:r>
              <w:rPr>
                <w:rFonts w:hint="eastAsia"/>
                <w:bCs/>
                <w:color w:val="auto"/>
                <w:sz w:val="21"/>
                <w:szCs w:val="21"/>
                <w:lang w:val="en-US" w:eastAsia="zh-CN"/>
              </w:rPr>
              <w:t>2</w:t>
            </w:r>
          </w:p>
        </w:tc>
        <w:tc>
          <w:tcPr>
            <w:tcW w:w="2301" w:type="dxa"/>
            <w:tcBorders>
              <w:tl2br w:val="nil"/>
              <w:tr2bl w:val="nil"/>
            </w:tcBorders>
            <w:vAlign w:val="center"/>
          </w:tcPr>
          <w:p>
            <w:pPr>
              <w:spacing w:line="240" w:lineRule="auto"/>
              <w:jc w:val="center"/>
              <w:rPr>
                <w:rFonts w:hint="eastAsia" w:eastAsia="仿宋_GB2312"/>
                <w:bCs/>
                <w:color w:val="auto"/>
                <w:sz w:val="21"/>
                <w:szCs w:val="21"/>
                <w:lang w:val="en-US" w:eastAsia="zh-CN"/>
              </w:rPr>
            </w:pPr>
            <w:r>
              <w:rPr>
                <w:rFonts w:hint="eastAsia" w:eastAsia="仿宋_GB2312"/>
                <w:bCs/>
                <w:color w:val="auto"/>
                <w:sz w:val="21"/>
                <w:szCs w:val="21"/>
                <w:lang w:val="en-US" w:eastAsia="zh-CN"/>
              </w:rPr>
              <w:t>泥浆池</w:t>
            </w:r>
          </w:p>
        </w:tc>
        <w:tc>
          <w:tcPr>
            <w:tcW w:w="1110" w:type="dxa"/>
            <w:tcBorders>
              <w:tl2br w:val="nil"/>
              <w:tr2bl w:val="nil"/>
            </w:tcBorders>
            <w:vAlign w:val="center"/>
          </w:tcPr>
          <w:p>
            <w:pPr>
              <w:widowControl/>
              <w:jc w:val="center"/>
              <w:rPr>
                <w:rFonts w:hint="eastAsia"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座</w:t>
            </w:r>
          </w:p>
        </w:tc>
        <w:tc>
          <w:tcPr>
            <w:tcW w:w="1327" w:type="dxa"/>
            <w:tcBorders>
              <w:tl2br w:val="nil"/>
              <w:tr2bl w:val="nil"/>
            </w:tcBorders>
            <w:vAlign w:val="center"/>
          </w:tcPr>
          <w:p>
            <w:pPr>
              <w:widowControl/>
              <w:jc w:val="center"/>
              <w:rPr>
                <w:rFonts w:hint="default"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1</w:t>
            </w:r>
          </w:p>
        </w:tc>
        <w:tc>
          <w:tcPr>
            <w:tcW w:w="1260" w:type="dxa"/>
            <w:tcBorders>
              <w:tl2br w:val="nil"/>
              <w:tr2bl w:val="nil"/>
            </w:tcBorders>
            <w:vAlign w:val="center"/>
          </w:tcPr>
          <w:p>
            <w:pPr>
              <w:widowControl/>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1500</w:t>
            </w:r>
          </w:p>
        </w:tc>
        <w:tc>
          <w:tcPr>
            <w:tcW w:w="1354" w:type="dxa"/>
            <w:tcBorders>
              <w:tl2br w:val="nil"/>
              <w:tr2bl w:val="nil"/>
            </w:tcBorders>
            <w:vAlign w:val="center"/>
          </w:tcPr>
          <w:p>
            <w:pPr>
              <w:spacing w:line="240" w:lineRule="auto"/>
              <w:jc w:val="center"/>
              <w:rPr>
                <w:rFonts w:hint="default"/>
                <w:bCs/>
                <w:color w:val="auto"/>
                <w:sz w:val="21"/>
                <w:szCs w:val="21"/>
                <w:lang w:val="en-US" w:eastAsia="zh-CN"/>
              </w:rPr>
            </w:pPr>
            <w:r>
              <w:rPr>
                <w:rFonts w:hint="eastAsia"/>
                <w:bCs/>
                <w:color w:val="auto"/>
                <w:sz w:val="21"/>
                <w:szCs w:val="21"/>
                <w:lang w:val="en-US" w:eastAsia="zh-CN"/>
              </w:rPr>
              <w:t>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jc w:val="center"/>
              <w:rPr>
                <w:rFonts w:hint="eastAsia" w:eastAsia="宋体"/>
                <w:bCs/>
                <w:color w:val="auto"/>
                <w:sz w:val="21"/>
                <w:szCs w:val="21"/>
                <w:lang w:eastAsia="zh-CN"/>
              </w:rPr>
            </w:pPr>
            <w:r>
              <w:rPr>
                <w:rFonts w:hint="eastAsia"/>
                <w:bCs/>
                <w:color w:val="auto"/>
                <w:sz w:val="21"/>
                <w:szCs w:val="21"/>
                <w:lang w:val="en-US" w:eastAsia="zh-CN"/>
              </w:rPr>
              <w:t>3</w:t>
            </w:r>
          </w:p>
        </w:tc>
        <w:tc>
          <w:tcPr>
            <w:tcW w:w="2301" w:type="dxa"/>
            <w:tcBorders>
              <w:tl2br w:val="nil"/>
              <w:tr2bl w:val="nil"/>
            </w:tcBorders>
            <w:vAlign w:val="center"/>
          </w:tcPr>
          <w:p>
            <w:pPr>
              <w:jc w:val="center"/>
              <w:rPr>
                <w:bCs/>
                <w:color w:val="auto"/>
                <w:sz w:val="21"/>
                <w:szCs w:val="21"/>
              </w:rPr>
            </w:pPr>
            <w:r>
              <w:rPr>
                <w:rFonts w:eastAsia="仿宋_GB2312"/>
                <w:bCs/>
                <w:color w:val="auto"/>
                <w:sz w:val="21"/>
                <w:szCs w:val="21"/>
              </w:rPr>
              <w:t>其他临时措施</w:t>
            </w:r>
          </w:p>
        </w:tc>
        <w:tc>
          <w:tcPr>
            <w:tcW w:w="1110" w:type="dxa"/>
            <w:tcBorders>
              <w:tl2br w:val="nil"/>
              <w:tr2bl w:val="nil"/>
            </w:tcBorders>
            <w:vAlign w:val="center"/>
          </w:tcPr>
          <w:p>
            <w:pPr>
              <w:jc w:val="center"/>
              <w:rPr>
                <w:bCs/>
                <w:color w:val="auto"/>
                <w:sz w:val="21"/>
                <w:szCs w:val="21"/>
              </w:rPr>
            </w:pPr>
            <w:r>
              <w:rPr>
                <w:bCs/>
                <w:color w:val="auto"/>
                <w:sz w:val="21"/>
                <w:szCs w:val="21"/>
              </w:rPr>
              <w:t>　</w:t>
            </w:r>
          </w:p>
        </w:tc>
        <w:tc>
          <w:tcPr>
            <w:tcW w:w="1327" w:type="dxa"/>
            <w:tcBorders>
              <w:tl2br w:val="nil"/>
              <w:tr2bl w:val="nil"/>
            </w:tcBorders>
            <w:vAlign w:val="center"/>
          </w:tcPr>
          <w:p>
            <w:pPr>
              <w:jc w:val="center"/>
              <w:rPr>
                <w:bCs/>
                <w:color w:val="auto"/>
                <w:sz w:val="21"/>
                <w:szCs w:val="21"/>
              </w:rPr>
            </w:pPr>
            <w:r>
              <w:rPr>
                <w:bCs/>
                <w:color w:val="auto"/>
                <w:sz w:val="21"/>
                <w:szCs w:val="21"/>
              </w:rPr>
              <w:t>　</w:t>
            </w:r>
          </w:p>
        </w:tc>
        <w:tc>
          <w:tcPr>
            <w:tcW w:w="1260" w:type="dxa"/>
            <w:tcBorders>
              <w:tl2br w:val="nil"/>
              <w:tr2bl w:val="nil"/>
            </w:tcBorders>
            <w:vAlign w:val="center"/>
          </w:tcPr>
          <w:p>
            <w:pPr>
              <w:spacing w:line="240" w:lineRule="auto"/>
              <w:jc w:val="center"/>
              <w:rPr>
                <w:bCs/>
                <w:color w:val="auto"/>
                <w:sz w:val="21"/>
                <w:szCs w:val="21"/>
              </w:rPr>
            </w:pPr>
            <w:r>
              <w:rPr>
                <w:bCs/>
                <w:color w:val="auto"/>
                <w:sz w:val="21"/>
                <w:szCs w:val="21"/>
              </w:rPr>
              <w:t>2%</w:t>
            </w:r>
          </w:p>
        </w:tc>
        <w:tc>
          <w:tcPr>
            <w:tcW w:w="1354" w:type="dxa"/>
            <w:tcBorders>
              <w:tl2br w:val="nil"/>
              <w:tr2bl w:val="nil"/>
            </w:tcBorders>
            <w:vAlign w:val="center"/>
          </w:tcPr>
          <w:p>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0.00</w:t>
            </w:r>
          </w:p>
        </w:tc>
      </w:tr>
    </w:tbl>
    <w:p>
      <w:pPr>
        <w:spacing w:beforeLines="50" w:line="240" w:lineRule="auto"/>
        <w:jc w:val="center"/>
        <w:rPr>
          <w:rFonts w:eastAsia="仿宋_GB2312"/>
          <w:b/>
          <w:bCs/>
          <w:color w:val="auto"/>
          <w:szCs w:val="24"/>
        </w:rPr>
      </w:pPr>
    </w:p>
    <w:p>
      <w:pPr>
        <w:spacing w:beforeLines="50" w:line="240" w:lineRule="auto"/>
        <w:jc w:val="center"/>
        <w:rPr>
          <w:rFonts w:eastAsia="仿宋_GB2312"/>
          <w:b/>
          <w:bCs/>
          <w:color w:val="auto"/>
          <w:szCs w:val="24"/>
        </w:rPr>
      </w:pPr>
      <w:r>
        <w:rPr>
          <w:rFonts w:eastAsia="仿宋_GB2312"/>
          <w:b/>
          <w:bCs/>
          <w:color w:val="auto"/>
          <w:szCs w:val="24"/>
        </w:rPr>
        <w:t>表7-</w:t>
      </w:r>
      <w:r>
        <w:rPr>
          <w:rFonts w:hint="eastAsia" w:eastAsia="仿宋_GB2312"/>
          <w:b/>
          <w:bCs/>
          <w:color w:val="auto"/>
          <w:szCs w:val="24"/>
          <w:lang w:val="en-US" w:eastAsia="zh-CN"/>
        </w:rPr>
        <w:t>3</w:t>
      </w:r>
      <w:r>
        <w:rPr>
          <w:rFonts w:eastAsia="仿宋_GB2312"/>
          <w:b/>
          <w:bCs/>
          <w:color w:val="auto"/>
          <w:szCs w:val="24"/>
        </w:rPr>
        <w:t xml:space="preserve">           独立费用计算表      单位：万元</w:t>
      </w:r>
    </w:p>
    <w:tbl>
      <w:tblPr>
        <w:tblStyle w:val="24"/>
        <w:tblW w:w="873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61"/>
        <w:gridCol w:w="1987"/>
        <w:gridCol w:w="3653"/>
        <w:gridCol w:w="18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序号</w:t>
            </w:r>
          </w:p>
        </w:tc>
        <w:tc>
          <w:tcPr>
            <w:tcW w:w="1987"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费用名称</w:t>
            </w:r>
          </w:p>
        </w:tc>
        <w:tc>
          <w:tcPr>
            <w:tcW w:w="3653"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编制依据及计算公式</w:t>
            </w:r>
          </w:p>
        </w:tc>
        <w:tc>
          <w:tcPr>
            <w:tcW w:w="1831"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金额（万元）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auto"/>
                <w:sz w:val="21"/>
                <w:szCs w:val="21"/>
              </w:rPr>
            </w:pPr>
            <w:r>
              <w:rPr>
                <w:rFonts w:eastAsia="仿宋_GB2312"/>
                <w:bCs/>
                <w:color w:val="auto"/>
                <w:sz w:val="21"/>
                <w:szCs w:val="21"/>
              </w:rPr>
              <w:t>第四部分</w:t>
            </w:r>
          </w:p>
        </w:tc>
        <w:tc>
          <w:tcPr>
            <w:tcW w:w="1987" w:type="dxa"/>
            <w:tcBorders>
              <w:tl2br w:val="nil"/>
              <w:tr2bl w:val="nil"/>
            </w:tcBorders>
            <w:vAlign w:val="center"/>
          </w:tcPr>
          <w:p>
            <w:pPr>
              <w:jc w:val="center"/>
              <w:rPr>
                <w:bCs/>
                <w:color w:val="auto"/>
                <w:sz w:val="21"/>
                <w:szCs w:val="21"/>
              </w:rPr>
            </w:pPr>
            <w:r>
              <w:rPr>
                <w:rFonts w:eastAsia="仿宋_GB2312"/>
                <w:bCs/>
                <w:color w:val="auto"/>
                <w:sz w:val="21"/>
                <w:szCs w:val="21"/>
              </w:rPr>
              <w:t>独立费用</w:t>
            </w:r>
          </w:p>
        </w:tc>
        <w:tc>
          <w:tcPr>
            <w:tcW w:w="3653" w:type="dxa"/>
            <w:tcBorders>
              <w:tl2br w:val="nil"/>
              <w:tr2bl w:val="nil"/>
            </w:tcBorders>
            <w:vAlign w:val="center"/>
          </w:tcPr>
          <w:p>
            <w:pPr>
              <w:jc w:val="center"/>
              <w:rPr>
                <w:bCs/>
                <w:color w:val="auto"/>
                <w:sz w:val="21"/>
                <w:szCs w:val="21"/>
              </w:rPr>
            </w:pPr>
          </w:p>
        </w:tc>
        <w:tc>
          <w:tcPr>
            <w:tcW w:w="1831" w:type="dxa"/>
            <w:tcBorders>
              <w:tl2br w:val="nil"/>
              <w:tr2bl w:val="nil"/>
            </w:tcBorders>
            <w:vAlign w:val="center"/>
          </w:tcPr>
          <w:p>
            <w:pPr>
              <w:jc w:val="center"/>
              <w:rPr>
                <w:rFonts w:hint="default" w:eastAsia="宋体"/>
                <w:bCs/>
                <w:color w:val="auto"/>
                <w:sz w:val="21"/>
                <w:szCs w:val="21"/>
                <w:lang w:val="en-US" w:eastAsia="zh-CN"/>
              </w:rPr>
            </w:pPr>
            <w:r>
              <w:rPr>
                <w:rFonts w:hint="eastAsia"/>
                <w:bCs/>
                <w:color w:val="auto"/>
                <w:sz w:val="21"/>
                <w:szCs w:val="21"/>
                <w:lang w:val="en-US" w:eastAsia="zh-CN"/>
              </w:rPr>
              <w:t>13.00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auto"/>
                <w:sz w:val="21"/>
                <w:szCs w:val="21"/>
              </w:rPr>
            </w:pPr>
            <w:r>
              <w:rPr>
                <w:bCs/>
                <w:color w:val="auto"/>
                <w:sz w:val="21"/>
                <w:szCs w:val="21"/>
              </w:rPr>
              <w:t>1</w:t>
            </w:r>
          </w:p>
        </w:tc>
        <w:tc>
          <w:tcPr>
            <w:tcW w:w="1987" w:type="dxa"/>
            <w:tcBorders>
              <w:tl2br w:val="nil"/>
              <w:tr2bl w:val="nil"/>
            </w:tcBorders>
            <w:vAlign w:val="center"/>
          </w:tcPr>
          <w:p>
            <w:pPr>
              <w:jc w:val="center"/>
              <w:rPr>
                <w:bCs/>
                <w:color w:val="auto"/>
                <w:sz w:val="21"/>
                <w:szCs w:val="21"/>
              </w:rPr>
            </w:pPr>
            <w:r>
              <w:rPr>
                <w:rFonts w:eastAsia="仿宋_GB2312"/>
                <w:bCs/>
                <w:color w:val="auto"/>
                <w:sz w:val="21"/>
                <w:szCs w:val="21"/>
              </w:rPr>
              <w:t>建设管理费</w:t>
            </w:r>
          </w:p>
        </w:tc>
        <w:tc>
          <w:tcPr>
            <w:tcW w:w="3653" w:type="dxa"/>
            <w:tcBorders>
              <w:tl2br w:val="nil"/>
              <w:tr2bl w:val="nil"/>
            </w:tcBorders>
            <w:vAlign w:val="center"/>
          </w:tcPr>
          <w:p>
            <w:pPr>
              <w:jc w:val="center"/>
              <w:rPr>
                <w:bCs/>
                <w:color w:val="auto"/>
                <w:sz w:val="21"/>
                <w:szCs w:val="21"/>
              </w:rPr>
            </w:pPr>
            <w:r>
              <w:rPr>
                <w:rFonts w:eastAsia="仿宋_GB2312"/>
                <w:bCs/>
                <w:color w:val="auto"/>
                <w:sz w:val="21"/>
                <w:szCs w:val="21"/>
              </w:rPr>
              <w:t>前三新增部分之和</w:t>
            </w:r>
            <w:r>
              <w:rPr>
                <w:bCs/>
                <w:color w:val="auto"/>
                <w:sz w:val="21"/>
                <w:szCs w:val="21"/>
              </w:rPr>
              <w:t>×2.0</w:t>
            </w:r>
            <w:r>
              <w:rPr>
                <w:rFonts w:eastAsia="仿宋_GB2312"/>
                <w:bCs/>
                <w:color w:val="auto"/>
                <w:sz w:val="21"/>
                <w:szCs w:val="21"/>
              </w:rPr>
              <w:t>％</w:t>
            </w:r>
          </w:p>
        </w:tc>
        <w:tc>
          <w:tcPr>
            <w:tcW w:w="1831" w:type="dxa"/>
            <w:tcBorders>
              <w:tl2br w:val="nil"/>
              <w:tr2bl w:val="nil"/>
            </w:tcBorders>
            <w:vAlign w:val="center"/>
          </w:tcPr>
          <w:p>
            <w:pPr>
              <w:jc w:val="center"/>
              <w:rPr>
                <w:rFonts w:hint="eastAsia" w:eastAsia="宋体"/>
                <w:bCs/>
                <w:color w:val="auto"/>
                <w:sz w:val="21"/>
                <w:szCs w:val="21"/>
                <w:lang w:val="en-US" w:eastAsia="zh-CN"/>
              </w:rPr>
            </w:pPr>
            <w:r>
              <w:rPr>
                <w:bCs/>
                <w:color w:val="auto"/>
                <w:sz w:val="21"/>
                <w:szCs w:val="21"/>
              </w:rPr>
              <w:t>0.</w:t>
            </w:r>
            <w:r>
              <w:rPr>
                <w:rFonts w:hint="eastAsia"/>
                <w:bCs/>
                <w:color w:val="auto"/>
                <w:sz w:val="21"/>
                <w:szCs w:val="21"/>
              </w:rPr>
              <w:t>0</w:t>
            </w:r>
            <w:r>
              <w:rPr>
                <w:rFonts w:hint="eastAsia"/>
                <w:bCs/>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auto"/>
                <w:sz w:val="21"/>
                <w:szCs w:val="21"/>
              </w:rPr>
            </w:pPr>
            <w:r>
              <w:rPr>
                <w:bCs/>
                <w:color w:val="auto"/>
                <w:sz w:val="21"/>
                <w:szCs w:val="21"/>
              </w:rPr>
              <w:t>2</w:t>
            </w:r>
          </w:p>
        </w:tc>
        <w:tc>
          <w:tcPr>
            <w:tcW w:w="1987" w:type="dxa"/>
            <w:tcBorders>
              <w:tl2br w:val="nil"/>
              <w:tr2bl w:val="nil"/>
            </w:tcBorders>
            <w:vAlign w:val="center"/>
          </w:tcPr>
          <w:p>
            <w:pPr>
              <w:jc w:val="center"/>
              <w:rPr>
                <w:bCs/>
                <w:color w:val="auto"/>
                <w:sz w:val="21"/>
                <w:szCs w:val="21"/>
              </w:rPr>
            </w:pPr>
            <w:r>
              <w:rPr>
                <w:rFonts w:eastAsia="仿宋_GB2312"/>
                <w:bCs/>
                <w:color w:val="auto"/>
                <w:sz w:val="21"/>
                <w:szCs w:val="21"/>
              </w:rPr>
              <w:t>水土保持监理费</w:t>
            </w:r>
          </w:p>
        </w:tc>
        <w:tc>
          <w:tcPr>
            <w:tcW w:w="3653" w:type="dxa"/>
            <w:tcBorders>
              <w:tl2br w:val="nil"/>
              <w:tr2bl w:val="nil"/>
            </w:tcBorders>
            <w:vAlign w:val="center"/>
          </w:tcPr>
          <w:p>
            <w:pPr>
              <w:widowControl/>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参考市场价格计列</w:t>
            </w:r>
            <w:r>
              <w:rPr>
                <w:rFonts w:hint="eastAsia" w:ascii="Times New Roman" w:hAnsi="Times New Roman" w:eastAsia="仿宋_GB2312" w:cs="Times New Roman"/>
                <w:color w:val="auto"/>
                <w:kern w:val="0"/>
                <w:sz w:val="21"/>
                <w:szCs w:val="21"/>
                <w:highlight w:val="none"/>
                <w:lang w:eastAsia="zh-CN"/>
              </w:rPr>
              <w:t>。</w:t>
            </w:r>
          </w:p>
        </w:tc>
        <w:tc>
          <w:tcPr>
            <w:tcW w:w="1831" w:type="dxa"/>
            <w:tcBorders>
              <w:tl2br w:val="nil"/>
              <w:tr2bl w:val="nil"/>
            </w:tcBorders>
            <w:vAlign w:val="center"/>
          </w:tcPr>
          <w:p>
            <w:pPr>
              <w:jc w:val="center"/>
              <w:rPr>
                <w:rFonts w:hint="default" w:eastAsia="宋体"/>
                <w:bCs/>
                <w:color w:val="auto"/>
                <w:sz w:val="21"/>
                <w:szCs w:val="21"/>
                <w:lang w:val="en-US" w:eastAsia="zh-CN"/>
              </w:rPr>
            </w:pPr>
            <w:r>
              <w:rPr>
                <w:rFonts w:hint="eastAsia"/>
                <w:bCs/>
                <w:color w:val="auto"/>
                <w:sz w:val="21"/>
                <w:szCs w:val="21"/>
                <w:lang w:val="en-US" w:eastAsia="zh-CN"/>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auto"/>
                <w:sz w:val="21"/>
                <w:szCs w:val="21"/>
              </w:rPr>
            </w:pPr>
            <w:r>
              <w:rPr>
                <w:bCs/>
                <w:color w:val="auto"/>
                <w:sz w:val="21"/>
                <w:szCs w:val="21"/>
              </w:rPr>
              <w:t>3</w:t>
            </w:r>
          </w:p>
        </w:tc>
        <w:tc>
          <w:tcPr>
            <w:tcW w:w="1987" w:type="dxa"/>
            <w:tcBorders>
              <w:tl2br w:val="nil"/>
              <w:tr2bl w:val="nil"/>
            </w:tcBorders>
            <w:vAlign w:val="center"/>
          </w:tcPr>
          <w:p>
            <w:pPr>
              <w:jc w:val="center"/>
              <w:rPr>
                <w:bCs/>
                <w:color w:val="auto"/>
                <w:sz w:val="21"/>
                <w:szCs w:val="21"/>
              </w:rPr>
            </w:pPr>
            <w:r>
              <w:rPr>
                <w:rFonts w:eastAsia="仿宋_GB2312"/>
                <w:bCs/>
                <w:color w:val="auto"/>
                <w:sz w:val="21"/>
                <w:szCs w:val="21"/>
              </w:rPr>
              <w:t>科研勘测设计费</w:t>
            </w:r>
          </w:p>
        </w:tc>
        <w:tc>
          <w:tcPr>
            <w:tcW w:w="3653" w:type="dxa"/>
            <w:tcBorders>
              <w:tl2br w:val="nil"/>
              <w:tr2bl w:val="nil"/>
            </w:tcBorders>
            <w:vAlign w:val="center"/>
          </w:tcPr>
          <w:p>
            <w:pPr>
              <w:widowControl/>
              <w:jc w:val="center"/>
              <w:rPr>
                <w:rFonts w:hint="default" w:ascii="Times New Roman" w:hAnsi="Times New Roman" w:eastAsia="仿宋_GB2312" w:cs="Times New Roman"/>
                <w:color w:val="auto"/>
                <w:kern w:val="0"/>
                <w:sz w:val="21"/>
                <w:szCs w:val="21"/>
                <w:highlight w:val="none"/>
                <w:lang w:val="en-US" w:eastAsia="zh-CN" w:bidi="ar-SA"/>
              </w:rPr>
            </w:pPr>
            <w:r>
              <w:rPr>
                <w:rFonts w:eastAsia="仿宋_GB2312"/>
                <w:color w:val="auto"/>
                <w:kern w:val="0"/>
                <w:sz w:val="21"/>
                <w:szCs w:val="21"/>
                <w:highlight w:val="none"/>
              </w:rPr>
              <w:t>方案编制费按签订的技术咨询合同计列。</w:t>
            </w:r>
          </w:p>
        </w:tc>
        <w:tc>
          <w:tcPr>
            <w:tcW w:w="1831" w:type="dxa"/>
            <w:tcBorders>
              <w:tl2br w:val="nil"/>
              <w:tr2bl w:val="nil"/>
            </w:tcBorders>
            <w:vAlign w:val="center"/>
          </w:tcPr>
          <w:p>
            <w:pPr>
              <w:jc w:val="center"/>
              <w:rPr>
                <w:bCs/>
                <w:color w:val="auto"/>
                <w:sz w:val="21"/>
                <w:szCs w:val="21"/>
              </w:rPr>
            </w:pPr>
            <w:r>
              <w:rPr>
                <w:rFonts w:hint="eastAsia"/>
                <w:bCs/>
                <w:color w:val="auto"/>
                <w:sz w:val="21"/>
                <w:szCs w:val="21"/>
                <w:lang w:val="en-US" w:eastAsia="zh-CN"/>
              </w:rPr>
              <w:t>3</w:t>
            </w:r>
            <w:r>
              <w:rPr>
                <w:rFonts w:hint="eastAsia"/>
                <w:bCs/>
                <w:color w:val="auto"/>
                <w:sz w:val="21"/>
                <w:szCs w:val="21"/>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auto"/>
                <w:sz w:val="21"/>
                <w:szCs w:val="21"/>
              </w:rPr>
            </w:pPr>
            <w:r>
              <w:rPr>
                <w:bCs/>
                <w:color w:val="auto"/>
                <w:sz w:val="21"/>
                <w:szCs w:val="21"/>
              </w:rPr>
              <w:t>4</w:t>
            </w:r>
          </w:p>
        </w:tc>
        <w:tc>
          <w:tcPr>
            <w:tcW w:w="1987" w:type="dxa"/>
            <w:tcBorders>
              <w:tl2br w:val="nil"/>
              <w:tr2bl w:val="nil"/>
            </w:tcBorders>
            <w:vAlign w:val="center"/>
          </w:tcPr>
          <w:p>
            <w:pPr>
              <w:jc w:val="center"/>
              <w:rPr>
                <w:bCs/>
                <w:color w:val="auto"/>
                <w:sz w:val="21"/>
                <w:szCs w:val="21"/>
              </w:rPr>
            </w:pPr>
            <w:r>
              <w:rPr>
                <w:rFonts w:eastAsia="仿宋_GB2312"/>
                <w:bCs/>
                <w:color w:val="auto"/>
                <w:sz w:val="21"/>
                <w:szCs w:val="21"/>
              </w:rPr>
              <w:t>水土保持监测费</w:t>
            </w:r>
          </w:p>
        </w:tc>
        <w:tc>
          <w:tcPr>
            <w:tcW w:w="3653" w:type="dxa"/>
            <w:tcBorders>
              <w:tl2br w:val="nil"/>
              <w:tr2bl w:val="nil"/>
            </w:tcBorders>
            <w:vAlign w:val="center"/>
          </w:tcPr>
          <w:p>
            <w:pPr>
              <w:widowControl/>
              <w:jc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rPr>
              <w:t>根据监测人工费、土建设施费、监测设备使用费及消耗性材料费，参考相关资料，结合实际工作量计列</w:t>
            </w:r>
            <w:r>
              <w:rPr>
                <w:rFonts w:hint="eastAsia" w:ascii="Times New Roman" w:hAnsi="Times New Roman" w:eastAsia="仿宋_GB2312" w:cs="Times New Roman"/>
                <w:color w:val="auto"/>
                <w:kern w:val="0"/>
                <w:sz w:val="21"/>
                <w:szCs w:val="21"/>
                <w:highlight w:val="none"/>
                <w:lang w:eastAsia="zh-CN"/>
              </w:rPr>
              <w:t>。</w:t>
            </w:r>
          </w:p>
        </w:tc>
        <w:tc>
          <w:tcPr>
            <w:tcW w:w="1831" w:type="dxa"/>
            <w:tcBorders>
              <w:tl2br w:val="nil"/>
              <w:tr2bl w:val="nil"/>
            </w:tcBorders>
            <w:vAlign w:val="center"/>
          </w:tcPr>
          <w:p>
            <w:pPr>
              <w:jc w:val="center"/>
              <w:rPr>
                <w:rFonts w:hint="default" w:eastAsia="宋体"/>
                <w:bCs/>
                <w:color w:val="auto"/>
                <w:sz w:val="21"/>
                <w:szCs w:val="21"/>
                <w:lang w:val="en-US" w:eastAsia="zh-CN"/>
              </w:rPr>
            </w:pPr>
            <w:r>
              <w:rPr>
                <w:rFonts w:hint="eastAsia"/>
                <w:bCs/>
                <w:color w:val="auto"/>
                <w:sz w:val="21"/>
                <w:szCs w:val="21"/>
                <w:lang w:val="en-US" w:eastAsia="zh-CN"/>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auto"/>
                <w:sz w:val="21"/>
                <w:szCs w:val="21"/>
              </w:rPr>
            </w:pPr>
            <w:r>
              <w:rPr>
                <w:bCs/>
                <w:color w:val="auto"/>
                <w:sz w:val="21"/>
                <w:szCs w:val="21"/>
              </w:rPr>
              <w:t>5</w:t>
            </w:r>
          </w:p>
        </w:tc>
        <w:tc>
          <w:tcPr>
            <w:tcW w:w="1987" w:type="dxa"/>
            <w:tcBorders>
              <w:tl2br w:val="nil"/>
              <w:tr2bl w:val="nil"/>
            </w:tcBorders>
            <w:vAlign w:val="center"/>
          </w:tcPr>
          <w:p>
            <w:pPr>
              <w:jc w:val="center"/>
              <w:rPr>
                <w:bCs/>
                <w:color w:val="auto"/>
                <w:sz w:val="21"/>
                <w:szCs w:val="21"/>
              </w:rPr>
            </w:pPr>
            <w:r>
              <w:rPr>
                <w:rFonts w:eastAsia="仿宋_GB2312"/>
                <w:bCs/>
                <w:color w:val="auto"/>
                <w:sz w:val="21"/>
                <w:szCs w:val="21"/>
              </w:rPr>
              <w:t>水土保持设施验收费</w:t>
            </w:r>
          </w:p>
        </w:tc>
        <w:tc>
          <w:tcPr>
            <w:tcW w:w="3653" w:type="dxa"/>
            <w:tcBorders>
              <w:tl2br w:val="nil"/>
              <w:tr2bl w:val="nil"/>
            </w:tcBorders>
            <w:vAlign w:val="center"/>
          </w:tcPr>
          <w:p>
            <w:pPr>
              <w:widowControl/>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eastAsia="仿宋_GB2312" w:cs="Times New Roman"/>
                <w:color w:val="auto"/>
                <w:kern w:val="0"/>
                <w:sz w:val="21"/>
                <w:szCs w:val="21"/>
                <w:highlight w:val="none"/>
                <w:lang w:eastAsia="zh-CN"/>
              </w:rPr>
              <w:t>按《关于进一步放开建设项目专业服务价格的通知》（发改价格〔2015〕299号），参考市场价格计列。</w:t>
            </w:r>
          </w:p>
        </w:tc>
        <w:tc>
          <w:tcPr>
            <w:tcW w:w="1831" w:type="dxa"/>
            <w:tcBorders>
              <w:tl2br w:val="nil"/>
              <w:tr2bl w:val="nil"/>
            </w:tcBorders>
            <w:vAlign w:val="center"/>
          </w:tcPr>
          <w:p>
            <w:pPr>
              <w:jc w:val="center"/>
              <w:rPr>
                <w:bCs/>
                <w:color w:val="auto"/>
                <w:sz w:val="21"/>
                <w:szCs w:val="21"/>
              </w:rPr>
            </w:pPr>
            <w:r>
              <w:rPr>
                <w:rFonts w:hint="eastAsia"/>
                <w:bCs/>
                <w:color w:val="auto"/>
                <w:sz w:val="21"/>
                <w:szCs w:val="21"/>
                <w:lang w:val="en-US" w:eastAsia="zh-CN"/>
              </w:rPr>
              <w:t>2</w:t>
            </w:r>
            <w:r>
              <w:rPr>
                <w:rFonts w:hint="eastAsia"/>
                <w:bCs/>
                <w:color w:val="auto"/>
                <w:sz w:val="21"/>
                <w:szCs w:val="21"/>
              </w:rPr>
              <w:t>.00</w:t>
            </w:r>
          </w:p>
        </w:tc>
      </w:tr>
    </w:tbl>
    <w:p>
      <w:pPr>
        <w:spacing w:line="360" w:lineRule="auto"/>
        <w:jc w:val="both"/>
        <w:rPr>
          <w:rFonts w:eastAsia="仿宋_GB2312"/>
          <w:b/>
          <w:color w:val="auto"/>
          <w:szCs w:val="24"/>
        </w:rPr>
      </w:pPr>
    </w:p>
    <w:p>
      <w:pPr>
        <w:spacing w:line="360" w:lineRule="auto"/>
        <w:jc w:val="center"/>
        <w:rPr>
          <w:rFonts w:eastAsia="仿宋_GB2312"/>
          <w:b/>
          <w:bCs/>
          <w:color w:val="auto"/>
          <w:szCs w:val="24"/>
        </w:rPr>
      </w:pPr>
      <w:r>
        <w:rPr>
          <w:rFonts w:eastAsia="仿宋_GB2312"/>
          <w:b/>
          <w:bCs/>
          <w:color w:val="auto"/>
          <w:szCs w:val="24"/>
        </w:rPr>
        <w:t>表7-</w:t>
      </w:r>
      <w:r>
        <w:rPr>
          <w:rFonts w:hint="eastAsia" w:eastAsia="仿宋_GB2312"/>
          <w:b/>
          <w:bCs/>
          <w:color w:val="auto"/>
          <w:szCs w:val="24"/>
          <w:lang w:val="en-US" w:eastAsia="zh-CN"/>
        </w:rPr>
        <w:t>4</w:t>
      </w:r>
      <w:r>
        <w:rPr>
          <w:rFonts w:eastAsia="仿宋_GB2312"/>
          <w:b/>
          <w:bCs/>
          <w:color w:val="auto"/>
          <w:szCs w:val="24"/>
        </w:rPr>
        <w:t xml:space="preserve">    水土保持补偿费计算表      单位：元</w:t>
      </w:r>
    </w:p>
    <w:tbl>
      <w:tblPr>
        <w:tblStyle w:val="24"/>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1707"/>
        <w:gridCol w:w="1376"/>
        <w:gridCol w:w="1795"/>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71" w:type="dxa"/>
            <w:vMerge w:val="restart"/>
            <w:noWrap w:val="0"/>
            <w:vAlign w:val="center"/>
          </w:tcPr>
          <w:p>
            <w:pPr>
              <w:widowControl/>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分  区</w:t>
            </w:r>
          </w:p>
        </w:tc>
        <w:tc>
          <w:tcPr>
            <w:tcW w:w="1707" w:type="dxa"/>
            <w:vMerge w:val="restart"/>
            <w:noWrap w:val="0"/>
            <w:vAlign w:val="center"/>
          </w:tcPr>
          <w:p>
            <w:pPr>
              <w:widowControl/>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占地面积</w:t>
            </w:r>
          </w:p>
          <w:p>
            <w:pPr>
              <w:widowControl/>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（m</w:t>
            </w:r>
            <w:r>
              <w:rPr>
                <w:rFonts w:hint="default" w:ascii="Times New Roman" w:hAnsi="Times New Roman" w:eastAsia="仿宋_GB2312" w:cs="Times New Roman"/>
                <w:color w:val="auto"/>
                <w:kern w:val="0"/>
                <w:sz w:val="21"/>
                <w:szCs w:val="21"/>
                <w:highlight w:val="none"/>
                <w:vertAlign w:val="superscript"/>
              </w:rPr>
              <w:t>2</w:t>
            </w:r>
            <w:r>
              <w:rPr>
                <w:rFonts w:hint="default" w:ascii="Times New Roman" w:hAnsi="Times New Roman" w:eastAsia="仿宋_GB2312" w:cs="Times New Roman"/>
                <w:color w:val="auto"/>
                <w:kern w:val="0"/>
                <w:sz w:val="21"/>
                <w:szCs w:val="21"/>
                <w:highlight w:val="none"/>
              </w:rPr>
              <w:t>）</w:t>
            </w:r>
          </w:p>
        </w:tc>
        <w:tc>
          <w:tcPr>
            <w:tcW w:w="3171" w:type="dxa"/>
            <w:gridSpan w:val="2"/>
            <w:noWrap w:val="0"/>
            <w:vAlign w:val="center"/>
          </w:tcPr>
          <w:p>
            <w:pPr>
              <w:widowControl/>
              <w:jc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一般性生产建设项目</w:t>
            </w:r>
          </w:p>
        </w:tc>
        <w:tc>
          <w:tcPr>
            <w:tcW w:w="1793" w:type="dxa"/>
            <w:vMerge w:val="restart"/>
            <w:noWrap w:val="0"/>
            <w:vAlign w:val="center"/>
          </w:tcPr>
          <w:p>
            <w:pPr>
              <w:widowControl/>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总 计</w:t>
            </w:r>
          </w:p>
          <w:p>
            <w:pPr>
              <w:widowControl/>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1" w:type="dxa"/>
            <w:vMerge w:val="continue"/>
            <w:noWrap w:val="0"/>
            <w:vAlign w:val="center"/>
          </w:tcPr>
          <w:p>
            <w:pPr>
              <w:widowControl/>
              <w:jc w:val="center"/>
              <w:rPr>
                <w:rFonts w:hint="default" w:ascii="Times New Roman" w:hAnsi="Times New Roman" w:eastAsia="仿宋_GB2312" w:cs="Times New Roman"/>
                <w:color w:val="auto"/>
                <w:kern w:val="0"/>
                <w:sz w:val="21"/>
                <w:szCs w:val="21"/>
                <w:highlight w:val="none"/>
              </w:rPr>
            </w:pPr>
          </w:p>
        </w:tc>
        <w:tc>
          <w:tcPr>
            <w:tcW w:w="1707" w:type="dxa"/>
            <w:vMerge w:val="continue"/>
            <w:noWrap w:val="0"/>
            <w:vAlign w:val="center"/>
          </w:tcPr>
          <w:p>
            <w:pPr>
              <w:widowControl/>
              <w:jc w:val="center"/>
              <w:rPr>
                <w:rFonts w:hint="default" w:ascii="Times New Roman" w:hAnsi="Times New Roman" w:eastAsia="仿宋_GB2312" w:cs="Times New Roman"/>
                <w:color w:val="auto"/>
                <w:kern w:val="0"/>
                <w:sz w:val="21"/>
                <w:szCs w:val="21"/>
                <w:highlight w:val="none"/>
              </w:rPr>
            </w:pPr>
          </w:p>
        </w:tc>
        <w:tc>
          <w:tcPr>
            <w:tcW w:w="1376" w:type="dxa"/>
            <w:noWrap w:val="0"/>
            <w:vAlign w:val="center"/>
          </w:tcPr>
          <w:p>
            <w:pPr>
              <w:widowControl/>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单价</w:t>
            </w:r>
          </w:p>
          <w:p>
            <w:pPr>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（元/m</w:t>
            </w:r>
            <w:r>
              <w:rPr>
                <w:rFonts w:hint="default" w:ascii="Times New Roman" w:hAnsi="Times New Roman" w:eastAsia="仿宋_GB2312" w:cs="Times New Roman"/>
                <w:color w:val="auto"/>
                <w:kern w:val="0"/>
                <w:sz w:val="21"/>
                <w:szCs w:val="21"/>
                <w:highlight w:val="none"/>
                <w:vertAlign w:val="superscript"/>
              </w:rPr>
              <w:t>2</w:t>
            </w:r>
            <w:r>
              <w:rPr>
                <w:rFonts w:hint="default" w:ascii="Times New Roman" w:hAnsi="Times New Roman" w:eastAsia="仿宋_GB2312" w:cs="Times New Roman"/>
                <w:color w:val="auto"/>
                <w:kern w:val="0"/>
                <w:sz w:val="21"/>
                <w:szCs w:val="21"/>
                <w:highlight w:val="none"/>
              </w:rPr>
              <w:t>）</w:t>
            </w:r>
          </w:p>
        </w:tc>
        <w:tc>
          <w:tcPr>
            <w:tcW w:w="1795" w:type="dxa"/>
            <w:noWrap w:val="0"/>
            <w:vAlign w:val="center"/>
          </w:tcPr>
          <w:p>
            <w:pPr>
              <w:widowControl/>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面积</w:t>
            </w:r>
          </w:p>
          <w:p>
            <w:pPr>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（m</w:t>
            </w:r>
            <w:r>
              <w:rPr>
                <w:rFonts w:hint="default" w:ascii="Times New Roman" w:hAnsi="Times New Roman" w:eastAsia="仿宋_GB2312" w:cs="Times New Roman"/>
                <w:color w:val="auto"/>
                <w:kern w:val="0"/>
                <w:sz w:val="21"/>
                <w:szCs w:val="21"/>
                <w:highlight w:val="none"/>
                <w:vertAlign w:val="superscript"/>
              </w:rPr>
              <w:t>2</w:t>
            </w:r>
            <w:r>
              <w:rPr>
                <w:rFonts w:hint="default" w:ascii="Times New Roman" w:hAnsi="Times New Roman" w:eastAsia="仿宋_GB2312" w:cs="Times New Roman"/>
                <w:color w:val="auto"/>
                <w:kern w:val="0"/>
                <w:sz w:val="21"/>
                <w:szCs w:val="21"/>
                <w:highlight w:val="none"/>
              </w:rPr>
              <w:t>）</w:t>
            </w:r>
          </w:p>
        </w:tc>
        <w:tc>
          <w:tcPr>
            <w:tcW w:w="1793" w:type="dxa"/>
            <w:vMerge w:val="continue"/>
            <w:noWrap w:val="0"/>
            <w:vAlign w:val="center"/>
          </w:tcPr>
          <w:p>
            <w:pPr>
              <w:widowControl/>
              <w:jc w:val="center"/>
              <w:rPr>
                <w:rFonts w:hint="default" w:ascii="Times New Roman" w:hAnsi="Times New Roman" w:eastAsia="仿宋_GB2312"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71" w:type="dxa"/>
            <w:noWrap w:val="0"/>
            <w:vAlign w:val="center"/>
          </w:tcPr>
          <w:p>
            <w:pPr>
              <w:widowControl/>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工程建设区</w:t>
            </w:r>
          </w:p>
        </w:tc>
        <w:tc>
          <w:tcPr>
            <w:tcW w:w="1707" w:type="dxa"/>
            <w:noWrap w:val="0"/>
            <w:vAlign w:val="center"/>
          </w:tcPr>
          <w:p>
            <w:pPr>
              <w:widowControl/>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6664</w:t>
            </w:r>
          </w:p>
        </w:tc>
        <w:tc>
          <w:tcPr>
            <w:tcW w:w="1376" w:type="dxa"/>
            <w:noWrap w:val="0"/>
            <w:vAlign w:val="center"/>
          </w:tcPr>
          <w:p>
            <w:pPr>
              <w:widowControl/>
              <w:jc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0.45</w:t>
            </w:r>
          </w:p>
        </w:tc>
        <w:tc>
          <w:tcPr>
            <w:tcW w:w="1795" w:type="dxa"/>
            <w:noWrap w:val="0"/>
            <w:vAlign w:val="center"/>
          </w:tcPr>
          <w:p>
            <w:pPr>
              <w:widowControl/>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6664</w:t>
            </w:r>
          </w:p>
        </w:tc>
        <w:tc>
          <w:tcPr>
            <w:tcW w:w="1793" w:type="dxa"/>
            <w:noWrap w:val="0"/>
            <w:vAlign w:val="center"/>
          </w:tcPr>
          <w:p>
            <w:pPr>
              <w:widowControl/>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2998.8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71" w:type="dxa"/>
            <w:noWrap w:val="0"/>
            <w:vAlign w:val="center"/>
          </w:tcPr>
          <w:p>
            <w:pPr>
              <w:widowControl/>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合计</w:t>
            </w:r>
          </w:p>
        </w:tc>
        <w:tc>
          <w:tcPr>
            <w:tcW w:w="1707" w:type="dxa"/>
            <w:noWrap w:val="0"/>
            <w:vAlign w:val="center"/>
          </w:tcPr>
          <w:p>
            <w:pPr>
              <w:widowControl/>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6664</w:t>
            </w:r>
          </w:p>
        </w:tc>
        <w:tc>
          <w:tcPr>
            <w:tcW w:w="1376" w:type="dxa"/>
            <w:noWrap w:val="0"/>
            <w:vAlign w:val="center"/>
          </w:tcPr>
          <w:p>
            <w:pPr>
              <w:widowControl/>
              <w:jc w:val="center"/>
              <w:rPr>
                <w:rFonts w:hint="default" w:ascii="Times New Roman" w:hAnsi="Times New Roman" w:eastAsia="仿宋_GB2312" w:cs="Times New Roman"/>
                <w:color w:val="auto"/>
                <w:kern w:val="0"/>
                <w:sz w:val="21"/>
                <w:szCs w:val="21"/>
                <w:highlight w:val="none"/>
              </w:rPr>
            </w:pPr>
          </w:p>
        </w:tc>
        <w:tc>
          <w:tcPr>
            <w:tcW w:w="1795" w:type="dxa"/>
            <w:noWrap w:val="0"/>
            <w:vAlign w:val="center"/>
          </w:tcPr>
          <w:p>
            <w:pPr>
              <w:widowControl/>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6664</w:t>
            </w:r>
          </w:p>
        </w:tc>
        <w:tc>
          <w:tcPr>
            <w:tcW w:w="1793" w:type="dxa"/>
            <w:noWrap w:val="0"/>
            <w:vAlign w:val="center"/>
          </w:tcPr>
          <w:p>
            <w:pPr>
              <w:widowControl/>
              <w:jc w:val="center"/>
              <w:rPr>
                <w:rFonts w:hint="default" w:ascii="Times New Roman" w:hAnsi="Times New Roman" w:eastAsia="仿宋_GB2312" w:cs="Times New Roman"/>
                <w:color w:val="auto"/>
                <w:kern w:val="0"/>
                <w:sz w:val="21"/>
                <w:szCs w:val="21"/>
                <w:highlight w:val="none"/>
                <w:lang w:val="en-US"/>
              </w:rPr>
            </w:pPr>
            <w:r>
              <w:rPr>
                <w:rFonts w:hint="eastAsia" w:eastAsia="仿宋_GB2312" w:cs="Times New Roman"/>
                <w:color w:val="auto"/>
                <w:kern w:val="0"/>
                <w:sz w:val="21"/>
                <w:szCs w:val="21"/>
                <w:highlight w:val="none"/>
                <w:lang w:val="en-US" w:eastAsia="zh-CN"/>
              </w:rPr>
              <w:t>2998.8</w:t>
            </w:r>
          </w:p>
        </w:tc>
      </w:tr>
    </w:tbl>
    <w:p>
      <w:pPr>
        <w:spacing w:beforeLines="50" w:line="360" w:lineRule="auto"/>
        <w:jc w:val="center"/>
        <w:rPr>
          <w:rFonts w:eastAsia="仿宋_GB2312"/>
          <w:b/>
          <w:bCs/>
          <w:color w:val="auto"/>
          <w:szCs w:val="24"/>
        </w:rPr>
      </w:pPr>
      <w:r>
        <w:rPr>
          <w:rFonts w:eastAsia="仿宋_GB2312"/>
          <w:b/>
          <w:bCs/>
          <w:color w:val="auto"/>
          <w:szCs w:val="24"/>
        </w:rPr>
        <w:t>表7-</w:t>
      </w:r>
      <w:r>
        <w:rPr>
          <w:rFonts w:hint="eastAsia" w:eastAsia="仿宋_GB2312"/>
          <w:b/>
          <w:bCs/>
          <w:color w:val="auto"/>
          <w:szCs w:val="24"/>
          <w:lang w:val="en-US" w:eastAsia="zh-CN"/>
        </w:rPr>
        <w:t>5</w:t>
      </w:r>
      <w:r>
        <w:rPr>
          <w:rFonts w:eastAsia="仿宋_GB2312"/>
          <w:b/>
          <w:bCs/>
          <w:color w:val="auto"/>
          <w:szCs w:val="24"/>
        </w:rPr>
        <w:t xml:space="preserve">    主要材料价格计算表     单位：元</w:t>
      </w:r>
    </w:p>
    <w:tbl>
      <w:tblPr>
        <w:tblStyle w:val="24"/>
        <w:tblW w:w="8524"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15" w:type="dxa"/>
          <w:left w:w="15" w:type="dxa"/>
          <w:bottom w:w="15" w:type="dxa"/>
          <w:right w:w="15" w:type="dxa"/>
        </w:tblCellMar>
      </w:tblPr>
      <w:tblGrid>
        <w:gridCol w:w="980"/>
        <w:gridCol w:w="980"/>
        <w:gridCol w:w="980"/>
        <w:gridCol w:w="981"/>
        <w:gridCol w:w="981"/>
        <w:gridCol w:w="981"/>
        <w:gridCol w:w="1327"/>
        <w:gridCol w:w="1314"/>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vMerge w:val="restart"/>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序号</w:t>
            </w:r>
          </w:p>
        </w:tc>
        <w:tc>
          <w:tcPr>
            <w:tcW w:w="980" w:type="dxa"/>
            <w:vMerge w:val="restart"/>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名称及规格</w:t>
            </w:r>
          </w:p>
        </w:tc>
        <w:tc>
          <w:tcPr>
            <w:tcW w:w="980" w:type="dxa"/>
            <w:vMerge w:val="restart"/>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单位</w:t>
            </w:r>
          </w:p>
        </w:tc>
        <w:tc>
          <w:tcPr>
            <w:tcW w:w="981" w:type="dxa"/>
            <w:vMerge w:val="restart"/>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预算价格</w:t>
            </w:r>
          </w:p>
        </w:tc>
        <w:tc>
          <w:tcPr>
            <w:tcW w:w="4603" w:type="dxa"/>
            <w:gridSpan w:val="4"/>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其中</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vMerge w:val="continue"/>
            <w:tcBorders>
              <w:tl2br w:val="nil"/>
              <w:tr2bl w:val="nil"/>
            </w:tcBorders>
            <w:vAlign w:val="center"/>
          </w:tcPr>
          <w:p>
            <w:pPr>
              <w:widowControl/>
              <w:adjustRightInd/>
              <w:spacing w:line="240" w:lineRule="auto"/>
              <w:jc w:val="center"/>
              <w:textAlignment w:val="auto"/>
              <w:rPr>
                <w:rFonts w:eastAsia="仿宋_GB2312"/>
                <w:color w:val="auto"/>
                <w:sz w:val="21"/>
                <w:szCs w:val="21"/>
              </w:rPr>
            </w:pPr>
          </w:p>
        </w:tc>
        <w:tc>
          <w:tcPr>
            <w:tcW w:w="980" w:type="dxa"/>
            <w:vMerge w:val="continue"/>
            <w:tcBorders>
              <w:tl2br w:val="nil"/>
              <w:tr2bl w:val="nil"/>
            </w:tcBorders>
            <w:vAlign w:val="center"/>
          </w:tcPr>
          <w:p>
            <w:pPr>
              <w:widowControl/>
              <w:adjustRightInd/>
              <w:spacing w:line="240" w:lineRule="auto"/>
              <w:jc w:val="center"/>
              <w:textAlignment w:val="auto"/>
              <w:rPr>
                <w:rFonts w:eastAsia="仿宋_GB2312"/>
                <w:color w:val="auto"/>
                <w:sz w:val="21"/>
                <w:szCs w:val="21"/>
              </w:rPr>
            </w:pPr>
          </w:p>
        </w:tc>
        <w:tc>
          <w:tcPr>
            <w:tcW w:w="980" w:type="dxa"/>
            <w:vMerge w:val="continue"/>
            <w:tcBorders>
              <w:tl2br w:val="nil"/>
              <w:tr2bl w:val="nil"/>
            </w:tcBorders>
            <w:vAlign w:val="center"/>
          </w:tcPr>
          <w:p>
            <w:pPr>
              <w:widowControl/>
              <w:adjustRightInd/>
              <w:spacing w:line="240" w:lineRule="auto"/>
              <w:jc w:val="center"/>
              <w:textAlignment w:val="auto"/>
              <w:rPr>
                <w:rFonts w:eastAsia="仿宋_GB2312"/>
                <w:color w:val="auto"/>
                <w:sz w:val="21"/>
                <w:szCs w:val="21"/>
              </w:rPr>
            </w:pPr>
          </w:p>
        </w:tc>
        <w:tc>
          <w:tcPr>
            <w:tcW w:w="981" w:type="dxa"/>
            <w:vMerge w:val="continue"/>
            <w:tcBorders>
              <w:tl2br w:val="nil"/>
              <w:tr2bl w:val="nil"/>
            </w:tcBorders>
            <w:vAlign w:val="center"/>
          </w:tcPr>
          <w:p>
            <w:pPr>
              <w:widowControl/>
              <w:adjustRightInd/>
              <w:spacing w:line="240" w:lineRule="auto"/>
              <w:jc w:val="center"/>
              <w:textAlignment w:val="auto"/>
              <w:rPr>
                <w:rFonts w:eastAsia="仿宋_GB2312"/>
                <w:color w:val="auto"/>
                <w:sz w:val="21"/>
                <w:szCs w:val="21"/>
              </w:rPr>
            </w:pPr>
          </w:p>
        </w:tc>
        <w:tc>
          <w:tcPr>
            <w:tcW w:w="981" w:type="dxa"/>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原价</w:t>
            </w:r>
          </w:p>
        </w:tc>
        <w:tc>
          <w:tcPr>
            <w:tcW w:w="981" w:type="dxa"/>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运杂费</w:t>
            </w:r>
          </w:p>
        </w:tc>
        <w:tc>
          <w:tcPr>
            <w:tcW w:w="1327" w:type="dxa"/>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采购及保管费</w:t>
            </w:r>
          </w:p>
        </w:tc>
        <w:tc>
          <w:tcPr>
            <w:tcW w:w="1314" w:type="dxa"/>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eastAsia="仿宋_GB2312"/>
                <w:color w:val="auto"/>
                <w:sz w:val="21"/>
                <w:szCs w:val="21"/>
              </w:rPr>
              <w:t>价差</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1</w:t>
            </w:r>
          </w:p>
        </w:tc>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水</w:t>
            </w:r>
          </w:p>
        </w:tc>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m</w:t>
            </w:r>
            <w:r>
              <w:rPr>
                <w:rFonts w:eastAsia="仿宋_GB2312"/>
                <w:color w:val="auto"/>
                <w:sz w:val="21"/>
                <w:szCs w:val="21"/>
                <w:vertAlign w:val="superscript"/>
              </w:rPr>
              <w:t>3</w:t>
            </w:r>
          </w:p>
        </w:tc>
        <w:tc>
          <w:tcPr>
            <w:tcW w:w="981"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3.50</w:t>
            </w:r>
          </w:p>
        </w:tc>
        <w:tc>
          <w:tcPr>
            <w:tcW w:w="981"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3.50</w:t>
            </w:r>
          </w:p>
        </w:tc>
        <w:tc>
          <w:tcPr>
            <w:tcW w:w="981" w:type="dxa"/>
            <w:tcBorders>
              <w:tl2br w:val="nil"/>
              <w:tr2bl w:val="nil"/>
            </w:tcBorders>
            <w:vAlign w:val="center"/>
          </w:tcPr>
          <w:p>
            <w:pPr>
              <w:spacing w:line="240" w:lineRule="auto"/>
              <w:jc w:val="center"/>
              <w:rPr>
                <w:rFonts w:eastAsia="仿宋_GB2312"/>
                <w:color w:val="auto"/>
                <w:sz w:val="21"/>
                <w:szCs w:val="21"/>
              </w:rPr>
            </w:pPr>
          </w:p>
        </w:tc>
        <w:tc>
          <w:tcPr>
            <w:tcW w:w="1327" w:type="dxa"/>
            <w:tcBorders>
              <w:tl2br w:val="nil"/>
              <w:tr2bl w:val="nil"/>
            </w:tcBorders>
            <w:vAlign w:val="center"/>
          </w:tcPr>
          <w:p>
            <w:pPr>
              <w:spacing w:line="240" w:lineRule="auto"/>
              <w:jc w:val="center"/>
              <w:rPr>
                <w:rFonts w:eastAsia="仿宋_GB2312"/>
                <w:color w:val="auto"/>
                <w:sz w:val="21"/>
                <w:szCs w:val="21"/>
              </w:rPr>
            </w:pPr>
          </w:p>
        </w:tc>
        <w:tc>
          <w:tcPr>
            <w:tcW w:w="1314" w:type="dxa"/>
            <w:tcBorders>
              <w:tl2br w:val="nil"/>
              <w:tr2bl w:val="nil"/>
            </w:tcBorders>
            <w:vAlign w:val="center"/>
          </w:tcPr>
          <w:p>
            <w:pPr>
              <w:spacing w:line="240" w:lineRule="auto"/>
              <w:jc w:val="center"/>
              <w:rPr>
                <w:rFonts w:eastAsia="仿宋_GB2312"/>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2</w:t>
            </w:r>
          </w:p>
        </w:tc>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电</w:t>
            </w:r>
          </w:p>
        </w:tc>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kW.h</w:t>
            </w:r>
          </w:p>
        </w:tc>
        <w:tc>
          <w:tcPr>
            <w:tcW w:w="981"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1.00</w:t>
            </w:r>
          </w:p>
        </w:tc>
        <w:tc>
          <w:tcPr>
            <w:tcW w:w="981"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1.00</w:t>
            </w:r>
          </w:p>
        </w:tc>
        <w:tc>
          <w:tcPr>
            <w:tcW w:w="981" w:type="dxa"/>
            <w:tcBorders>
              <w:tl2br w:val="nil"/>
              <w:tr2bl w:val="nil"/>
            </w:tcBorders>
            <w:vAlign w:val="center"/>
          </w:tcPr>
          <w:p>
            <w:pPr>
              <w:spacing w:line="240" w:lineRule="auto"/>
              <w:jc w:val="center"/>
              <w:rPr>
                <w:rFonts w:eastAsia="仿宋_GB2312"/>
                <w:color w:val="auto"/>
                <w:sz w:val="21"/>
                <w:szCs w:val="21"/>
              </w:rPr>
            </w:pPr>
          </w:p>
        </w:tc>
        <w:tc>
          <w:tcPr>
            <w:tcW w:w="1327" w:type="dxa"/>
            <w:tcBorders>
              <w:tl2br w:val="nil"/>
              <w:tr2bl w:val="nil"/>
            </w:tcBorders>
            <w:vAlign w:val="center"/>
          </w:tcPr>
          <w:p>
            <w:pPr>
              <w:spacing w:line="240" w:lineRule="auto"/>
              <w:jc w:val="center"/>
              <w:rPr>
                <w:rFonts w:eastAsia="仿宋_GB2312"/>
                <w:color w:val="auto"/>
                <w:sz w:val="21"/>
                <w:szCs w:val="21"/>
              </w:rPr>
            </w:pPr>
          </w:p>
        </w:tc>
        <w:tc>
          <w:tcPr>
            <w:tcW w:w="1314" w:type="dxa"/>
            <w:tcBorders>
              <w:tl2br w:val="nil"/>
              <w:tr2bl w:val="nil"/>
            </w:tcBorders>
            <w:vAlign w:val="center"/>
          </w:tcPr>
          <w:p>
            <w:pPr>
              <w:spacing w:line="240" w:lineRule="auto"/>
              <w:jc w:val="center"/>
              <w:rPr>
                <w:rFonts w:eastAsia="仿宋_GB2312"/>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3</w:t>
            </w:r>
          </w:p>
        </w:tc>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密目网</w:t>
            </w:r>
          </w:p>
        </w:tc>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m</w:t>
            </w:r>
            <w:r>
              <w:rPr>
                <w:rFonts w:eastAsia="仿宋_GB2312"/>
                <w:color w:val="auto"/>
                <w:sz w:val="21"/>
                <w:szCs w:val="21"/>
                <w:vertAlign w:val="superscript"/>
              </w:rPr>
              <w:t>2</w:t>
            </w:r>
          </w:p>
        </w:tc>
        <w:tc>
          <w:tcPr>
            <w:tcW w:w="981"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1.50</w:t>
            </w:r>
          </w:p>
        </w:tc>
        <w:tc>
          <w:tcPr>
            <w:tcW w:w="981"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1.50</w:t>
            </w:r>
          </w:p>
        </w:tc>
        <w:tc>
          <w:tcPr>
            <w:tcW w:w="981" w:type="dxa"/>
            <w:tcBorders>
              <w:tl2br w:val="nil"/>
              <w:tr2bl w:val="nil"/>
            </w:tcBorders>
            <w:vAlign w:val="center"/>
          </w:tcPr>
          <w:p>
            <w:pPr>
              <w:spacing w:line="240" w:lineRule="auto"/>
              <w:jc w:val="center"/>
              <w:rPr>
                <w:rFonts w:eastAsia="仿宋_GB2312"/>
                <w:color w:val="auto"/>
                <w:sz w:val="21"/>
                <w:szCs w:val="21"/>
              </w:rPr>
            </w:pPr>
          </w:p>
        </w:tc>
        <w:tc>
          <w:tcPr>
            <w:tcW w:w="1327" w:type="dxa"/>
            <w:tcBorders>
              <w:tl2br w:val="nil"/>
              <w:tr2bl w:val="nil"/>
            </w:tcBorders>
            <w:vAlign w:val="center"/>
          </w:tcPr>
          <w:p>
            <w:pPr>
              <w:spacing w:line="240" w:lineRule="auto"/>
              <w:jc w:val="center"/>
              <w:rPr>
                <w:rFonts w:eastAsia="仿宋_GB2312"/>
                <w:color w:val="auto"/>
                <w:sz w:val="21"/>
                <w:szCs w:val="21"/>
              </w:rPr>
            </w:pPr>
          </w:p>
        </w:tc>
        <w:tc>
          <w:tcPr>
            <w:tcW w:w="1314" w:type="dxa"/>
            <w:tcBorders>
              <w:tl2br w:val="nil"/>
              <w:tr2bl w:val="nil"/>
            </w:tcBorders>
            <w:vAlign w:val="center"/>
          </w:tcPr>
          <w:p>
            <w:pPr>
              <w:spacing w:line="240" w:lineRule="auto"/>
              <w:jc w:val="center"/>
              <w:rPr>
                <w:rFonts w:eastAsia="仿宋_GB2312"/>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4</w:t>
            </w:r>
          </w:p>
        </w:tc>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柴油</w:t>
            </w:r>
          </w:p>
        </w:tc>
        <w:tc>
          <w:tcPr>
            <w:tcW w:w="980"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kg</w:t>
            </w:r>
          </w:p>
        </w:tc>
        <w:tc>
          <w:tcPr>
            <w:tcW w:w="981" w:type="dxa"/>
            <w:tcBorders>
              <w:tl2br w:val="nil"/>
              <w:tr2bl w:val="nil"/>
            </w:tcBorders>
            <w:vAlign w:val="center"/>
          </w:tcPr>
          <w:p>
            <w:pPr>
              <w:spacing w:line="240" w:lineRule="auto"/>
              <w:jc w:val="center"/>
              <w:rPr>
                <w:rFonts w:hint="default" w:eastAsia="仿宋_GB2312"/>
                <w:color w:val="auto"/>
                <w:sz w:val="21"/>
                <w:szCs w:val="21"/>
                <w:lang w:val="en-US"/>
              </w:rPr>
            </w:pPr>
            <w:r>
              <w:rPr>
                <w:rFonts w:hint="eastAsia" w:eastAsia="仿宋_GB2312"/>
                <w:color w:val="auto"/>
                <w:sz w:val="21"/>
                <w:szCs w:val="21"/>
                <w:lang w:val="en-US" w:eastAsia="zh-CN"/>
              </w:rPr>
              <w:t>7.91</w:t>
            </w:r>
          </w:p>
        </w:tc>
        <w:tc>
          <w:tcPr>
            <w:tcW w:w="981" w:type="dxa"/>
            <w:tcBorders>
              <w:tl2br w:val="nil"/>
              <w:tr2bl w:val="nil"/>
            </w:tcBorders>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7.91</w:t>
            </w:r>
          </w:p>
        </w:tc>
        <w:tc>
          <w:tcPr>
            <w:tcW w:w="981" w:type="dxa"/>
            <w:tcBorders>
              <w:tl2br w:val="nil"/>
              <w:tr2bl w:val="nil"/>
            </w:tcBorders>
            <w:vAlign w:val="center"/>
          </w:tcPr>
          <w:p>
            <w:pPr>
              <w:spacing w:line="240" w:lineRule="auto"/>
              <w:jc w:val="center"/>
              <w:rPr>
                <w:rFonts w:eastAsia="仿宋_GB2312"/>
                <w:color w:val="auto"/>
                <w:sz w:val="21"/>
                <w:szCs w:val="21"/>
              </w:rPr>
            </w:pPr>
          </w:p>
        </w:tc>
        <w:tc>
          <w:tcPr>
            <w:tcW w:w="1327" w:type="dxa"/>
            <w:tcBorders>
              <w:tl2br w:val="nil"/>
              <w:tr2bl w:val="nil"/>
            </w:tcBorders>
            <w:vAlign w:val="center"/>
          </w:tcPr>
          <w:p>
            <w:pPr>
              <w:spacing w:line="240" w:lineRule="auto"/>
              <w:jc w:val="center"/>
              <w:rPr>
                <w:rFonts w:eastAsia="仿宋_GB2312"/>
                <w:color w:val="auto"/>
                <w:sz w:val="21"/>
                <w:szCs w:val="21"/>
              </w:rPr>
            </w:pPr>
          </w:p>
        </w:tc>
        <w:tc>
          <w:tcPr>
            <w:tcW w:w="1314" w:type="dxa"/>
            <w:tcBorders>
              <w:tl2br w:val="nil"/>
              <w:tr2bl w:val="nil"/>
            </w:tcBorders>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4.92</w:t>
            </w:r>
          </w:p>
        </w:tc>
      </w:tr>
    </w:tbl>
    <w:p>
      <w:pPr>
        <w:spacing w:beforeLines="50" w:line="240" w:lineRule="auto"/>
        <w:jc w:val="center"/>
        <w:rPr>
          <w:rFonts w:eastAsia="仿宋_GB2312"/>
          <w:b/>
          <w:bCs/>
          <w:color w:val="auto"/>
          <w:szCs w:val="24"/>
        </w:rPr>
      </w:pPr>
    </w:p>
    <w:p>
      <w:pPr>
        <w:spacing w:beforeLines="50" w:line="360" w:lineRule="auto"/>
        <w:jc w:val="center"/>
        <w:rPr>
          <w:rFonts w:eastAsia="仿宋_GB2312"/>
          <w:b/>
          <w:bCs/>
          <w:color w:val="auto"/>
          <w:szCs w:val="24"/>
        </w:rPr>
      </w:pPr>
      <w:r>
        <w:rPr>
          <w:rFonts w:eastAsia="仿宋_GB2312"/>
          <w:b/>
          <w:bCs/>
          <w:color w:val="auto"/>
          <w:szCs w:val="24"/>
        </w:rPr>
        <w:t>表7-</w:t>
      </w:r>
      <w:r>
        <w:rPr>
          <w:rFonts w:hint="eastAsia" w:eastAsia="仿宋_GB2312"/>
          <w:b/>
          <w:bCs/>
          <w:color w:val="auto"/>
          <w:szCs w:val="24"/>
          <w:lang w:val="en-US" w:eastAsia="zh-CN"/>
        </w:rPr>
        <w:t>6</w:t>
      </w:r>
      <w:r>
        <w:rPr>
          <w:rFonts w:eastAsia="仿宋_GB2312"/>
          <w:b/>
          <w:bCs/>
          <w:color w:val="auto"/>
          <w:szCs w:val="24"/>
        </w:rPr>
        <w:t xml:space="preserve">    施工机械台时费汇总表     单位：元</w:t>
      </w:r>
    </w:p>
    <w:tbl>
      <w:tblPr>
        <w:tblStyle w:val="24"/>
        <w:tblW w:w="873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75"/>
        <w:gridCol w:w="1622"/>
        <w:gridCol w:w="974"/>
        <w:gridCol w:w="976"/>
        <w:gridCol w:w="976"/>
        <w:gridCol w:w="976"/>
        <w:gridCol w:w="976"/>
        <w:gridCol w:w="12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3" w:hRule="atLeast"/>
          <w:jc w:val="center"/>
        </w:trPr>
        <w:tc>
          <w:tcPr>
            <w:tcW w:w="975" w:type="dxa"/>
            <w:vMerge w:val="restart"/>
            <w:tcBorders>
              <w:tl2br w:val="nil"/>
              <w:tr2bl w:val="nil"/>
            </w:tcBorders>
            <w:vAlign w:val="center"/>
          </w:tcPr>
          <w:p>
            <w:pPr>
              <w:widowControl/>
              <w:jc w:val="center"/>
              <w:textAlignment w:val="center"/>
              <w:rPr>
                <w:rFonts w:eastAsia="仿宋_GB2312"/>
                <w:b/>
                <w:color w:val="auto"/>
                <w:sz w:val="21"/>
                <w:szCs w:val="21"/>
              </w:rPr>
            </w:pPr>
            <w:r>
              <w:rPr>
                <w:rFonts w:eastAsia="仿宋_GB2312"/>
                <w:color w:val="auto"/>
                <w:sz w:val="21"/>
                <w:szCs w:val="21"/>
              </w:rPr>
              <w:t>序号</w:t>
            </w:r>
          </w:p>
        </w:tc>
        <w:tc>
          <w:tcPr>
            <w:tcW w:w="1622" w:type="dxa"/>
            <w:vMerge w:val="restart"/>
            <w:tcBorders>
              <w:tl2br w:val="nil"/>
              <w:tr2bl w:val="nil"/>
            </w:tcBorders>
            <w:vAlign w:val="center"/>
          </w:tcPr>
          <w:p>
            <w:pPr>
              <w:widowControl/>
              <w:jc w:val="center"/>
              <w:textAlignment w:val="center"/>
              <w:rPr>
                <w:rFonts w:eastAsia="仿宋_GB2312"/>
                <w:b/>
                <w:color w:val="auto"/>
                <w:sz w:val="21"/>
                <w:szCs w:val="21"/>
              </w:rPr>
            </w:pPr>
            <w:r>
              <w:rPr>
                <w:rFonts w:eastAsia="仿宋_GB2312"/>
                <w:color w:val="auto"/>
                <w:sz w:val="21"/>
                <w:szCs w:val="21"/>
              </w:rPr>
              <w:t>名称及规格</w:t>
            </w:r>
          </w:p>
        </w:tc>
        <w:tc>
          <w:tcPr>
            <w:tcW w:w="974" w:type="dxa"/>
            <w:vMerge w:val="restart"/>
            <w:tcBorders>
              <w:tl2br w:val="nil"/>
              <w:tr2bl w:val="nil"/>
            </w:tcBorders>
            <w:vAlign w:val="center"/>
          </w:tcPr>
          <w:p>
            <w:pPr>
              <w:widowControl/>
              <w:jc w:val="center"/>
              <w:textAlignment w:val="center"/>
              <w:rPr>
                <w:rFonts w:eastAsia="仿宋_GB2312"/>
                <w:b/>
                <w:color w:val="auto"/>
                <w:sz w:val="21"/>
                <w:szCs w:val="21"/>
              </w:rPr>
            </w:pPr>
            <w:r>
              <w:rPr>
                <w:rFonts w:eastAsia="仿宋_GB2312"/>
                <w:color w:val="auto"/>
                <w:sz w:val="21"/>
                <w:szCs w:val="21"/>
              </w:rPr>
              <w:t>台时费</w:t>
            </w:r>
          </w:p>
        </w:tc>
        <w:tc>
          <w:tcPr>
            <w:tcW w:w="5161" w:type="dxa"/>
            <w:gridSpan w:val="5"/>
            <w:tcBorders>
              <w:tl2br w:val="nil"/>
              <w:tr2bl w:val="nil"/>
            </w:tcBorders>
            <w:vAlign w:val="center"/>
          </w:tcPr>
          <w:p>
            <w:pPr>
              <w:widowControl/>
              <w:jc w:val="center"/>
              <w:textAlignment w:val="center"/>
              <w:rPr>
                <w:rFonts w:eastAsia="仿宋_GB2312"/>
                <w:b/>
                <w:color w:val="auto"/>
                <w:sz w:val="21"/>
                <w:szCs w:val="21"/>
              </w:rPr>
            </w:pPr>
            <w:r>
              <w:rPr>
                <w:rFonts w:eastAsia="仿宋_GB2312"/>
                <w:color w:val="auto"/>
                <w:sz w:val="21"/>
                <w:szCs w:val="21"/>
              </w:rPr>
              <w:t>其中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3" w:hRule="atLeast"/>
          <w:jc w:val="center"/>
        </w:trPr>
        <w:tc>
          <w:tcPr>
            <w:tcW w:w="975" w:type="dxa"/>
            <w:vMerge w:val="continue"/>
            <w:tcBorders>
              <w:tl2br w:val="nil"/>
              <w:tr2bl w:val="nil"/>
            </w:tcBorders>
            <w:vAlign w:val="center"/>
          </w:tcPr>
          <w:p>
            <w:pPr>
              <w:jc w:val="center"/>
              <w:rPr>
                <w:rFonts w:eastAsia="仿宋_GB2312"/>
                <w:b/>
                <w:color w:val="auto"/>
                <w:sz w:val="21"/>
                <w:szCs w:val="21"/>
              </w:rPr>
            </w:pPr>
          </w:p>
        </w:tc>
        <w:tc>
          <w:tcPr>
            <w:tcW w:w="1622" w:type="dxa"/>
            <w:vMerge w:val="continue"/>
            <w:tcBorders>
              <w:tl2br w:val="nil"/>
              <w:tr2bl w:val="nil"/>
            </w:tcBorders>
            <w:vAlign w:val="center"/>
          </w:tcPr>
          <w:p>
            <w:pPr>
              <w:jc w:val="center"/>
              <w:rPr>
                <w:rFonts w:eastAsia="仿宋_GB2312"/>
                <w:b/>
                <w:color w:val="auto"/>
                <w:sz w:val="21"/>
                <w:szCs w:val="21"/>
              </w:rPr>
            </w:pPr>
          </w:p>
        </w:tc>
        <w:tc>
          <w:tcPr>
            <w:tcW w:w="974" w:type="dxa"/>
            <w:vMerge w:val="continue"/>
            <w:tcBorders>
              <w:tl2br w:val="nil"/>
              <w:tr2bl w:val="nil"/>
            </w:tcBorders>
            <w:vAlign w:val="center"/>
          </w:tcPr>
          <w:p>
            <w:pPr>
              <w:jc w:val="center"/>
              <w:rPr>
                <w:rFonts w:eastAsia="仿宋_GB2312"/>
                <w:b/>
                <w:color w:val="auto"/>
                <w:sz w:val="21"/>
                <w:szCs w:val="21"/>
              </w:rPr>
            </w:pPr>
          </w:p>
        </w:tc>
        <w:tc>
          <w:tcPr>
            <w:tcW w:w="976" w:type="dxa"/>
            <w:tcBorders>
              <w:tl2br w:val="nil"/>
              <w:tr2bl w:val="nil"/>
            </w:tcBorders>
            <w:vAlign w:val="center"/>
          </w:tcPr>
          <w:p>
            <w:pPr>
              <w:widowControl/>
              <w:jc w:val="center"/>
              <w:textAlignment w:val="center"/>
              <w:rPr>
                <w:rFonts w:eastAsia="仿宋_GB2312"/>
                <w:b/>
                <w:color w:val="auto"/>
                <w:sz w:val="21"/>
                <w:szCs w:val="21"/>
              </w:rPr>
            </w:pPr>
            <w:r>
              <w:rPr>
                <w:rFonts w:eastAsia="仿宋_GB2312"/>
                <w:color w:val="auto"/>
                <w:sz w:val="21"/>
                <w:szCs w:val="21"/>
              </w:rPr>
              <w:t>折旧费</w:t>
            </w:r>
          </w:p>
        </w:tc>
        <w:tc>
          <w:tcPr>
            <w:tcW w:w="976" w:type="dxa"/>
            <w:tcBorders>
              <w:tl2br w:val="nil"/>
              <w:tr2bl w:val="nil"/>
            </w:tcBorders>
            <w:vAlign w:val="center"/>
          </w:tcPr>
          <w:p>
            <w:pPr>
              <w:widowControl/>
              <w:jc w:val="center"/>
              <w:textAlignment w:val="center"/>
              <w:rPr>
                <w:rFonts w:eastAsia="仿宋_GB2312"/>
                <w:b/>
                <w:color w:val="auto"/>
                <w:sz w:val="21"/>
                <w:szCs w:val="21"/>
              </w:rPr>
            </w:pPr>
            <w:r>
              <w:rPr>
                <w:rFonts w:eastAsia="仿宋_GB2312"/>
                <w:color w:val="auto"/>
                <w:sz w:val="21"/>
                <w:szCs w:val="21"/>
              </w:rPr>
              <w:t>修理费</w:t>
            </w:r>
          </w:p>
        </w:tc>
        <w:tc>
          <w:tcPr>
            <w:tcW w:w="976" w:type="dxa"/>
            <w:tcBorders>
              <w:tl2br w:val="nil"/>
              <w:tr2bl w:val="nil"/>
            </w:tcBorders>
            <w:vAlign w:val="center"/>
          </w:tcPr>
          <w:p>
            <w:pPr>
              <w:widowControl/>
              <w:jc w:val="center"/>
              <w:textAlignment w:val="center"/>
              <w:rPr>
                <w:rFonts w:eastAsia="仿宋_GB2312"/>
                <w:b/>
                <w:color w:val="auto"/>
                <w:sz w:val="21"/>
                <w:szCs w:val="21"/>
              </w:rPr>
            </w:pPr>
            <w:r>
              <w:rPr>
                <w:rFonts w:eastAsia="仿宋_GB2312"/>
                <w:color w:val="auto"/>
                <w:sz w:val="21"/>
                <w:szCs w:val="21"/>
              </w:rPr>
              <w:t>安拆费</w:t>
            </w:r>
          </w:p>
        </w:tc>
        <w:tc>
          <w:tcPr>
            <w:tcW w:w="976" w:type="dxa"/>
            <w:tcBorders>
              <w:tl2br w:val="nil"/>
              <w:tr2bl w:val="nil"/>
            </w:tcBorders>
            <w:vAlign w:val="center"/>
          </w:tcPr>
          <w:p>
            <w:pPr>
              <w:widowControl/>
              <w:jc w:val="center"/>
              <w:textAlignment w:val="center"/>
              <w:rPr>
                <w:rFonts w:eastAsia="仿宋_GB2312"/>
                <w:b/>
                <w:color w:val="auto"/>
                <w:sz w:val="21"/>
                <w:szCs w:val="21"/>
              </w:rPr>
            </w:pPr>
            <w:r>
              <w:rPr>
                <w:rFonts w:eastAsia="仿宋_GB2312"/>
                <w:color w:val="auto"/>
                <w:sz w:val="21"/>
                <w:szCs w:val="21"/>
              </w:rPr>
              <w:t>人工费</w:t>
            </w:r>
          </w:p>
        </w:tc>
        <w:tc>
          <w:tcPr>
            <w:tcW w:w="1257" w:type="dxa"/>
            <w:tcBorders>
              <w:tl2br w:val="nil"/>
              <w:tr2bl w:val="nil"/>
            </w:tcBorders>
            <w:vAlign w:val="center"/>
          </w:tcPr>
          <w:p>
            <w:pPr>
              <w:widowControl/>
              <w:jc w:val="center"/>
              <w:textAlignment w:val="center"/>
              <w:rPr>
                <w:rFonts w:eastAsia="仿宋_GB2312"/>
                <w:b/>
                <w:color w:val="auto"/>
                <w:sz w:val="21"/>
                <w:szCs w:val="21"/>
              </w:rPr>
            </w:pPr>
            <w:r>
              <w:rPr>
                <w:rFonts w:eastAsia="仿宋_GB2312"/>
                <w:color w:val="auto"/>
                <w:sz w:val="21"/>
                <w:szCs w:val="21"/>
              </w:rPr>
              <w:t>动力燃料费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3" w:hRule="atLeast"/>
          <w:jc w:val="center"/>
        </w:trPr>
        <w:tc>
          <w:tcPr>
            <w:tcW w:w="975"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1</w:t>
            </w:r>
          </w:p>
        </w:tc>
        <w:tc>
          <w:tcPr>
            <w:tcW w:w="1622"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推土机74kW</w:t>
            </w:r>
          </w:p>
        </w:tc>
        <w:tc>
          <w:tcPr>
            <w:tcW w:w="974"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113.20</w:t>
            </w:r>
          </w:p>
        </w:tc>
        <w:tc>
          <w:tcPr>
            <w:tcW w:w="976"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16.81</w:t>
            </w:r>
          </w:p>
        </w:tc>
        <w:tc>
          <w:tcPr>
            <w:tcW w:w="976"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20.93</w:t>
            </w:r>
          </w:p>
        </w:tc>
        <w:tc>
          <w:tcPr>
            <w:tcW w:w="976"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0.86</w:t>
            </w:r>
          </w:p>
        </w:tc>
        <w:tc>
          <w:tcPr>
            <w:tcW w:w="976"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42.91</w:t>
            </w:r>
          </w:p>
        </w:tc>
        <w:tc>
          <w:tcPr>
            <w:tcW w:w="1257"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31.69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3" w:hRule="atLeast"/>
          <w:jc w:val="center"/>
        </w:trPr>
        <w:tc>
          <w:tcPr>
            <w:tcW w:w="975"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2</w:t>
            </w:r>
          </w:p>
        </w:tc>
        <w:tc>
          <w:tcPr>
            <w:tcW w:w="1622" w:type="dxa"/>
            <w:tcBorders>
              <w:tl2br w:val="nil"/>
              <w:tr2bl w:val="nil"/>
            </w:tcBorders>
            <w:vAlign w:val="center"/>
          </w:tcPr>
          <w:p>
            <w:pPr>
              <w:widowControl/>
              <w:spacing w:line="240" w:lineRule="auto"/>
              <w:jc w:val="center"/>
              <w:rPr>
                <w:rFonts w:eastAsia="仿宋_GB2312"/>
                <w:color w:val="auto"/>
                <w:sz w:val="21"/>
                <w:szCs w:val="21"/>
              </w:rPr>
            </w:pPr>
            <w:r>
              <w:rPr>
                <w:rFonts w:eastAsia="仿宋_GB2312"/>
                <w:color w:val="auto"/>
                <w:sz w:val="21"/>
                <w:szCs w:val="21"/>
              </w:rPr>
              <w:t>37kw拖拉机</w:t>
            </w:r>
          </w:p>
        </w:tc>
        <w:tc>
          <w:tcPr>
            <w:tcW w:w="974"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44.40</w:t>
            </w:r>
          </w:p>
        </w:tc>
        <w:tc>
          <w:tcPr>
            <w:tcW w:w="976"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2.69</w:t>
            </w:r>
          </w:p>
        </w:tc>
        <w:tc>
          <w:tcPr>
            <w:tcW w:w="976"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3.35</w:t>
            </w:r>
          </w:p>
        </w:tc>
        <w:tc>
          <w:tcPr>
            <w:tcW w:w="976"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0.16</w:t>
            </w:r>
          </w:p>
        </w:tc>
        <w:tc>
          <w:tcPr>
            <w:tcW w:w="976"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23.25</w:t>
            </w:r>
          </w:p>
        </w:tc>
        <w:tc>
          <w:tcPr>
            <w:tcW w:w="1257" w:type="dxa"/>
            <w:tcBorders>
              <w:tl2br w:val="nil"/>
              <w:tr2bl w:val="nil"/>
            </w:tcBorders>
            <w:vAlign w:val="center"/>
          </w:tcPr>
          <w:p>
            <w:pPr>
              <w:widowControl/>
              <w:spacing w:line="240" w:lineRule="auto"/>
              <w:jc w:val="center"/>
              <w:rPr>
                <w:color w:val="auto"/>
                <w:sz w:val="21"/>
                <w:szCs w:val="21"/>
              </w:rPr>
            </w:pPr>
            <w:r>
              <w:rPr>
                <w:rFonts w:eastAsia="仿宋_GB2312"/>
                <w:color w:val="auto"/>
                <w:sz w:val="21"/>
                <w:szCs w:val="21"/>
              </w:rPr>
              <w:t>14.95</w:t>
            </w:r>
          </w:p>
        </w:tc>
      </w:tr>
    </w:tbl>
    <w:p>
      <w:pPr>
        <w:spacing w:line="360" w:lineRule="auto"/>
        <w:jc w:val="center"/>
        <w:rPr>
          <w:rFonts w:eastAsia="仿宋_GB2312"/>
          <w:b/>
          <w:bCs/>
          <w:color w:val="auto"/>
          <w:szCs w:val="24"/>
        </w:rPr>
      </w:pPr>
    </w:p>
    <w:p>
      <w:pPr>
        <w:spacing w:line="360" w:lineRule="auto"/>
        <w:jc w:val="center"/>
        <w:rPr>
          <w:rFonts w:eastAsia="仿宋_GB2312"/>
          <w:b/>
          <w:bCs/>
          <w:color w:val="auto"/>
          <w:szCs w:val="24"/>
        </w:rPr>
      </w:pPr>
    </w:p>
    <w:p>
      <w:pPr>
        <w:spacing w:line="360" w:lineRule="auto"/>
        <w:rPr>
          <w:rFonts w:eastAsia="仿宋_GB2312"/>
          <w:b/>
          <w:color w:val="auto"/>
          <w:sz w:val="28"/>
        </w:rPr>
        <w:sectPr>
          <w:pgSz w:w="11906" w:h="16838"/>
          <w:pgMar w:top="1440" w:right="1588" w:bottom="1440" w:left="1588" w:header="851" w:footer="992" w:gutter="0"/>
          <w:pgNumType w:fmt="decimal"/>
          <w:cols w:space="720" w:num="1"/>
          <w:docGrid w:linePitch="312" w:charSpace="0"/>
        </w:sectPr>
      </w:pPr>
    </w:p>
    <w:p>
      <w:pPr>
        <w:spacing w:line="360" w:lineRule="auto"/>
        <w:jc w:val="center"/>
        <w:rPr>
          <w:rFonts w:eastAsia="仿宋_GB2312"/>
          <w:b/>
          <w:bCs/>
          <w:color w:val="auto"/>
          <w:szCs w:val="24"/>
        </w:rPr>
      </w:pPr>
      <w:r>
        <w:rPr>
          <w:rFonts w:eastAsia="仿宋_GB2312"/>
          <w:b/>
          <w:bCs/>
          <w:color w:val="auto"/>
          <w:szCs w:val="24"/>
        </w:rPr>
        <w:t>表7-</w:t>
      </w:r>
      <w:r>
        <w:rPr>
          <w:rFonts w:hint="eastAsia" w:eastAsia="仿宋_GB2312"/>
          <w:b/>
          <w:bCs/>
          <w:color w:val="auto"/>
          <w:szCs w:val="24"/>
          <w:lang w:val="en-US" w:eastAsia="zh-CN"/>
        </w:rPr>
        <w:t>7</w:t>
      </w:r>
      <w:r>
        <w:rPr>
          <w:rFonts w:eastAsia="仿宋_GB2312"/>
          <w:b/>
          <w:bCs/>
          <w:color w:val="auto"/>
          <w:szCs w:val="24"/>
        </w:rPr>
        <w:t xml:space="preserve">    单价汇总表     单位：元</w:t>
      </w:r>
    </w:p>
    <w:tbl>
      <w:tblPr>
        <w:tblStyle w:val="24"/>
        <w:tblW w:w="142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3"/>
        <w:gridCol w:w="1835"/>
        <w:gridCol w:w="669"/>
        <w:gridCol w:w="980"/>
        <w:gridCol w:w="900"/>
        <w:gridCol w:w="1263"/>
        <w:gridCol w:w="1123"/>
        <w:gridCol w:w="983"/>
        <w:gridCol w:w="1123"/>
        <w:gridCol w:w="983"/>
        <w:gridCol w:w="983"/>
        <w:gridCol w:w="983"/>
        <w:gridCol w:w="983"/>
        <w:gridCol w:w="8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3" w:type="dxa"/>
            <w:vMerge w:val="restart"/>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序号</w:t>
            </w:r>
          </w:p>
        </w:tc>
        <w:tc>
          <w:tcPr>
            <w:tcW w:w="1835" w:type="dxa"/>
            <w:vMerge w:val="restart"/>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名称</w:t>
            </w:r>
          </w:p>
        </w:tc>
        <w:tc>
          <w:tcPr>
            <w:tcW w:w="669" w:type="dxa"/>
            <w:vMerge w:val="restart"/>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单位</w:t>
            </w:r>
          </w:p>
        </w:tc>
        <w:tc>
          <w:tcPr>
            <w:tcW w:w="980" w:type="dxa"/>
            <w:vMerge w:val="restart"/>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单价（元）</w:t>
            </w:r>
          </w:p>
        </w:tc>
        <w:tc>
          <w:tcPr>
            <w:tcW w:w="10136" w:type="dxa"/>
            <w:gridSpan w:val="10"/>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其中（元）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3" w:type="dxa"/>
            <w:vMerge w:val="continue"/>
            <w:noWrap w:val="0"/>
            <w:vAlign w:val="center"/>
          </w:tcPr>
          <w:p>
            <w:pPr>
              <w:widowControl/>
              <w:jc w:val="center"/>
              <w:rPr>
                <w:rFonts w:hint="default" w:ascii="Times New Roman" w:hAnsi="Times New Roman" w:eastAsia="仿宋_GB2312" w:cs="Times New Roman"/>
                <w:b/>
                <w:color w:val="auto"/>
                <w:kern w:val="0"/>
                <w:sz w:val="21"/>
                <w:szCs w:val="21"/>
                <w:highlight w:val="none"/>
              </w:rPr>
            </w:pPr>
          </w:p>
        </w:tc>
        <w:tc>
          <w:tcPr>
            <w:tcW w:w="1835" w:type="dxa"/>
            <w:vMerge w:val="continue"/>
            <w:noWrap w:val="0"/>
            <w:vAlign w:val="center"/>
          </w:tcPr>
          <w:p>
            <w:pPr>
              <w:widowControl/>
              <w:jc w:val="center"/>
              <w:rPr>
                <w:rFonts w:hint="default" w:ascii="Times New Roman" w:hAnsi="Times New Roman" w:eastAsia="仿宋_GB2312" w:cs="Times New Roman"/>
                <w:b/>
                <w:color w:val="auto"/>
                <w:kern w:val="0"/>
                <w:sz w:val="21"/>
                <w:szCs w:val="21"/>
                <w:highlight w:val="none"/>
              </w:rPr>
            </w:pPr>
          </w:p>
        </w:tc>
        <w:tc>
          <w:tcPr>
            <w:tcW w:w="669" w:type="dxa"/>
            <w:vMerge w:val="continue"/>
            <w:noWrap w:val="0"/>
            <w:vAlign w:val="center"/>
          </w:tcPr>
          <w:p>
            <w:pPr>
              <w:widowControl/>
              <w:jc w:val="center"/>
              <w:rPr>
                <w:rFonts w:hint="default" w:ascii="Times New Roman" w:hAnsi="Times New Roman" w:eastAsia="仿宋_GB2312" w:cs="Times New Roman"/>
                <w:b/>
                <w:color w:val="auto"/>
                <w:kern w:val="0"/>
                <w:sz w:val="21"/>
                <w:szCs w:val="21"/>
                <w:highlight w:val="none"/>
              </w:rPr>
            </w:pPr>
          </w:p>
        </w:tc>
        <w:tc>
          <w:tcPr>
            <w:tcW w:w="980" w:type="dxa"/>
            <w:vMerge w:val="continue"/>
            <w:noWrap w:val="0"/>
            <w:vAlign w:val="center"/>
          </w:tcPr>
          <w:p>
            <w:pPr>
              <w:widowControl/>
              <w:jc w:val="center"/>
              <w:rPr>
                <w:rFonts w:hint="default" w:ascii="Times New Roman" w:hAnsi="Times New Roman" w:eastAsia="仿宋_GB2312" w:cs="Times New Roman"/>
                <w:b/>
                <w:color w:val="auto"/>
                <w:kern w:val="0"/>
                <w:sz w:val="21"/>
                <w:szCs w:val="21"/>
                <w:highlight w:val="none"/>
              </w:rPr>
            </w:pPr>
          </w:p>
        </w:tc>
        <w:tc>
          <w:tcPr>
            <w:tcW w:w="900" w:type="dxa"/>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人工费</w:t>
            </w:r>
          </w:p>
        </w:tc>
        <w:tc>
          <w:tcPr>
            <w:tcW w:w="1263" w:type="dxa"/>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材料费</w:t>
            </w:r>
          </w:p>
        </w:tc>
        <w:tc>
          <w:tcPr>
            <w:tcW w:w="1123" w:type="dxa"/>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机械使用费</w:t>
            </w:r>
          </w:p>
        </w:tc>
        <w:tc>
          <w:tcPr>
            <w:tcW w:w="983" w:type="dxa"/>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其他直接费</w:t>
            </w:r>
          </w:p>
        </w:tc>
        <w:tc>
          <w:tcPr>
            <w:tcW w:w="1123" w:type="dxa"/>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现场</w:t>
            </w:r>
          </w:p>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经费</w:t>
            </w:r>
          </w:p>
        </w:tc>
        <w:tc>
          <w:tcPr>
            <w:tcW w:w="983" w:type="dxa"/>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间接费</w:t>
            </w:r>
          </w:p>
        </w:tc>
        <w:tc>
          <w:tcPr>
            <w:tcW w:w="983" w:type="dxa"/>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企业</w:t>
            </w:r>
          </w:p>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利润</w:t>
            </w:r>
          </w:p>
        </w:tc>
        <w:tc>
          <w:tcPr>
            <w:tcW w:w="983" w:type="dxa"/>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价差</w:t>
            </w:r>
          </w:p>
        </w:tc>
        <w:tc>
          <w:tcPr>
            <w:tcW w:w="983" w:type="dxa"/>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税金</w:t>
            </w:r>
          </w:p>
        </w:tc>
        <w:tc>
          <w:tcPr>
            <w:tcW w:w="812" w:type="dxa"/>
            <w:noWrap w:val="0"/>
            <w:vAlign w:val="center"/>
          </w:tcPr>
          <w:p>
            <w:pPr>
              <w:widowControl/>
              <w:jc w:val="center"/>
              <w:rPr>
                <w:rFonts w:hint="default" w:ascii="Times New Roman" w:hAnsi="Times New Roman" w:eastAsia="仿宋_GB2312" w:cs="Times New Roman"/>
                <w:b/>
                <w:color w:val="auto"/>
                <w:kern w:val="0"/>
                <w:sz w:val="21"/>
                <w:szCs w:val="21"/>
                <w:highlight w:val="none"/>
              </w:rPr>
            </w:pPr>
            <w:r>
              <w:rPr>
                <w:rFonts w:hint="default" w:ascii="Times New Roman" w:hAnsi="Times New Roman" w:eastAsia="仿宋_GB2312" w:cs="Times New Roman"/>
                <w:b/>
                <w:color w:val="auto"/>
                <w:kern w:val="0"/>
                <w:sz w:val="21"/>
                <w:szCs w:val="21"/>
                <w:highlight w:val="none"/>
              </w:rPr>
              <w:t>扩大系数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3" w:type="dxa"/>
            <w:noWrap w:val="0"/>
            <w:vAlign w:val="center"/>
          </w:tcPr>
          <w:p>
            <w:pPr>
              <w:widowControl/>
              <w:spacing w:line="240" w:lineRule="exact"/>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rPr>
              <w:t>1</w:t>
            </w:r>
          </w:p>
        </w:tc>
        <w:tc>
          <w:tcPr>
            <w:tcW w:w="1835" w:type="dxa"/>
            <w:noWrap w:val="0"/>
            <w:vAlign w:val="center"/>
          </w:tcPr>
          <w:p>
            <w:pPr>
              <w:widowControl/>
              <w:jc w:val="center"/>
              <w:rPr>
                <w:rFonts w:hint="eastAsia" w:eastAsia="仿宋_GB2312"/>
                <w:color w:val="auto"/>
                <w:kern w:val="0"/>
                <w:sz w:val="21"/>
                <w:szCs w:val="21"/>
                <w:highlight w:val="none"/>
                <w:lang w:val="en-US" w:eastAsia="zh-CN" w:bidi="ar-SA"/>
              </w:rPr>
            </w:pPr>
            <w:r>
              <w:rPr>
                <w:rFonts w:eastAsia="仿宋_GB2312"/>
                <w:color w:val="auto"/>
                <w:kern w:val="0"/>
                <w:sz w:val="21"/>
                <w:szCs w:val="21"/>
                <w:highlight w:val="none"/>
              </w:rPr>
              <w:t>密目网苫盖</w:t>
            </w:r>
          </w:p>
        </w:tc>
        <w:tc>
          <w:tcPr>
            <w:tcW w:w="669" w:type="dxa"/>
            <w:noWrap w:val="0"/>
            <w:vAlign w:val="center"/>
          </w:tcPr>
          <w:p>
            <w:pPr>
              <w:widowControl/>
              <w:jc w:val="center"/>
              <w:textAlignment w:val="center"/>
              <w:rPr>
                <w:rFonts w:hint="default" w:eastAsia="仿宋_GB2312"/>
                <w:color w:val="auto"/>
                <w:kern w:val="0"/>
                <w:sz w:val="21"/>
                <w:szCs w:val="21"/>
                <w:highlight w:val="none"/>
                <w:lang w:val="en-US" w:eastAsia="zh-CN" w:bidi="ar-SA"/>
              </w:rPr>
            </w:pPr>
            <w:r>
              <w:rPr>
                <w:color w:val="auto"/>
                <w:kern w:val="0"/>
                <w:sz w:val="21"/>
                <w:szCs w:val="21"/>
                <w:highlight w:val="none"/>
                <w:lang w:bidi="ar"/>
              </w:rPr>
              <w:t>m</w:t>
            </w:r>
            <w:r>
              <w:rPr>
                <w:color w:val="auto"/>
                <w:kern w:val="0"/>
                <w:sz w:val="21"/>
                <w:szCs w:val="21"/>
                <w:highlight w:val="none"/>
                <w:vertAlign w:val="superscript"/>
                <w:lang w:bidi="ar"/>
              </w:rPr>
              <w:t>2</w:t>
            </w:r>
          </w:p>
        </w:tc>
        <w:tc>
          <w:tcPr>
            <w:tcW w:w="980" w:type="dxa"/>
            <w:noWrap w:val="0"/>
            <w:vAlign w:val="center"/>
          </w:tcPr>
          <w:p>
            <w:pPr>
              <w:widowControl/>
              <w:jc w:val="center"/>
              <w:textAlignment w:val="center"/>
              <w:rPr>
                <w:rFonts w:hint="eastAsia"/>
                <w:color w:val="auto"/>
                <w:kern w:val="2"/>
                <w:sz w:val="21"/>
                <w:szCs w:val="21"/>
                <w:highlight w:val="none"/>
                <w:lang w:val="en-US" w:eastAsia="zh-CN" w:bidi="ar-SA"/>
              </w:rPr>
            </w:pPr>
            <w:r>
              <w:rPr>
                <w:color w:val="auto"/>
                <w:kern w:val="0"/>
                <w:sz w:val="21"/>
                <w:szCs w:val="21"/>
                <w:highlight w:val="none"/>
                <w:lang w:bidi="ar"/>
              </w:rPr>
              <w:t xml:space="preserve">4.59 </w:t>
            </w:r>
          </w:p>
        </w:tc>
        <w:tc>
          <w:tcPr>
            <w:tcW w:w="10136" w:type="dxa"/>
            <w:gridSpan w:val="10"/>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lang w:val="en-US" w:eastAsia="zh-CN"/>
              </w:rPr>
            </w:pPr>
            <w:r>
              <w:rPr>
                <w:rFonts w:eastAsia="仿宋_GB2312"/>
                <w:color w:val="auto"/>
                <w:sz w:val="21"/>
                <w:szCs w:val="21"/>
                <w:highlight w:val="none"/>
              </w:rPr>
              <w:t>主体已有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3" w:type="dxa"/>
            <w:noWrap w:val="0"/>
            <w:vAlign w:val="center"/>
          </w:tcPr>
          <w:p>
            <w:pPr>
              <w:widowControl/>
              <w:spacing w:line="240" w:lineRule="exact"/>
              <w:jc w:val="center"/>
              <w:rPr>
                <w:rFonts w:hint="default"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2</w:t>
            </w:r>
          </w:p>
        </w:tc>
        <w:tc>
          <w:tcPr>
            <w:tcW w:w="1835" w:type="dxa"/>
            <w:noWrap w:val="0"/>
            <w:vAlign w:val="center"/>
          </w:tcPr>
          <w:p>
            <w:pPr>
              <w:widowControl/>
              <w:jc w:val="center"/>
              <w:rPr>
                <w:rFonts w:hint="eastAsia" w:eastAsia="仿宋_GB2312"/>
                <w:color w:val="auto"/>
                <w:kern w:val="0"/>
                <w:sz w:val="21"/>
                <w:szCs w:val="21"/>
                <w:highlight w:val="none"/>
                <w:lang w:val="en-US" w:eastAsia="zh-CN"/>
              </w:rPr>
            </w:pPr>
            <w:r>
              <w:rPr>
                <w:rFonts w:hint="eastAsia" w:eastAsia="仿宋_GB2312"/>
                <w:color w:val="auto"/>
                <w:kern w:val="0"/>
                <w:sz w:val="21"/>
                <w:szCs w:val="21"/>
                <w:highlight w:val="none"/>
                <w:lang w:val="en-US" w:eastAsia="zh-CN"/>
              </w:rPr>
              <w:t>泥浆池</w:t>
            </w:r>
          </w:p>
        </w:tc>
        <w:tc>
          <w:tcPr>
            <w:tcW w:w="669" w:type="dxa"/>
            <w:noWrap w:val="0"/>
            <w:vAlign w:val="center"/>
          </w:tcPr>
          <w:p>
            <w:pPr>
              <w:widowControl/>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座</w:t>
            </w:r>
          </w:p>
        </w:tc>
        <w:tc>
          <w:tcPr>
            <w:tcW w:w="980" w:type="dxa"/>
            <w:noWrap w:val="0"/>
            <w:vAlign w:val="center"/>
          </w:tcPr>
          <w:p>
            <w:pPr>
              <w:widowControl/>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1500</w:t>
            </w:r>
          </w:p>
        </w:tc>
        <w:tc>
          <w:tcPr>
            <w:tcW w:w="10136" w:type="dxa"/>
            <w:gridSpan w:val="10"/>
            <w:noWrap w:val="0"/>
            <w:vAlign w:val="center"/>
          </w:tcPr>
          <w:p>
            <w:pPr>
              <w:keepNext w:val="0"/>
              <w:keepLines w:val="0"/>
              <w:widowControl/>
              <w:suppressLineNumbers w:val="0"/>
              <w:jc w:val="center"/>
              <w:textAlignment w:val="center"/>
              <w:rPr>
                <w:rFonts w:eastAsia="仿宋_GB2312"/>
                <w:color w:val="auto"/>
                <w:sz w:val="21"/>
                <w:szCs w:val="21"/>
                <w:highlight w:val="none"/>
              </w:rPr>
            </w:pPr>
            <w:r>
              <w:rPr>
                <w:rFonts w:eastAsia="仿宋_GB2312"/>
                <w:color w:val="auto"/>
                <w:sz w:val="21"/>
                <w:szCs w:val="21"/>
                <w:highlight w:val="none"/>
              </w:rPr>
              <w:t>主体已有</w:t>
            </w:r>
          </w:p>
        </w:tc>
      </w:tr>
    </w:tbl>
    <w:p>
      <w:pPr>
        <w:pStyle w:val="20"/>
        <w:rPr>
          <w:rFonts w:eastAsia="仿宋_GB2312"/>
          <w:b/>
          <w:bCs/>
          <w:color w:val="auto"/>
          <w:szCs w:val="24"/>
        </w:rPr>
      </w:pPr>
    </w:p>
    <w:p>
      <w:pPr>
        <w:rPr>
          <w:color w:val="auto"/>
        </w:rPr>
      </w:pPr>
    </w:p>
    <w:p>
      <w:pPr>
        <w:pStyle w:val="20"/>
        <w:ind w:left="480"/>
        <w:rPr>
          <w:color w:val="auto"/>
        </w:rPr>
        <w:sectPr>
          <w:headerReference r:id="rId21" w:type="default"/>
          <w:footerReference r:id="rId22" w:type="even"/>
          <w:pgSz w:w="16840" w:h="11907" w:orient="landscape"/>
          <w:pgMar w:top="1588" w:right="1418" w:bottom="1588" w:left="1418" w:header="851" w:footer="851" w:gutter="0"/>
          <w:pgNumType w:fmt="decimal"/>
          <w:cols w:space="720" w:num="1"/>
          <w:docGrid w:linePitch="326" w:charSpace="0"/>
        </w:sectPr>
      </w:pPr>
    </w:p>
    <w:p>
      <w:pPr>
        <w:pStyle w:val="5"/>
        <w:spacing w:before="0" w:after="0" w:line="360" w:lineRule="auto"/>
        <w:rPr>
          <w:rFonts w:ascii="Times New Roman" w:hAnsi="Times New Roman" w:eastAsia="仿宋_GB2312"/>
          <w:color w:val="auto"/>
          <w:sz w:val="28"/>
          <w:szCs w:val="28"/>
        </w:rPr>
      </w:pPr>
      <w:bookmarkStart w:id="59" w:name="_Toc30721"/>
      <w:bookmarkStart w:id="60" w:name="_Toc34234319"/>
      <w:bookmarkStart w:id="61" w:name="_Toc9044"/>
      <w:r>
        <w:rPr>
          <w:rFonts w:ascii="Times New Roman" w:hAnsi="Times New Roman" w:eastAsia="仿宋_GB2312"/>
          <w:color w:val="auto"/>
          <w:sz w:val="28"/>
          <w:szCs w:val="28"/>
        </w:rPr>
        <w:t>7.2 效益分析</w:t>
      </w:r>
      <w:bookmarkEnd w:id="59"/>
      <w:bookmarkEnd w:id="60"/>
      <w:bookmarkEnd w:id="61"/>
    </w:p>
    <w:p>
      <w:pPr>
        <w:snapToGrid w:val="0"/>
        <w:spacing w:line="360" w:lineRule="auto"/>
        <w:ind w:firstLine="480"/>
        <w:rPr>
          <w:rFonts w:eastAsia="仿宋_GB2312"/>
          <w:color w:val="auto"/>
          <w:szCs w:val="24"/>
        </w:rPr>
      </w:pPr>
      <w:r>
        <w:rPr>
          <w:rFonts w:eastAsia="仿宋_GB2312"/>
          <w:color w:val="auto"/>
          <w:szCs w:val="24"/>
        </w:rPr>
        <w:t>在对主体工程设计中具有水土保持措施的工程分析评价的基础上，对产生水土流失的区域采取了</w:t>
      </w:r>
      <w:r>
        <w:rPr>
          <w:rFonts w:hint="eastAsia" w:eastAsia="仿宋_GB2312"/>
          <w:color w:val="auto"/>
          <w:szCs w:val="24"/>
          <w:lang w:val="en-US" w:eastAsia="zh-CN"/>
        </w:rPr>
        <w:t>临时</w:t>
      </w:r>
      <w:r>
        <w:rPr>
          <w:rFonts w:eastAsia="仿宋_GB2312"/>
          <w:color w:val="auto"/>
          <w:szCs w:val="24"/>
        </w:rPr>
        <w:t>防护措施，按照方案设计的目标和要求，各项措施实施后，因工程建设带来的水土流失将得到有效控制。该项工程建设占地面积0.</w:t>
      </w:r>
      <w:r>
        <w:rPr>
          <w:rFonts w:hint="eastAsia" w:eastAsia="仿宋_GB2312"/>
          <w:color w:val="auto"/>
          <w:szCs w:val="24"/>
          <w:lang w:val="en-US" w:eastAsia="zh-CN"/>
        </w:rPr>
        <w:t>67</w:t>
      </w:r>
      <w:r>
        <w:rPr>
          <w:rFonts w:eastAsia="仿宋_GB2312"/>
          <w:color w:val="auto"/>
          <w:szCs w:val="24"/>
        </w:rPr>
        <w:t>hm</w:t>
      </w:r>
      <w:r>
        <w:rPr>
          <w:rFonts w:eastAsia="仿宋_GB2312"/>
          <w:color w:val="auto"/>
          <w:szCs w:val="24"/>
          <w:vertAlign w:val="superscript"/>
        </w:rPr>
        <w:t>2</w:t>
      </w:r>
      <w:r>
        <w:rPr>
          <w:rFonts w:eastAsia="仿宋_GB2312"/>
          <w:color w:val="auto"/>
          <w:szCs w:val="24"/>
        </w:rPr>
        <w:t>；扰动土地面积 0.</w:t>
      </w:r>
      <w:r>
        <w:rPr>
          <w:rFonts w:hint="eastAsia" w:eastAsia="仿宋_GB2312"/>
          <w:color w:val="auto"/>
          <w:szCs w:val="24"/>
          <w:lang w:val="en-US" w:eastAsia="zh-CN"/>
        </w:rPr>
        <w:t>67</w:t>
      </w:r>
      <w:r>
        <w:rPr>
          <w:rFonts w:eastAsia="仿宋_GB2312"/>
          <w:color w:val="auto"/>
          <w:szCs w:val="24"/>
        </w:rPr>
        <w:t>hm</w:t>
      </w:r>
      <w:r>
        <w:rPr>
          <w:rFonts w:eastAsia="仿宋_GB2312"/>
          <w:color w:val="auto"/>
          <w:szCs w:val="24"/>
          <w:vertAlign w:val="superscript"/>
        </w:rPr>
        <w:t>2</w:t>
      </w:r>
      <w:r>
        <w:rPr>
          <w:rFonts w:eastAsia="仿宋_GB2312"/>
          <w:color w:val="auto"/>
          <w:szCs w:val="24"/>
        </w:rPr>
        <w:t>。水土保持方案实施后，水土流失治理达标面积 0.</w:t>
      </w:r>
      <w:r>
        <w:rPr>
          <w:rFonts w:hint="eastAsia" w:eastAsia="仿宋_GB2312"/>
          <w:color w:val="auto"/>
          <w:szCs w:val="24"/>
          <w:lang w:val="en-US" w:eastAsia="zh-CN"/>
        </w:rPr>
        <w:t>66</w:t>
      </w:r>
      <w:r>
        <w:rPr>
          <w:rFonts w:eastAsia="仿宋_GB2312"/>
          <w:color w:val="auto"/>
          <w:szCs w:val="24"/>
        </w:rPr>
        <w:t>hm</w:t>
      </w:r>
      <w:r>
        <w:rPr>
          <w:rFonts w:eastAsia="仿宋_GB2312"/>
          <w:color w:val="auto"/>
          <w:szCs w:val="24"/>
          <w:vertAlign w:val="superscript"/>
        </w:rPr>
        <w:t>2</w:t>
      </w:r>
      <w:r>
        <w:rPr>
          <w:rFonts w:eastAsia="仿宋_GB2312"/>
          <w:color w:val="auto"/>
          <w:szCs w:val="24"/>
        </w:rPr>
        <w:t xml:space="preserve">，渣土防护量 </w:t>
      </w:r>
      <w:r>
        <w:rPr>
          <w:rFonts w:hint="eastAsia" w:eastAsia="仿宋_GB2312"/>
          <w:color w:val="auto"/>
          <w:szCs w:val="24"/>
          <w:lang w:val="en-US" w:eastAsia="zh-CN"/>
        </w:rPr>
        <w:t>295</w:t>
      </w:r>
      <w:r>
        <w:rPr>
          <w:rFonts w:eastAsia="仿宋_GB2312"/>
          <w:color w:val="auto"/>
          <w:szCs w:val="24"/>
        </w:rPr>
        <w:t xml:space="preserve"> m³</w:t>
      </w:r>
    </w:p>
    <w:p>
      <w:pPr>
        <w:snapToGrid w:val="0"/>
        <w:spacing w:line="360" w:lineRule="auto"/>
        <w:ind w:firstLine="480" w:firstLineChars="200"/>
        <w:rPr>
          <w:rFonts w:eastAsia="仿宋_GB2312"/>
          <w:color w:val="auto"/>
          <w:szCs w:val="24"/>
        </w:rPr>
      </w:pPr>
      <w:r>
        <w:rPr>
          <w:rFonts w:eastAsia="仿宋_GB2312"/>
          <w:color w:val="auto"/>
          <w:szCs w:val="24"/>
        </w:rPr>
        <w:t>设计水平年的防治指标可能实现情况为：水土流失治理度达到99％；土壤流失控制比达到1.0；渣土防护率达到9</w:t>
      </w:r>
      <w:r>
        <w:rPr>
          <w:rFonts w:hint="eastAsia" w:eastAsia="仿宋_GB2312"/>
          <w:color w:val="auto"/>
          <w:szCs w:val="24"/>
          <w:lang w:val="en-US" w:eastAsia="zh-CN"/>
        </w:rPr>
        <w:t>8</w:t>
      </w:r>
      <w:r>
        <w:rPr>
          <w:rFonts w:eastAsia="仿宋_GB2312"/>
          <w:color w:val="auto"/>
          <w:szCs w:val="24"/>
        </w:rPr>
        <w:t>％。</w:t>
      </w:r>
    </w:p>
    <w:p>
      <w:pPr>
        <w:spacing w:line="360" w:lineRule="auto"/>
        <w:jc w:val="center"/>
        <w:rPr>
          <w:rFonts w:eastAsia="仿宋_GB2312"/>
          <w:b/>
          <w:bCs/>
          <w:color w:val="auto"/>
          <w:szCs w:val="24"/>
        </w:rPr>
      </w:pPr>
      <w:r>
        <w:rPr>
          <w:rFonts w:eastAsia="仿宋_GB2312"/>
          <w:b/>
          <w:bCs/>
          <w:color w:val="auto"/>
          <w:szCs w:val="24"/>
        </w:rPr>
        <w:t>表7-</w:t>
      </w:r>
      <w:r>
        <w:rPr>
          <w:rFonts w:hint="eastAsia" w:eastAsia="仿宋_GB2312"/>
          <w:b/>
          <w:bCs/>
          <w:color w:val="auto"/>
          <w:szCs w:val="24"/>
          <w:lang w:val="en-US" w:eastAsia="zh-CN"/>
        </w:rPr>
        <w:t>8</w:t>
      </w:r>
      <w:r>
        <w:rPr>
          <w:rFonts w:eastAsia="仿宋_GB2312"/>
          <w:b/>
          <w:bCs/>
          <w:color w:val="auto"/>
          <w:szCs w:val="24"/>
        </w:rPr>
        <w:t xml:space="preserve">    设计水平年水土流失防治效果指标</w:t>
      </w:r>
    </w:p>
    <w:tbl>
      <w:tblPr>
        <w:tblStyle w:val="24"/>
        <w:tblW w:w="8656"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852"/>
        <w:gridCol w:w="2656"/>
        <w:gridCol w:w="982"/>
        <w:gridCol w:w="1076"/>
        <w:gridCol w:w="867"/>
        <w:gridCol w:w="98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项目</w:t>
            </w:r>
          </w:p>
        </w:tc>
        <w:tc>
          <w:tcPr>
            <w:tcW w:w="85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目标值</w:t>
            </w:r>
          </w:p>
        </w:tc>
        <w:tc>
          <w:tcPr>
            <w:tcW w:w="2656"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评估依据</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单位</w:t>
            </w:r>
          </w:p>
        </w:tc>
        <w:tc>
          <w:tcPr>
            <w:tcW w:w="1076"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数量</w:t>
            </w:r>
          </w:p>
        </w:tc>
        <w:tc>
          <w:tcPr>
            <w:tcW w:w="867"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设计</w:t>
            </w:r>
          </w:p>
          <w:p>
            <w:pPr>
              <w:widowControl/>
              <w:spacing w:line="240" w:lineRule="auto"/>
              <w:jc w:val="center"/>
              <w:rPr>
                <w:rFonts w:eastAsia="仿宋_GB2312"/>
                <w:bCs/>
                <w:color w:val="auto"/>
                <w:sz w:val="21"/>
                <w:szCs w:val="21"/>
              </w:rPr>
            </w:pPr>
            <w:r>
              <w:rPr>
                <w:rFonts w:eastAsia="仿宋_GB2312"/>
                <w:bCs/>
                <w:color w:val="auto"/>
                <w:sz w:val="21"/>
                <w:szCs w:val="21"/>
              </w:rPr>
              <w:t>实现值</w:t>
            </w:r>
          </w:p>
        </w:tc>
        <w:tc>
          <w:tcPr>
            <w:tcW w:w="983"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评估</w:t>
            </w:r>
          </w:p>
          <w:p>
            <w:pPr>
              <w:widowControl/>
              <w:spacing w:line="240" w:lineRule="auto"/>
              <w:jc w:val="center"/>
              <w:rPr>
                <w:rFonts w:eastAsia="仿宋_GB2312"/>
                <w:bCs/>
                <w:color w:val="auto"/>
                <w:sz w:val="21"/>
                <w:szCs w:val="21"/>
              </w:rPr>
            </w:pPr>
            <w:r>
              <w:rPr>
                <w:rFonts w:eastAsia="仿宋_GB2312"/>
                <w:bCs/>
                <w:color w:val="auto"/>
                <w:sz w:val="21"/>
                <w:szCs w:val="21"/>
              </w:rPr>
              <w:t>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restart"/>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水土流失治理度（%）</w:t>
            </w:r>
          </w:p>
        </w:tc>
        <w:tc>
          <w:tcPr>
            <w:tcW w:w="852" w:type="dxa"/>
            <w:vMerge w:val="restart"/>
            <w:tcBorders>
              <w:tl2br w:val="nil"/>
              <w:tr2bl w:val="nil"/>
            </w:tcBorders>
            <w:vAlign w:val="center"/>
          </w:tcPr>
          <w:p>
            <w:pPr>
              <w:pStyle w:val="71"/>
              <w:rPr>
                <w:rFonts w:ascii="Times New Roman" w:hAnsi="Times New Roman" w:eastAsia="仿宋_GB2312"/>
                <w:bCs/>
                <w:color w:val="auto"/>
              </w:rPr>
            </w:pPr>
            <w:r>
              <w:rPr>
                <w:rFonts w:ascii="Times New Roman" w:hAnsi="Times New Roman" w:eastAsia="仿宋_GB2312"/>
                <w:color w:val="auto"/>
              </w:rPr>
              <w:t xml:space="preserve">97 </w:t>
            </w:r>
          </w:p>
        </w:tc>
        <w:tc>
          <w:tcPr>
            <w:tcW w:w="265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水土流失治理达标面积</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hm</w:t>
            </w:r>
            <w:r>
              <w:rPr>
                <w:rFonts w:eastAsia="仿宋_GB2312"/>
                <w:bCs/>
                <w:color w:val="auto"/>
                <w:sz w:val="21"/>
                <w:szCs w:val="21"/>
                <w:vertAlign w:val="superscript"/>
              </w:rPr>
              <w:t>2</w:t>
            </w:r>
          </w:p>
        </w:tc>
        <w:tc>
          <w:tcPr>
            <w:tcW w:w="1076" w:type="dxa"/>
            <w:tcBorders>
              <w:tl2br w:val="nil"/>
              <w:tr2bl w:val="nil"/>
            </w:tcBorders>
            <w:vAlign w:val="center"/>
          </w:tcPr>
          <w:p>
            <w:pPr>
              <w:spacing w:line="240" w:lineRule="auto"/>
              <w:jc w:val="center"/>
              <w:rPr>
                <w:rFonts w:hint="default" w:eastAsia="仿宋_GB2312"/>
                <w:bCs/>
                <w:color w:val="auto"/>
                <w:sz w:val="21"/>
                <w:szCs w:val="21"/>
                <w:lang w:val="en-US" w:eastAsia="zh-CN"/>
              </w:rPr>
            </w:pPr>
            <w:r>
              <w:rPr>
                <w:rFonts w:hint="eastAsia" w:eastAsia="仿宋_GB2312"/>
                <w:bCs/>
                <w:color w:val="auto"/>
                <w:sz w:val="21"/>
                <w:szCs w:val="21"/>
                <w:lang w:val="en-US" w:eastAsia="zh-CN"/>
              </w:rPr>
              <w:t>0.66</w:t>
            </w:r>
          </w:p>
        </w:tc>
        <w:tc>
          <w:tcPr>
            <w:tcW w:w="867" w:type="dxa"/>
            <w:vMerge w:val="restart"/>
            <w:tcBorders>
              <w:tl2br w:val="nil"/>
              <w:tr2bl w:val="nil"/>
            </w:tcBorders>
            <w:vAlign w:val="center"/>
          </w:tcPr>
          <w:p>
            <w:pPr>
              <w:spacing w:line="240" w:lineRule="auto"/>
              <w:jc w:val="center"/>
              <w:rPr>
                <w:rFonts w:hint="eastAsia" w:eastAsia="仿宋_GB2312"/>
                <w:bCs/>
                <w:color w:val="auto"/>
                <w:sz w:val="21"/>
                <w:szCs w:val="21"/>
                <w:lang w:val="en-US" w:eastAsia="zh-CN"/>
              </w:rPr>
            </w:pPr>
            <w:r>
              <w:rPr>
                <w:rFonts w:eastAsia="仿宋_GB2312"/>
                <w:bCs/>
                <w:color w:val="auto"/>
                <w:sz w:val="21"/>
                <w:szCs w:val="21"/>
              </w:rPr>
              <w:t>9</w:t>
            </w:r>
            <w:r>
              <w:rPr>
                <w:rFonts w:hint="eastAsia" w:eastAsia="仿宋_GB2312"/>
                <w:bCs/>
                <w:color w:val="auto"/>
                <w:sz w:val="21"/>
                <w:szCs w:val="21"/>
                <w:lang w:val="en-US" w:eastAsia="zh-CN"/>
              </w:rPr>
              <w:t>9</w:t>
            </w:r>
          </w:p>
        </w:tc>
        <w:tc>
          <w:tcPr>
            <w:tcW w:w="983" w:type="dxa"/>
            <w:vMerge w:val="restart"/>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达到</w:t>
            </w:r>
          </w:p>
          <w:p>
            <w:pPr>
              <w:spacing w:line="240" w:lineRule="auto"/>
              <w:jc w:val="center"/>
              <w:rPr>
                <w:rFonts w:eastAsia="仿宋_GB2312"/>
                <w:bCs/>
                <w:color w:val="auto"/>
                <w:sz w:val="21"/>
                <w:szCs w:val="21"/>
              </w:rPr>
            </w:pPr>
            <w:r>
              <w:rPr>
                <w:rFonts w:eastAsia="仿宋_GB2312"/>
                <w:bCs/>
                <w:color w:val="auto"/>
                <w:sz w:val="21"/>
                <w:szCs w:val="21"/>
              </w:rPr>
              <w:t>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852"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265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水土流失总面积</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hm</w:t>
            </w:r>
            <w:r>
              <w:rPr>
                <w:rFonts w:eastAsia="仿宋_GB2312"/>
                <w:bCs/>
                <w:color w:val="auto"/>
                <w:sz w:val="21"/>
                <w:szCs w:val="21"/>
                <w:vertAlign w:val="superscript"/>
              </w:rPr>
              <w:t>2</w:t>
            </w:r>
          </w:p>
        </w:tc>
        <w:tc>
          <w:tcPr>
            <w:tcW w:w="1076" w:type="dxa"/>
            <w:tcBorders>
              <w:tl2br w:val="nil"/>
              <w:tr2bl w:val="nil"/>
            </w:tcBorders>
            <w:vAlign w:val="center"/>
          </w:tcPr>
          <w:p>
            <w:pPr>
              <w:spacing w:line="240" w:lineRule="auto"/>
              <w:jc w:val="center"/>
              <w:rPr>
                <w:rFonts w:hint="default" w:eastAsia="仿宋_GB2312"/>
                <w:bCs/>
                <w:color w:val="auto"/>
                <w:sz w:val="21"/>
                <w:szCs w:val="21"/>
                <w:lang w:val="en-US" w:eastAsia="zh-CN"/>
              </w:rPr>
            </w:pPr>
            <w:r>
              <w:rPr>
                <w:rFonts w:hint="eastAsia" w:eastAsia="仿宋_GB2312"/>
                <w:bCs/>
                <w:color w:val="auto"/>
                <w:sz w:val="21"/>
                <w:szCs w:val="21"/>
                <w:lang w:val="en-US" w:eastAsia="zh-CN"/>
              </w:rPr>
              <w:t>0.67</w:t>
            </w:r>
          </w:p>
        </w:tc>
        <w:tc>
          <w:tcPr>
            <w:tcW w:w="867"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983" w:type="dxa"/>
            <w:vMerge w:val="continue"/>
            <w:tcBorders>
              <w:tl2br w:val="nil"/>
              <w:tr2bl w:val="nil"/>
            </w:tcBorders>
            <w:vAlign w:val="center"/>
          </w:tcPr>
          <w:p>
            <w:pPr>
              <w:widowControl/>
              <w:spacing w:line="240" w:lineRule="auto"/>
              <w:jc w:val="center"/>
              <w:rPr>
                <w:rFonts w:eastAsia="仿宋_GB2312"/>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restart"/>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土壤流失控制比</w:t>
            </w:r>
          </w:p>
        </w:tc>
        <w:tc>
          <w:tcPr>
            <w:tcW w:w="852" w:type="dxa"/>
            <w:vMerge w:val="restart"/>
            <w:tcBorders>
              <w:tl2br w:val="nil"/>
              <w:tr2bl w:val="nil"/>
            </w:tcBorders>
            <w:vAlign w:val="center"/>
          </w:tcPr>
          <w:p>
            <w:pPr>
              <w:pStyle w:val="71"/>
              <w:rPr>
                <w:rFonts w:ascii="Times New Roman" w:hAnsi="Times New Roman" w:eastAsia="仿宋_GB2312"/>
                <w:bCs/>
                <w:color w:val="auto"/>
              </w:rPr>
            </w:pPr>
            <w:r>
              <w:rPr>
                <w:rFonts w:ascii="Times New Roman" w:hAnsi="Times New Roman" w:eastAsia="仿宋_GB2312"/>
                <w:color w:val="auto"/>
              </w:rPr>
              <w:t>1.0</w:t>
            </w:r>
          </w:p>
        </w:tc>
        <w:tc>
          <w:tcPr>
            <w:tcW w:w="265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土壤侵蚀模数容许值</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t/km</w:t>
            </w:r>
            <w:r>
              <w:rPr>
                <w:rFonts w:eastAsia="仿宋_GB2312"/>
                <w:bCs/>
                <w:color w:val="auto"/>
                <w:sz w:val="21"/>
                <w:szCs w:val="21"/>
                <w:vertAlign w:val="superscript"/>
              </w:rPr>
              <w:t>2</w:t>
            </w:r>
            <w:r>
              <w:rPr>
                <w:rFonts w:eastAsia="仿宋_GB2312"/>
                <w:bCs/>
                <w:color w:val="auto"/>
                <w:sz w:val="21"/>
                <w:szCs w:val="21"/>
              </w:rPr>
              <w:t>·a</w:t>
            </w:r>
          </w:p>
        </w:tc>
        <w:tc>
          <w:tcPr>
            <w:tcW w:w="107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200</w:t>
            </w:r>
          </w:p>
        </w:tc>
        <w:tc>
          <w:tcPr>
            <w:tcW w:w="867" w:type="dxa"/>
            <w:vMerge w:val="restart"/>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1.0</w:t>
            </w:r>
          </w:p>
        </w:tc>
        <w:tc>
          <w:tcPr>
            <w:tcW w:w="983" w:type="dxa"/>
            <w:vMerge w:val="restart"/>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达到</w:t>
            </w:r>
          </w:p>
          <w:p>
            <w:pPr>
              <w:spacing w:line="240" w:lineRule="auto"/>
              <w:jc w:val="center"/>
              <w:rPr>
                <w:rFonts w:eastAsia="仿宋_GB2312"/>
                <w:bCs/>
                <w:color w:val="auto"/>
                <w:sz w:val="21"/>
                <w:szCs w:val="21"/>
              </w:rPr>
            </w:pPr>
            <w:r>
              <w:rPr>
                <w:rFonts w:eastAsia="仿宋_GB2312"/>
                <w:bCs/>
                <w:color w:val="auto"/>
                <w:sz w:val="21"/>
                <w:szCs w:val="21"/>
              </w:rPr>
              <w:t>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852"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265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土壤侵蚀模数控制值</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t/km</w:t>
            </w:r>
            <w:r>
              <w:rPr>
                <w:rFonts w:eastAsia="仿宋_GB2312"/>
                <w:bCs/>
                <w:color w:val="auto"/>
                <w:sz w:val="21"/>
                <w:szCs w:val="21"/>
                <w:vertAlign w:val="superscript"/>
              </w:rPr>
              <w:t>2</w:t>
            </w:r>
            <w:r>
              <w:rPr>
                <w:rFonts w:eastAsia="仿宋_GB2312"/>
                <w:bCs/>
                <w:color w:val="auto"/>
                <w:sz w:val="21"/>
                <w:szCs w:val="21"/>
              </w:rPr>
              <w:t>·a</w:t>
            </w:r>
          </w:p>
        </w:tc>
        <w:tc>
          <w:tcPr>
            <w:tcW w:w="107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200</w:t>
            </w:r>
          </w:p>
        </w:tc>
        <w:tc>
          <w:tcPr>
            <w:tcW w:w="867"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983" w:type="dxa"/>
            <w:vMerge w:val="continue"/>
            <w:tcBorders>
              <w:tl2br w:val="nil"/>
              <w:tr2bl w:val="nil"/>
            </w:tcBorders>
            <w:vAlign w:val="center"/>
          </w:tcPr>
          <w:p>
            <w:pPr>
              <w:widowControl/>
              <w:spacing w:line="240" w:lineRule="auto"/>
              <w:jc w:val="center"/>
              <w:rPr>
                <w:rFonts w:eastAsia="仿宋_GB2312"/>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restart"/>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渣土防护率（%）</w:t>
            </w:r>
          </w:p>
        </w:tc>
        <w:tc>
          <w:tcPr>
            <w:tcW w:w="852" w:type="dxa"/>
            <w:vMerge w:val="restart"/>
            <w:tcBorders>
              <w:tl2br w:val="nil"/>
              <w:tr2bl w:val="nil"/>
            </w:tcBorders>
            <w:vAlign w:val="center"/>
          </w:tcPr>
          <w:p>
            <w:pPr>
              <w:pStyle w:val="71"/>
              <w:rPr>
                <w:rFonts w:hint="default" w:ascii="Times New Roman" w:hAnsi="Times New Roman" w:eastAsia="仿宋_GB2312"/>
                <w:bCs/>
                <w:color w:val="auto"/>
                <w:lang w:val="en-US" w:eastAsia="zh-CN"/>
              </w:rPr>
            </w:pPr>
            <w:r>
              <w:rPr>
                <w:rFonts w:hint="eastAsia" w:ascii="Times New Roman" w:hAnsi="Times New Roman" w:eastAsia="仿宋_GB2312"/>
                <w:color w:val="auto"/>
                <w:lang w:val="en-US" w:eastAsia="zh-CN"/>
              </w:rPr>
              <w:t>97</w:t>
            </w:r>
          </w:p>
        </w:tc>
        <w:tc>
          <w:tcPr>
            <w:tcW w:w="265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采取措施防护的临时堆土</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m</w:t>
            </w:r>
            <w:r>
              <w:rPr>
                <w:rFonts w:eastAsia="仿宋_GB2312"/>
                <w:bCs/>
                <w:color w:val="auto"/>
                <w:sz w:val="21"/>
                <w:szCs w:val="21"/>
                <w:vertAlign w:val="superscript"/>
              </w:rPr>
              <w:t>3</w:t>
            </w:r>
          </w:p>
        </w:tc>
        <w:tc>
          <w:tcPr>
            <w:tcW w:w="1076" w:type="dxa"/>
            <w:tcBorders>
              <w:tl2br w:val="nil"/>
              <w:tr2bl w:val="nil"/>
            </w:tcBorders>
            <w:vAlign w:val="center"/>
          </w:tcPr>
          <w:p>
            <w:pPr>
              <w:spacing w:line="240" w:lineRule="auto"/>
              <w:jc w:val="center"/>
              <w:rPr>
                <w:rFonts w:hint="default" w:eastAsia="仿宋_GB2312"/>
                <w:bCs/>
                <w:color w:val="auto"/>
                <w:sz w:val="21"/>
                <w:szCs w:val="21"/>
                <w:lang w:val="en-US" w:eastAsia="zh-CN"/>
              </w:rPr>
            </w:pPr>
            <w:r>
              <w:rPr>
                <w:rFonts w:hint="eastAsia" w:eastAsia="仿宋_GB2312"/>
                <w:bCs/>
                <w:color w:val="auto"/>
                <w:sz w:val="21"/>
                <w:szCs w:val="21"/>
                <w:lang w:val="en-US" w:eastAsia="zh-CN"/>
              </w:rPr>
              <w:t>295</w:t>
            </w:r>
          </w:p>
        </w:tc>
        <w:tc>
          <w:tcPr>
            <w:tcW w:w="867" w:type="dxa"/>
            <w:vMerge w:val="restart"/>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98</w:t>
            </w:r>
          </w:p>
        </w:tc>
        <w:tc>
          <w:tcPr>
            <w:tcW w:w="983" w:type="dxa"/>
            <w:vMerge w:val="restart"/>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达到</w:t>
            </w:r>
          </w:p>
          <w:p>
            <w:pPr>
              <w:spacing w:line="240" w:lineRule="auto"/>
              <w:jc w:val="center"/>
              <w:rPr>
                <w:rFonts w:eastAsia="仿宋_GB2312"/>
                <w:bCs/>
                <w:color w:val="auto"/>
                <w:sz w:val="21"/>
                <w:szCs w:val="21"/>
              </w:rPr>
            </w:pPr>
            <w:r>
              <w:rPr>
                <w:rFonts w:eastAsia="仿宋_GB2312"/>
                <w:bCs/>
                <w:color w:val="auto"/>
                <w:sz w:val="21"/>
                <w:szCs w:val="21"/>
              </w:rPr>
              <w:t>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852"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265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临时堆土总量</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m</w:t>
            </w:r>
            <w:r>
              <w:rPr>
                <w:rFonts w:eastAsia="仿宋_GB2312"/>
                <w:bCs/>
                <w:color w:val="auto"/>
                <w:sz w:val="21"/>
                <w:szCs w:val="21"/>
                <w:vertAlign w:val="superscript"/>
              </w:rPr>
              <w:t>3</w:t>
            </w:r>
          </w:p>
        </w:tc>
        <w:tc>
          <w:tcPr>
            <w:tcW w:w="1076" w:type="dxa"/>
            <w:tcBorders>
              <w:tl2br w:val="nil"/>
              <w:tr2bl w:val="nil"/>
            </w:tcBorders>
            <w:vAlign w:val="center"/>
          </w:tcPr>
          <w:p>
            <w:pPr>
              <w:spacing w:line="240" w:lineRule="auto"/>
              <w:jc w:val="center"/>
              <w:rPr>
                <w:rFonts w:hint="default" w:eastAsia="仿宋_GB2312"/>
                <w:bCs/>
                <w:color w:val="auto"/>
                <w:sz w:val="21"/>
                <w:szCs w:val="21"/>
                <w:lang w:val="en-US" w:eastAsia="zh-CN"/>
              </w:rPr>
            </w:pPr>
            <w:r>
              <w:rPr>
                <w:rFonts w:hint="eastAsia" w:eastAsia="仿宋_GB2312"/>
                <w:bCs/>
                <w:color w:val="auto"/>
                <w:sz w:val="21"/>
                <w:szCs w:val="21"/>
                <w:lang w:val="en-US" w:eastAsia="zh-CN"/>
              </w:rPr>
              <w:t>300</w:t>
            </w:r>
          </w:p>
        </w:tc>
        <w:tc>
          <w:tcPr>
            <w:tcW w:w="867"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983" w:type="dxa"/>
            <w:vMerge w:val="continue"/>
            <w:tcBorders>
              <w:tl2br w:val="nil"/>
              <w:tr2bl w:val="nil"/>
            </w:tcBorders>
            <w:vAlign w:val="center"/>
          </w:tcPr>
          <w:p>
            <w:pPr>
              <w:widowControl/>
              <w:spacing w:line="240" w:lineRule="auto"/>
              <w:jc w:val="center"/>
              <w:rPr>
                <w:rFonts w:eastAsia="仿宋_GB2312"/>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240" w:type="dxa"/>
            <w:vMerge w:val="restart"/>
            <w:tcBorders>
              <w:tl2br w:val="nil"/>
              <w:tr2bl w:val="nil"/>
            </w:tcBorders>
            <w:vAlign w:val="center"/>
          </w:tcPr>
          <w:p>
            <w:pPr>
              <w:widowControl/>
              <w:spacing w:line="240" w:lineRule="auto"/>
              <w:jc w:val="center"/>
              <w:rPr>
                <w:rFonts w:hint="default" w:eastAsia="仿宋_GB2312"/>
                <w:bCs/>
                <w:color w:val="auto"/>
                <w:sz w:val="21"/>
                <w:szCs w:val="21"/>
                <w:lang w:val="en-US" w:eastAsia="zh-CN"/>
              </w:rPr>
            </w:pPr>
            <w:r>
              <w:rPr>
                <w:rFonts w:hint="eastAsia" w:eastAsia="仿宋_GB2312"/>
                <w:bCs/>
                <w:color w:val="auto"/>
                <w:sz w:val="21"/>
                <w:szCs w:val="21"/>
                <w:lang w:val="en-US" w:eastAsia="zh-CN"/>
              </w:rPr>
              <w:t>表土保护率（%）</w:t>
            </w:r>
          </w:p>
        </w:tc>
        <w:tc>
          <w:tcPr>
            <w:tcW w:w="852" w:type="dxa"/>
            <w:vMerge w:val="restart"/>
            <w:tcBorders>
              <w:tl2br w:val="nil"/>
              <w:tr2bl w:val="nil"/>
            </w:tcBorders>
            <w:vAlign w:val="center"/>
          </w:tcPr>
          <w:p>
            <w:pPr>
              <w:widowControl/>
              <w:spacing w:line="240" w:lineRule="auto"/>
              <w:jc w:val="center"/>
              <w:rPr>
                <w:rFonts w:hint="default" w:eastAsia="仿宋_GB2312"/>
                <w:bCs/>
                <w:color w:val="auto"/>
                <w:sz w:val="21"/>
                <w:szCs w:val="21"/>
                <w:lang w:val="en-US" w:eastAsia="zh-CN"/>
              </w:rPr>
            </w:pPr>
            <w:r>
              <w:rPr>
                <w:rFonts w:hint="eastAsia" w:eastAsia="仿宋_GB2312"/>
                <w:bCs/>
                <w:color w:val="auto"/>
                <w:sz w:val="21"/>
                <w:szCs w:val="21"/>
                <w:lang w:val="en-US" w:eastAsia="zh-CN"/>
              </w:rPr>
              <w:t>--</w:t>
            </w:r>
          </w:p>
        </w:tc>
        <w:tc>
          <w:tcPr>
            <w:tcW w:w="2656" w:type="dxa"/>
            <w:tcBorders>
              <w:tl2br w:val="nil"/>
              <w:tr2bl w:val="nil"/>
            </w:tcBorders>
            <w:vAlign w:val="center"/>
          </w:tcPr>
          <w:p>
            <w:pPr>
              <w:spacing w:line="240" w:lineRule="auto"/>
              <w:jc w:val="center"/>
              <w:rPr>
                <w:rFonts w:ascii="Times New Roman" w:hAnsi="Times New Roman" w:eastAsia="仿宋_GB2312" w:cs="Times New Roman"/>
                <w:bCs/>
                <w:color w:val="auto"/>
                <w:sz w:val="21"/>
                <w:szCs w:val="21"/>
              </w:rPr>
            </w:pPr>
            <w:r>
              <w:rPr>
                <w:rFonts w:ascii="Times New Roman" w:hAnsi="Times New Roman" w:eastAsia="仿宋_GB2312" w:cs="Times New Roman"/>
                <w:bCs/>
                <w:color w:val="auto"/>
                <w:sz w:val="21"/>
                <w:szCs w:val="21"/>
              </w:rPr>
              <w:t>保护表土量</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m</w:t>
            </w:r>
            <w:r>
              <w:rPr>
                <w:rFonts w:eastAsia="仿宋_GB2312"/>
                <w:bCs/>
                <w:color w:val="auto"/>
                <w:sz w:val="21"/>
                <w:szCs w:val="21"/>
                <w:vertAlign w:val="superscript"/>
              </w:rPr>
              <w:t>3</w:t>
            </w:r>
          </w:p>
        </w:tc>
        <w:tc>
          <w:tcPr>
            <w:tcW w:w="1076" w:type="dxa"/>
            <w:tcBorders>
              <w:tl2br w:val="nil"/>
              <w:tr2bl w:val="nil"/>
            </w:tcBorders>
            <w:vAlign w:val="center"/>
          </w:tcPr>
          <w:p>
            <w:pPr>
              <w:spacing w:line="240" w:lineRule="auto"/>
              <w:jc w:val="center"/>
              <w:rPr>
                <w:rFonts w:eastAsia="仿宋_GB2312"/>
                <w:bCs/>
                <w:color w:val="auto"/>
                <w:sz w:val="21"/>
                <w:szCs w:val="21"/>
              </w:rPr>
            </w:pPr>
            <w:r>
              <w:rPr>
                <w:rFonts w:hint="eastAsia" w:eastAsia="仿宋_GB2312"/>
                <w:bCs/>
                <w:color w:val="auto"/>
                <w:sz w:val="21"/>
                <w:szCs w:val="21"/>
                <w:lang w:val="en-US" w:eastAsia="zh-CN"/>
              </w:rPr>
              <w:t>--</w:t>
            </w:r>
          </w:p>
        </w:tc>
        <w:tc>
          <w:tcPr>
            <w:tcW w:w="867" w:type="dxa"/>
            <w:vMerge w:val="restart"/>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w:t>
            </w:r>
          </w:p>
        </w:tc>
        <w:tc>
          <w:tcPr>
            <w:tcW w:w="983" w:type="dxa"/>
            <w:vMerge w:val="restart"/>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852"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2656" w:type="dxa"/>
            <w:tcBorders>
              <w:tl2br w:val="nil"/>
              <w:tr2bl w:val="nil"/>
            </w:tcBorders>
            <w:vAlign w:val="center"/>
          </w:tcPr>
          <w:p>
            <w:pPr>
              <w:spacing w:line="240" w:lineRule="auto"/>
              <w:jc w:val="center"/>
              <w:rPr>
                <w:rFonts w:ascii="Times New Roman" w:hAnsi="Times New Roman" w:eastAsia="仿宋_GB2312" w:cs="Times New Roman"/>
                <w:bCs/>
                <w:color w:val="auto"/>
                <w:sz w:val="21"/>
                <w:szCs w:val="21"/>
              </w:rPr>
            </w:pPr>
            <w:r>
              <w:rPr>
                <w:rFonts w:ascii="Times New Roman" w:hAnsi="Times New Roman" w:eastAsia="仿宋_GB2312" w:cs="Times New Roman"/>
                <w:bCs/>
                <w:color w:val="auto"/>
                <w:sz w:val="21"/>
                <w:szCs w:val="21"/>
              </w:rPr>
              <w:t>总剥离表土量</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m</w:t>
            </w:r>
            <w:r>
              <w:rPr>
                <w:rFonts w:eastAsia="仿宋_GB2312"/>
                <w:bCs/>
                <w:color w:val="auto"/>
                <w:sz w:val="21"/>
                <w:szCs w:val="21"/>
                <w:vertAlign w:val="superscript"/>
              </w:rPr>
              <w:t>3</w:t>
            </w:r>
          </w:p>
        </w:tc>
        <w:tc>
          <w:tcPr>
            <w:tcW w:w="1076" w:type="dxa"/>
            <w:tcBorders>
              <w:tl2br w:val="nil"/>
              <w:tr2bl w:val="nil"/>
            </w:tcBorders>
            <w:vAlign w:val="center"/>
          </w:tcPr>
          <w:p>
            <w:pPr>
              <w:spacing w:line="240" w:lineRule="auto"/>
              <w:jc w:val="center"/>
              <w:rPr>
                <w:rFonts w:eastAsia="仿宋_GB2312"/>
                <w:bCs/>
                <w:color w:val="auto"/>
                <w:sz w:val="21"/>
                <w:szCs w:val="21"/>
              </w:rPr>
            </w:pPr>
            <w:r>
              <w:rPr>
                <w:rFonts w:hint="eastAsia" w:eastAsia="仿宋_GB2312"/>
                <w:bCs/>
                <w:color w:val="auto"/>
                <w:sz w:val="21"/>
                <w:szCs w:val="21"/>
                <w:lang w:val="en-US" w:eastAsia="zh-CN"/>
              </w:rPr>
              <w:t>--</w:t>
            </w:r>
          </w:p>
        </w:tc>
        <w:tc>
          <w:tcPr>
            <w:tcW w:w="867" w:type="dxa"/>
            <w:vMerge w:val="continue"/>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p>
        </w:tc>
        <w:tc>
          <w:tcPr>
            <w:tcW w:w="983" w:type="dxa"/>
            <w:vMerge w:val="continue"/>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restart"/>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林草植被恢复率（%）</w:t>
            </w:r>
          </w:p>
        </w:tc>
        <w:tc>
          <w:tcPr>
            <w:tcW w:w="852" w:type="dxa"/>
            <w:vMerge w:val="restart"/>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w:t>
            </w:r>
          </w:p>
          <w:p>
            <w:pPr>
              <w:widowControl/>
              <w:spacing w:line="240" w:lineRule="auto"/>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w:t>
            </w:r>
          </w:p>
        </w:tc>
        <w:tc>
          <w:tcPr>
            <w:tcW w:w="265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林草植被面积</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hm</w:t>
            </w:r>
            <w:r>
              <w:rPr>
                <w:rFonts w:eastAsia="仿宋_GB2312"/>
                <w:bCs/>
                <w:color w:val="auto"/>
                <w:sz w:val="21"/>
                <w:szCs w:val="21"/>
                <w:vertAlign w:val="superscript"/>
              </w:rPr>
              <w:t>2</w:t>
            </w:r>
          </w:p>
        </w:tc>
        <w:tc>
          <w:tcPr>
            <w:tcW w:w="1076" w:type="dxa"/>
            <w:tcBorders>
              <w:tl2br w:val="nil"/>
              <w:tr2bl w:val="nil"/>
            </w:tcBorders>
            <w:vAlign w:val="center"/>
          </w:tcPr>
          <w:p>
            <w:pPr>
              <w:spacing w:line="240" w:lineRule="auto"/>
              <w:jc w:val="center"/>
              <w:rPr>
                <w:rFonts w:eastAsia="仿宋_GB2312"/>
                <w:bCs/>
                <w:color w:val="auto"/>
                <w:sz w:val="21"/>
                <w:szCs w:val="21"/>
              </w:rPr>
            </w:pPr>
            <w:r>
              <w:rPr>
                <w:rFonts w:hint="eastAsia" w:eastAsia="仿宋_GB2312"/>
                <w:bCs/>
                <w:color w:val="auto"/>
                <w:sz w:val="21"/>
                <w:szCs w:val="21"/>
                <w:lang w:val="en-US" w:eastAsia="zh-CN"/>
              </w:rPr>
              <w:t>--</w:t>
            </w:r>
          </w:p>
        </w:tc>
        <w:tc>
          <w:tcPr>
            <w:tcW w:w="867" w:type="dxa"/>
            <w:vMerge w:val="restart"/>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w:t>
            </w:r>
          </w:p>
        </w:tc>
        <w:tc>
          <w:tcPr>
            <w:tcW w:w="983" w:type="dxa"/>
            <w:vMerge w:val="restart"/>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852" w:type="dxa"/>
            <w:vMerge w:val="continue"/>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p>
        </w:tc>
        <w:tc>
          <w:tcPr>
            <w:tcW w:w="265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可恢复林草植被面积</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hm</w:t>
            </w:r>
            <w:r>
              <w:rPr>
                <w:rFonts w:eastAsia="仿宋_GB2312"/>
                <w:bCs/>
                <w:color w:val="auto"/>
                <w:sz w:val="21"/>
                <w:szCs w:val="21"/>
                <w:vertAlign w:val="superscript"/>
              </w:rPr>
              <w:t>2</w:t>
            </w:r>
          </w:p>
        </w:tc>
        <w:tc>
          <w:tcPr>
            <w:tcW w:w="1076" w:type="dxa"/>
            <w:tcBorders>
              <w:tl2br w:val="nil"/>
              <w:tr2bl w:val="nil"/>
            </w:tcBorders>
            <w:vAlign w:val="center"/>
          </w:tcPr>
          <w:p>
            <w:pPr>
              <w:spacing w:line="240" w:lineRule="auto"/>
              <w:jc w:val="center"/>
              <w:rPr>
                <w:rFonts w:eastAsia="仿宋_GB2312"/>
                <w:bCs/>
                <w:color w:val="auto"/>
                <w:sz w:val="21"/>
                <w:szCs w:val="21"/>
              </w:rPr>
            </w:pPr>
            <w:r>
              <w:rPr>
                <w:rFonts w:hint="eastAsia" w:eastAsia="仿宋_GB2312"/>
                <w:bCs/>
                <w:color w:val="auto"/>
                <w:sz w:val="21"/>
                <w:szCs w:val="21"/>
                <w:lang w:val="en-US" w:eastAsia="zh-CN"/>
              </w:rPr>
              <w:t>--</w:t>
            </w:r>
          </w:p>
        </w:tc>
        <w:tc>
          <w:tcPr>
            <w:tcW w:w="867" w:type="dxa"/>
            <w:vMerge w:val="continue"/>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p>
        </w:tc>
        <w:tc>
          <w:tcPr>
            <w:tcW w:w="983" w:type="dxa"/>
            <w:vMerge w:val="continue"/>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restart"/>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林草覆盖率（%）</w:t>
            </w:r>
          </w:p>
        </w:tc>
        <w:tc>
          <w:tcPr>
            <w:tcW w:w="852" w:type="dxa"/>
            <w:vMerge w:val="restart"/>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w:t>
            </w:r>
          </w:p>
        </w:tc>
        <w:tc>
          <w:tcPr>
            <w:tcW w:w="265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林草植被面积</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hm</w:t>
            </w:r>
            <w:r>
              <w:rPr>
                <w:rFonts w:eastAsia="仿宋_GB2312"/>
                <w:bCs/>
                <w:color w:val="auto"/>
                <w:sz w:val="21"/>
                <w:szCs w:val="21"/>
                <w:vertAlign w:val="superscript"/>
              </w:rPr>
              <w:t>2</w:t>
            </w:r>
          </w:p>
        </w:tc>
        <w:tc>
          <w:tcPr>
            <w:tcW w:w="1076" w:type="dxa"/>
            <w:tcBorders>
              <w:tl2br w:val="nil"/>
              <w:tr2bl w:val="nil"/>
            </w:tcBorders>
            <w:vAlign w:val="center"/>
          </w:tcPr>
          <w:p>
            <w:pPr>
              <w:spacing w:line="240" w:lineRule="auto"/>
              <w:jc w:val="center"/>
              <w:rPr>
                <w:rFonts w:eastAsia="仿宋_GB2312"/>
                <w:bCs/>
                <w:color w:val="auto"/>
                <w:sz w:val="21"/>
                <w:szCs w:val="21"/>
              </w:rPr>
            </w:pPr>
            <w:r>
              <w:rPr>
                <w:rFonts w:hint="eastAsia" w:eastAsia="仿宋_GB2312"/>
                <w:bCs/>
                <w:color w:val="auto"/>
                <w:sz w:val="21"/>
                <w:szCs w:val="21"/>
                <w:lang w:val="en-US" w:eastAsia="zh-CN"/>
              </w:rPr>
              <w:t>--</w:t>
            </w:r>
          </w:p>
        </w:tc>
        <w:tc>
          <w:tcPr>
            <w:tcW w:w="867" w:type="dxa"/>
            <w:vMerge w:val="restart"/>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w:t>
            </w:r>
          </w:p>
        </w:tc>
        <w:tc>
          <w:tcPr>
            <w:tcW w:w="983" w:type="dxa"/>
            <w:vMerge w:val="restart"/>
            <w:tcBorders>
              <w:tl2br w:val="nil"/>
              <w:tr2bl w:val="nil"/>
            </w:tcBorders>
            <w:vAlign w:val="center"/>
          </w:tcPr>
          <w:p>
            <w:pPr>
              <w:widowControl/>
              <w:spacing w:line="240" w:lineRule="auto"/>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852"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2656" w:type="dxa"/>
            <w:tcBorders>
              <w:tl2br w:val="nil"/>
              <w:tr2bl w:val="nil"/>
            </w:tcBorders>
            <w:vAlign w:val="center"/>
          </w:tcPr>
          <w:p>
            <w:pPr>
              <w:spacing w:line="240" w:lineRule="auto"/>
              <w:jc w:val="center"/>
              <w:rPr>
                <w:rFonts w:eastAsia="仿宋_GB2312"/>
                <w:bCs/>
                <w:color w:val="auto"/>
                <w:sz w:val="21"/>
                <w:szCs w:val="21"/>
              </w:rPr>
            </w:pPr>
            <w:r>
              <w:rPr>
                <w:rFonts w:eastAsia="仿宋_GB2312"/>
                <w:bCs/>
                <w:color w:val="auto"/>
                <w:sz w:val="21"/>
                <w:szCs w:val="21"/>
              </w:rPr>
              <w:t>总面积</w:t>
            </w:r>
          </w:p>
        </w:tc>
        <w:tc>
          <w:tcPr>
            <w:tcW w:w="982" w:type="dxa"/>
            <w:tcBorders>
              <w:tl2br w:val="nil"/>
              <w:tr2bl w:val="nil"/>
            </w:tcBorders>
            <w:vAlign w:val="center"/>
          </w:tcPr>
          <w:p>
            <w:pPr>
              <w:widowControl/>
              <w:spacing w:line="240" w:lineRule="auto"/>
              <w:jc w:val="center"/>
              <w:rPr>
                <w:rFonts w:eastAsia="仿宋_GB2312"/>
                <w:bCs/>
                <w:color w:val="auto"/>
                <w:sz w:val="21"/>
                <w:szCs w:val="21"/>
              </w:rPr>
            </w:pPr>
            <w:r>
              <w:rPr>
                <w:rFonts w:eastAsia="仿宋_GB2312"/>
                <w:bCs/>
                <w:color w:val="auto"/>
                <w:sz w:val="21"/>
                <w:szCs w:val="21"/>
              </w:rPr>
              <w:t>hm</w:t>
            </w:r>
            <w:r>
              <w:rPr>
                <w:rFonts w:eastAsia="仿宋_GB2312"/>
                <w:bCs/>
                <w:color w:val="auto"/>
                <w:sz w:val="21"/>
                <w:szCs w:val="21"/>
                <w:vertAlign w:val="superscript"/>
              </w:rPr>
              <w:t>2</w:t>
            </w:r>
          </w:p>
        </w:tc>
        <w:tc>
          <w:tcPr>
            <w:tcW w:w="1076" w:type="dxa"/>
            <w:tcBorders>
              <w:tl2br w:val="nil"/>
              <w:tr2bl w:val="nil"/>
            </w:tcBorders>
            <w:vAlign w:val="center"/>
          </w:tcPr>
          <w:p>
            <w:pPr>
              <w:spacing w:line="240" w:lineRule="auto"/>
              <w:jc w:val="center"/>
              <w:rPr>
                <w:rFonts w:eastAsia="仿宋_GB2312"/>
                <w:bCs/>
                <w:color w:val="auto"/>
                <w:sz w:val="21"/>
                <w:szCs w:val="21"/>
              </w:rPr>
            </w:pPr>
            <w:r>
              <w:rPr>
                <w:rFonts w:hint="eastAsia" w:eastAsia="仿宋_GB2312"/>
                <w:bCs/>
                <w:color w:val="auto"/>
                <w:sz w:val="21"/>
                <w:szCs w:val="21"/>
                <w:lang w:val="en-US" w:eastAsia="zh-CN"/>
              </w:rPr>
              <w:t>--</w:t>
            </w:r>
          </w:p>
        </w:tc>
        <w:tc>
          <w:tcPr>
            <w:tcW w:w="867" w:type="dxa"/>
            <w:vMerge w:val="continue"/>
            <w:tcBorders>
              <w:tl2br w:val="nil"/>
              <w:tr2bl w:val="nil"/>
            </w:tcBorders>
            <w:vAlign w:val="center"/>
          </w:tcPr>
          <w:p>
            <w:pPr>
              <w:widowControl/>
              <w:spacing w:line="240" w:lineRule="auto"/>
              <w:jc w:val="center"/>
              <w:rPr>
                <w:rFonts w:eastAsia="仿宋_GB2312"/>
                <w:bCs/>
                <w:color w:val="auto"/>
                <w:sz w:val="21"/>
                <w:szCs w:val="21"/>
              </w:rPr>
            </w:pPr>
          </w:p>
        </w:tc>
        <w:tc>
          <w:tcPr>
            <w:tcW w:w="983" w:type="dxa"/>
            <w:vMerge w:val="continue"/>
            <w:tcBorders>
              <w:tl2br w:val="nil"/>
              <w:tr2bl w:val="nil"/>
            </w:tcBorders>
            <w:vAlign w:val="center"/>
          </w:tcPr>
          <w:p>
            <w:pPr>
              <w:widowControl/>
              <w:spacing w:line="240" w:lineRule="auto"/>
              <w:jc w:val="center"/>
              <w:rPr>
                <w:rFonts w:eastAsia="仿宋_GB2312"/>
                <w:bCs/>
                <w:color w:val="auto"/>
                <w:sz w:val="21"/>
                <w:szCs w:val="21"/>
              </w:rPr>
            </w:pPr>
          </w:p>
        </w:tc>
      </w:tr>
    </w:tbl>
    <w:p>
      <w:pPr>
        <w:spacing w:line="360" w:lineRule="auto"/>
        <w:ind w:firstLine="480" w:firstLineChars="200"/>
        <w:rPr>
          <w:rFonts w:eastAsia="仿宋_GB2312"/>
          <w:color w:val="auto"/>
        </w:rPr>
      </w:pPr>
    </w:p>
    <w:p>
      <w:pPr>
        <w:spacing w:line="360" w:lineRule="auto"/>
        <w:ind w:firstLine="480" w:firstLineChars="200"/>
        <w:rPr>
          <w:rFonts w:eastAsia="仿宋_GB2312"/>
          <w:bCs/>
          <w:iCs/>
          <w:color w:val="auto"/>
        </w:rPr>
      </w:pPr>
      <w:r>
        <w:rPr>
          <w:rFonts w:eastAsia="仿宋_GB2312"/>
          <w:color w:val="auto"/>
        </w:rPr>
        <w:t>本方案对工程建设过程中可能产生水土流失的区域布设了水土保持防护措施，使新增水土流失得到有效控制，原有水土流失得到治理。采取水土保持措施后可减少土壤流失量</w:t>
      </w:r>
      <w:r>
        <w:rPr>
          <w:rFonts w:hint="eastAsia" w:eastAsia="仿宋_GB2312"/>
          <w:color w:val="auto"/>
          <w:lang w:val="en-US" w:eastAsia="zh-CN"/>
        </w:rPr>
        <w:t>23.18</w:t>
      </w:r>
      <w:r>
        <w:rPr>
          <w:rFonts w:eastAsia="仿宋_GB2312"/>
          <w:color w:val="auto"/>
        </w:rPr>
        <w:t>t。</w:t>
      </w:r>
    </w:p>
    <w:p>
      <w:pPr>
        <w:spacing w:line="360" w:lineRule="auto"/>
        <w:jc w:val="center"/>
        <w:rPr>
          <w:rFonts w:eastAsia="仿宋_GB2312"/>
          <w:b/>
          <w:color w:val="auto"/>
        </w:rPr>
      </w:pPr>
      <w:r>
        <w:rPr>
          <w:rFonts w:eastAsia="仿宋_GB2312"/>
          <w:b/>
          <w:iCs/>
          <w:color w:val="auto"/>
        </w:rPr>
        <w:t>表7-</w:t>
      </w:r>
      <w:r>
        <w:rPr>
          <w:rFonts w:hint="eastAsia" w:eastAsia="仿宋_GB2312"/>
          <w:b/>
          <w:iCs/>
          <w:color w:val="auto"/>
          <w:lang w:val="en-US" w:eastAsia="zh-CN"/>
        </w:rPr>
        <w:t>9</w:t>
      </w:r>
      <w:r>
        <w:rPr>
          <w:rFonts w:eastAsia="仿宋_GB2312"/>
          <w:b/>
          <w:iCs/>
          <w:color w:val="auto"/>
        </w:rPr>
        <w:t xml:space="preserve">               减少土壤流失量计算表              单位：t</w:t>
      </w:r>
    </w:p>
    <w:tbl>
      <w:tblPr>
        <w:tblStyle w:val="24"/>
        <w:tblW w:w="852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295"/>
        <w:gridCol w:w="1279"/>
        <w:gridCol w:w="1683"/>
        <w:gridCol w:w="1472"/>
        <w:gridCol w:w="147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27"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项目</w:t>
            </w:r>
          </w:p>
        </w:tc>
        <w:tc>
          <w:tcPr>
            <w:tcW w:w="1295"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施工期面积（hm</w:t>
            </w:r>
            <w:r>
              <w:rPr>
                <w:rFonts w:eastAsia="仿宋_GB2312"/>
                <w:bCs/>
                <w:color w:val="auto"/>
                <w:sz w:val="21"/>
                <w:szCs w:val="21"/>
                <w:vertAlign w:val="superscript"/>
              </w:rPr>
              <w:t>2</w:t>
            </w:r>
            <w:r>
              <w:rPr>
                <w:rFonts w:eastAsia="仿宋_GB2312"/>
                <w:bCs/>
                <w:color w:val="auto"/>
                <w:sz w:val="21"/>
                <w:szCs w:val="21"/>
              </w:rPr>
              <w:t>）</w:t>
            </w:r>
          </w:p>
        </w:tc>
        <w:tc>
          <w:tcPr>
            <w:tcW w:w="1279"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恢复期面积（hm</w:t>
            </w:r>
            <w:r>
              <w:rPr>
                <w:rFonts w:eastAsia="仿宋_GB2312"/>
                <w:bCs/>
                <w:color w:val="auto"/>
                <w:sz w:val="21"/>
                <w:szCs w:val="21"/>
                <w:vertAlign w:val="superscript"/>
              </w:rPr>
              <w:t>2</w:t>
            </w:r>
            <w:r>
              <w:rPr>
                <w:rFonts w:eastAsia="仿宋_GB2312"/>
                <w:bCs/>
                <w:color w:val="auto"/>
                <w:sz w:val="21"/>
                <w:szCs w:val="21"/>
              </w:rPr>
              <w:t>）</w:t>
            </w:r>
          </w:p>
        </w:tc>
        <w:tc>
          <w:tcPr>
            <w:tcW w:w="1683"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预测土壤流失量（t）</w:t>
            </w:r>
          </w:p>
        </w:tc>
        <w:tc>
          <w:tcPr>
            <w:tcW w:w="1472"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设计水平年后土壤流失量（t）</w:t>
            </w:r>
          </w:p>
        </w:tc>
        <w:tc>
          <w:tcPr>
            <w:tcW w:w="1472" w:type="dxa"/>
            <w:tcBorders>
              <w:tl2br w:val="nil"/>
              <w:tr2bl w:val="nil"/>
            </w:tcBorders>
            <w:vAlign w:val="center"/>
          </w:tcPr>
          <w:p>
            <w:pPr>
              <w:widowControl/>
              <w:jc w:val="center"/>
              <w:rPr>
                <w:rFonts w:eastAsia="仿宋_GB2312"/>
                <w:bCs/>
                <w:color w:val="auto"/>
                <w:sz w:val="21"/>
                <w:szCs w:val="21"/>
              </w:rPr>
            </w:pPr>
            <w:r>
              <w:rPr>
                <w:rFonts w:eastAsia="仿宋_GB2312"/>
                <w:bCs/>
                <w:color w:val="auto"/>
                <w:sz w:val="21"/>
                <w:szCs w:val="21"/>
              </w:rPr>
              <w:t>减少土壤流失量（t）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27" w:type="dxa"/>
            <w:tcBorders>
              <w:tl2br w:val="nil"/>
              <w:tr2bl w:val="nil"/>
            </w:tcBorders>
            <w:vAlign w:val="center"/>
          </w:tcPr>
          <w:p>
            <w:pPr>
              <w:widowControl/>
              <w:jc w:val="center"/>
              <w:rPr>
                <w:rFonts w:eastAsia="仿宋_GB2312"/>
                <w:color w:val="auto"/>
                <w:sz w:val="21"/>
                <w:szCs w:val="21"/>
              </w:rPr>
            </w:pPr>
            <w:r>
              <w:rPr>
                <w:rFonts w:eastAsia="仿宋_GB2312"/>
                <w:color w:val="auto"/>
                <w:sz w:val="21"/>
                <w:szCs w:val="21"/>
              </w:rPr>
              <w:t>工程建设区</w:t>
            </w:r>
          </w:p>
        </w:tc>
        <w:tc>
          <w:tcPr>
            <w:tcW w:w="1295" w:type="dxa"/>
            <w:tcBorders>
              <w:tl2br w:val="nil"/>
              <w:tr2bl w:val="nil"/>
            </w:tcBorders>
            <w:vAlign w:val="center"/>
          </w:tcPr>
          <w:p>
            <w:pPr>
              <w:widowControl/>
              <w:jc w:val="center"/>
              <w:rPr>
                <w:rFonts w:hint="default" w:eastAsia="仿宋_GB2312"/>
                <w:color w:val="auto"/>
                <w:sz w:val="21"/>
                <w:szCs w:val="21"/>
                <w:lang w:val="en-US" w:eastAsia="zh-CN"/>
              </w:rPr>
            </w:pPr>
            <w:r>
              <w:rPr>
                <w:rFonts w:hint="eastAsia" w:eastAsia="仿宋_GB2312"/>
                <w:color w:val="auto"/>
                <w:sz w:val="21"/>
                <w:szCs w:val="21"/>
                <w:lang w:val="en-US" w:eastAsia="zh-CN"/>
              </w:rPr>
              <w:t>0.67</w:t>
            </w:r>
          </w:p>
        </w:tc>
        <w:tc>
          <w:tcPr>
            <w:tcW w:w="1279" w:type="dxa"/>
            <w:tcBorders>
              <w:tl2br w:val="nil"/>
              <w:tr2bl w:val="nil"/>
            </w:tcBorders>
            <w:vAlign w:val="center"/>
          </w:tcPr>
          <w:p>
            <w:pPr>
              <w:widowControl/>
              <w:jc w:val="center"/>
              <w:rPr>
                <w:rFonts w:hint="default" w:eastAsia="仿宋_GB2312"/>
                <w:color w:val="auto"/>
                <w:sz w:val="21"/>
                <w:szCs w:val="21"/>
                <w:lang w:val="en-US" w:eastAsia="zh-CN"/>
              </w:rPr>
            </w:pPr>
            <w:r>
              <w:rPr>
                <w:rFonts w:hint="eastAsia" w:eastAsia="仿宋_GB2312"/>
                <w:color w:val="auto"/>
                <w:sz w:val="21"/>
                <w:szCs w:val="21"/>
                <w:lang w:val="en-US" w:eastAsia="zh-CN"/>
              </w:rPr>
              <w:t>0.00</w:t>
            </w:r>
          </w:p>
        </w:tc>
        <w:tc>
          <w:tcPr>
            <w:tcW w:w="1683" w:type="dxa"/>
            <w:tcBorders>
              <w:tl2br w:val="nil"/>
              <w:tr2bl w:val="nil"/>
            </w:tcBorders>
            <w:vAlign w:val="center"/>
          </w:tcPr>
          <w:p>
            <w:pPr>
              <w:widowControl/>
              <w:jc w:val="center"/>
              <w:rPr>
                <w:rFonts w:hint="default" w:eastAsia="仿宋_GB2312"/>
                <w:color w:val="auto"/>
                <w:sz w:val="21"/>
                <w:szCs w:val="21"/>
                <w:lang w:val="en-US" w:eastAsia="zh-CN"/>
              </w:rPr>
            </w:pPr>
            <w:r>
              <w:rPr>
                <w:rFonts w:hint="eastAsia" w:eastAsia="仿宋_GB2312"/>
                <w:color w:val="auto"/>
                <w:sz w:val="21"/>
                <w:szCs w:val="21"/>
                <w:lang w:val="en-US" w:eastAsia="zh-CN"/>
              </w:rPr>
              <w:t>24.52</w:t>
            </w:r>
          </w:p>
        </w:tc>
        <w:tc>
          <w:tcPr>
            <w:tcW w:w="1472" w:type="dxa"/>
            <w:tcBorders>
              <w:tl2br w:val="nil"/>
              <w:tr2bl w:val="nil"/>
            </w:tcBorders>
            <w:vAlign w:val="center"/>
          </w:tcPr>
          <w:p>
            <w:pPr>
              <w:widowControl/>
              <w:jc w:val="center"/>
              <w:rPr>
                <w:rFonts w:hint="default" w:eastAsia="仿宋_GB2312"/>
                <w:color w:val="auto"/>
                <w:sz w:val="21"/>
                <w:szCs w:val="21"/>
                <w:lang w:val="en-US" w:eastAsia="zh-CN"/>
              </w:rPr>
            </w:pPr>
            <w:r>
              <w:rPr>
                <w:rFonts w:hint="eastAsia" w:eastAsia="仿宋_GB2312"/>
                <w:color w:val="auto"/>
                <w:sz w:val="21"/>
                <w:szCs w:val="21"/>
                <w:lang w:val="en-US" w:eastAsia="zh-CN"/>
              </w:rPr>
              <w:t>1.34</w:t>
            </w:r>
          </w:p>
        </w:tc>
        <w:tc>
          <w:tcPr>
            <w:tcW w:w="1472" w:type="dxa"/>
            <w:tcBorders>
              <w:tl2br w:val="nil"/>
              <w:tr2bl w:val="nil"/>
            </w:tcBorders>
            <w:vAlign w:val="center"/>
          </w:tcPr>
          <w:p>
            <w:pPr>
              <w:widowControl/>
              <w:jc w:val="center"/>
              <w:rPr>
                <w:rFonts w:hint="default" w:eastAsia="仿宋_GB2312"/>
                <w:color w:val="auto"/>
                <w:sz w:val="21"/>
                <w:szCs w:val="21"/>
                <w:lang w:val="en-US" w:eastAsia="zh-CN"/>
              </w:rPr>
            </w:pPr>
            <w:r>
              <w:rPr>
                <w:rFonts w:hint="eastAsia" w:eastAsia="仿宋_GB2312"/>
                <w:color w:val="auto"/>
                <w:sz w:val="21"/>
                <w:szCs w:val="21"/>
                <w:lang w:val="en-US" w:eastAsia="zh-CN"/>
              </w:rPr>
              <w:t>23.18</w:t>
            </w:r>
          </w:p>
        </w:tc>
      </w:tr>
    </w:tbl>
    <w:p>
      <w:pPr>
        <w:spacing w:line="360" w:lineRule="auto"/>
        <w:ind w:firstLine="480" w:firstLineChars="200"/>
        <w:jc w:val="both"/>
        <w:rPr>
          <w:rFonts w:eastAsia="仿宋_GB2312"/>
          <w:color w:val="auto"/>
        </w:rPr>
        <w:sectPr>
          <w:headerReference r:id="rId23" w:type="default"/>
          <w:footerReference r:id="rId24" w:type="default"/>
          <w:type w:val="continuous"/>
          <w:pgSz w:w="11906" w:h="16838"/>
          <w:pgMar w:top="1440" w:right="1797" w:bottom="1440" w:left="1797" w:header="851" w:footer="992" w:gutter="0"/>
          <w:pgNumType w:fmt="decimal"/>
          <w:cols w:space="720" w:num="1"/>
          <w:docGrid w:linePitch="312" w:charSpace="0"/>
        </w:sectPr>
      </w:pPr>
    </w:p>
    <w:p>
      <w:pPr>
        <w:pStyle w:val="4"/>
        <w:spacing w:before="0" w:after="0" w:line="360" w:lineRule="auto"/>
        <w:rPr>
          <w:rFonts w:eastAsia="仿宋_GB2312"/>
          <w:color w:val="auto"/>
          <w:sz w:val="28"/>
          <w:szCs w:val="28"/>
        </w:rPr>
      </w:pPr>
      <w:bookmarkStart w:id="62" w:name="_Toc24780"/>
      <w:r>
        <w:rPr>
          <w:rFonts w:eastAsia="仿宋_GB2312"/>
          <w:color w:val="auto"/>
          <w:sz w:val="28"/>
          <w:szCs w:val="28"/>
        </w:rPr>
        <w:t>8.水土保持管理</w:t>
      </w:r>
      <w:bookmarkEnd w:id="62"/>
    </w:p>
    <w:p>
      <w:pPr>
        <w:pStyle w:val="5"/>
        <w:spacing w:before="0" w:after="0" w:line="360" w:lineRule="auto"/>
        <w:rPr>
          <w:rFonts w:ascii="Times New Roman" w:hAnsi="Times New Roman" w:eastAsia="仿宋_GB2312"/>
          <w:color w:val="auto"/>
          <w:sz w:val="28"/>
          <w:szCs w:val="28"/>
        </w:rPr>
      </w:pPr>
      <w:bookmarkStart w:id="63" w:name="_Toc12998"/>
      <w:r>
        <w:rPr>
          <w:rFonts w:ascii="Times New Roman" w:hAnsi="Times New Roman" w:eastAsia="仿宋_GB2312"/>
          <w:color w:val="auto"/>
          <w:sz w:val="28"/>
          <w:szCs w:val="28"/>
        </w:rPr>
        <w:t>8.1组织管理</w:t>
      </w:r>
      <w:bookmarkEnd w:id="63"/>
    </w:p>
    <w:p>
      <w:pPr>
        <w:spacing w:line="360" w:lineRule="auto"/>
        <w:ind w:firstLine="480" w:firstLineChars="200"/>
        <w:rPr>
          <w:rFonts w:hint="eastAsia" w:ascii="Times New Roman" w:hAnsi="Times New Roman" w:eastAsia="仿宋_GB2312" w:cs="Times New Roman"/>
          <w:color w:val="auto"/>
          <w:lang w:eastAsia="zh-CN"/>
        </w:rPr>
      </w:pPr>
      <w:r>
        <w:rPr>
          <w:rFonts w:hint="default" w:ascii="Times New Roman" w:hAnsi="Times New Roman" w:eastAsia="仿宋_GB2312" w:cs="Times New Roman"/>
          <w:color w:val="auto"/>
        </w:rPr>
        <w:t>本项目水土保持方案采取承诺制管理的形式，由项目建设单位组织实施，建 设单位必须加强领导和组织管理，成立项目水土保持方案实施组织机构，设置专 人负责水土保持工作，落实“项目法人制、招投标制和施工监理制”，明确职责； 制定方案</w:t>
      </w:r>
      <w:r>
        <w:rPr>
          <w:rFonts w:hint="eastAsia" w:eastAsia="仿宋_GB2312" w:cs="Times New Roman"/>
          <w:color w:val="auto"/>
          <w:lang w:val="en-US" w:eastAsia="zh-CN"/>
        </w:rPr>
        <w:t>实施</w:t>
      </w:r>
      <w:r>
        <w:rPr>
          <w:rFonts w:hint="default" w:ascii="Times New Roman" w:hAnsi="Times New Roman" w:eastAsia="仿宋_GB2312" w:cs="Times New Roman"/>
          <w:color w:val="auto"/>
        </w:rPr>
        <w:t>的目标责任制</w:t>
      </w:r>
      <w:r>
        <w:rPr>
          <w:rFonts w:hint="eastAsia" w:eastAsia="仿宋_GB2312" w:cs="Times New Roman"/>
          <w:color w:val="auto"/>
          <w:lang w:eastAsia="zh-CN"/>
        </w:rPr>
        <w:t>，</w:t>
      </w:r>
      <w:r>
        <w:rPr>
          <w:rFonts w:hint="default" w:ascii="Times New Roman" w:hAnsi="Times New Roman" w:eastAsia="仿宋_GB2312" w:cs="Times New Roman"/>
          <w:color w:val="auto"/>
        </w:rPr>
        <w:t>建立健全水土保持管理的规章制度，建立水土保持工程档案；生产建设单位应当加强对施工 单位的管理，在招标文件和施工合同中明确施工单位的水土保持责任，强化奖惩 制度，规范施工行为；严格控制施工扰动范围，禁止随意占压破坏地表植被；随 时向水行政主管部门报告建设信息，工程开工时应向当地水行政主管部门备案， 并与当地水行政主管部门保持密切联系，接受其监督检查，确保各年度水土保持 措施按方案要求落到实处</w:t>
      </w:r>
      <w:r>
        <w:rPr>
          <w:rFonts w:hint="eastAsia" w:ascii="Times New Roman" w:hAnsi="Times New Roman" w:eastAsia="仿宋_GB2312" w:cs="Times New Roman"/>
          <w:color w:val="auto"/>
          <w:lang w:eastAsia="zh-CN"/>
        </w:rPr>
        <w:t>。</w:t>
      </w:r>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rPr>
        <w:t xml:space="preserve">本项目各项水土保持措施投资纳入项目建设资金统一管理，并与主体工程建 设资金同时调拨使用、同时施工、同时发挥效益，建设单位应积极开展工作，落 实资金，保证方案施行。 </w:t>
      </w:r>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rPr>
        <w:t xml:space="preserve">水土保持项目管理机构负责水土保持工作组织领导和协调，积极配合各级水 行政主管部门对水土保持工作的监督检查和管理。项目管理中应实行“三制”措 施，即实行项目管理制和工程监理制，并与承包商、监理单位、监测单位签订水 土保持责任合同，以合同条款形式明确各方应承担的水保措施实施的责任范围、 义务和惩罚措施。水土保持措施完工后，组织水土保持竣工验收。积极接受各级 水行政主管部门的监督检查，按照水行政主管部门提出的督查意见及时组织整 改，并将整改情况上报水行政主管部门。 </w:t>
      </w:r>
    </w:p>
    <w:p>
      <w:pPr>
        <w:spacing w:line="360" w:lineRule="auto"/>
        <w:ind w:firstLine="480" w:firstLineChars="200"/>
        <w:rPr>
          <w:rFonts w:hint="eastAsia"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根据《水利部办公厅关于实施生产建设项目水土保持信用监管“两单”制度的 通知》（办水保〔2020〕157 号），生产建设单位如有：“未批先建”“未批先弃”“未 验先投”的；作出不实承诺或者未履行承诺的；未按规定组织开展水土保持设计、 监测、监理工作的；水土保持工程、植物、临时措施落实不足 50%的；不满足验收标准和条件而通过自主验收的；应当列入水土保持“重点关注名单”。在“重点关注名单”公开期内再次发生应当列入“重点关注名单”情形的，或作出不实承</w:t>
      </w:r>
      <w:r>
        <w:rPr>
          <w:rFonts w:hint="eastAsia" w:ascii="Times New Roman" w:hAnsi="Times New Roman" w:eastAsia="仿宋_GB2312" w:cs="Times New Roman"/>
          <w:color w:val="auto"/>
          <w:lang w:val="en-US" w:eastAsia="zh-CN"/>
        </w:rPr>
        <w:t>诺被撤销准予许可决定的，或被实施水土保持行政强制的，或拒不执行水土保持行政处罚决定的，应当列入水土保持“黑名单”。</w:t>
      </w:r>
    </w:p>
    <w:p>
      <w:pPr>
        <w:pStyle w:val="5"/>
        <w:spacing w:before="0" w:after="0" w:line="360" w:lineRule="auto"/>
        <w:rPr>
          <w:rFonts w:ascii="Times New Roman" w:hAnsi="Times New Roman" w:eastAsia="仿宋_GB2312"/>
          <w:color w:val="auto"/>
          <w:sz w:val="28"/>
          <w:szCs w:val="28"/>
        </w:rPr>
      </w:pPr>
      <w:bookmarkStart w:id="64" w:name="_Toc32700"/>
      <w:r>
        <w:rPr>
          <w:rFonts w:ascii="Times New Roman" w:hAnsi="Times New Roman" w:eastAsia="仿宋_GB2312"/>
          <w:color w:val="auto"/>
          <w:sz w:val="28"/>
          <w:szCs w:val="28"/>
        </w:rPr>
        <w:t>8.2后续设计</w:t>
      </w:r>
      <w:bookmarkEnd w:id="64"/>
    </w:p>
    <w:p>
      <w:pPr>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根据</w:t>
      </w:r>
      <w:r>
        <w:rPr>
          <w:rFonts w:ascii="宋体" w:hAnsi="宋体" w:eastAsia="宋体" w:cs="宋体"/>
          <w:color w:val="auto"/>
          <w:sz w:val="24"/>
          <w:szCs w:val="24"/>
        </w:rPr>
        <w:t>《吉林省水利厅关于印发省级生产建设项目水土保持后续设计报备政务事项服务指南的通知》（吉水保〔2022〕177 号）</w:t>
      </w:r>
      <w:r>
        <w:rPr>
          <w:rFonts w:hint="eastAsia" w:eastAsia="仿宋_GB2312" w:cs="Times New Roman"/>
          <w:color w:val="auto"/>
          <w:kern w:val="0"/>
          <w:sz w:val="24"/>
          <w:lang w:eastAsia="zh-CN"/>
        </w:rPr>
        <w:t>》</w:t>
      </w:r>
      <w:r>
        <w:rPr>
          <w:rFonts w:hint="default" w:ascii="Times New Roman" w:hAnsi="Times New Roman" w:eastAsia="仿宋_GB2312" w:cs="Times New Roman"/>
          <w:color w:val="auto"/>
          <w:kern w:val="0"/>
          <w:sz w:val="24"/>
        </w:rPr>
        <w:t xml:space="preserve">和吉水保函〔2021〕14 号《吉林省水利厅关于进一步加强全省生产建设项目水土保持承诺制管理工作的通知》要求，生产建设单位应当依据批准的水土保持方案和有关技术标准，与主体工程同步开展水土保持后续设计（包括水土保持初步设计和施工图设计、补充设计等），按程序与主体工程设计一并报经有关部门审核，并报水土保持方案审批机关备案，作为水土保持措施实施的依据。 </w:t>
      </w:r>
    </w:p>
    <w:p>
      <w:pPr>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根据《水利部关于进一步深化“放管服”改革全面加强水土保持监管的意见》 （水保〔2019〕160 号），水土保持方案批复后，当生产建设项目的地点、规模 发生重大变化的及水土保持方案实施过程中水土保持措施需要作出重大变更的， 必须严格按照</w:t>
      </w:r>
      <w:r>
        <w:rPr>
          <w:rFonts w:ascii="宋体" w:hAnsi="宋体" w:eastAsia="宋体" w:cs="宋体"/>
          <w:color w:val="auto"/>
          <w:sz w:val="24"/>
          <w:szCs w:val="24"/>
        </w:rPr>
        <w:t>《生产建设项目水土保持方案管理办法》（水利部第 53 号令）</w:t>
      </w:r>
      <w:r>
        <w:rPr>
          <w:rFonts w:hint="default" w:ascii="Times New Roman" w:hAnsi="Times New Roman" w:eastAsia="仿宋_GB2312" w:cs="Times New Roman"/>
          <w:color w:val="auto"/>
          <w:kern w:val="0"/>
          <w:sz w:val="24"/>
        </w:rPr>
        <w:t xml:space="preserve">文件补充或者修改水土保持方案并报原审批机关批准。 </w:t>
      </w:r>
    </w:p>
    <w:p>
      <w:pPr>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根据《水利部办公厅关于实施生产建设项目水土保持信用监管“两单”制度的 通知》（办水保〔2020〕157 号），设计单位如有：未按水土保持方案和设计规 范开展设计，擅自降低防治标准等级的；应当列入水土保持“重点关注名单”。在 “重点关注名单”公开期内再次发生应当列入“重点关注名单”情形的，或在设计工 作及相关技术成果中弄虚作假、谋取不正当利益的，或被实施水土保持行政强制 的，或拒不执行水土保持行政处罚决定的，应当列入水土保持“黑名单”</w:t>
      </w:r>
      <w:r>
        <w:rPr>
          <w:rFonts w:hint="eastAsia" w:eastAsia="仿宋_GB2312" w:cs="Times New Roman"/>
          <w:color w:val="auto"/>
          <w:kern w:val="0"/>
          <w:sz w:val="24"/>
          <w:lang w:eastAsia="zh-CN"/>
        </w:rPr>
        <w:t>。</w:t>
      </w:r>
    </w:p>
    <w:p>
      <w:pPr>
        <w:pStyle w:val="5"/>
        <w:spacing w:before="0" w:after="0" w:line="360" w:lineRule="auto"/>
        <w:rPr>
          <w:rFonts w:ascii="Times New Roman" w:hAnsi="Times New Roman" w:eastAsia="仿宋_GB2312"/>
          <w:color w:val="auto"/>
          <w:sz w:val="28"/>
          <w:szCs w:val="28"/>
        </w:rPr>
      </w:pPr>
      <w:bookmarkStart w:id="65" w:name="_Toc22620"/>
      <w:r>
        <w:rPr>
          <w:rFonts w:ascii="Times New Roman" w:hAnsi="Times New Roman" w:eastAsia="仿宋_GB2312"/>
          <w:color w:val="auto"/>
          <w:sz w:val="28"/>
          <w:szCs w:val="28"/>
        </w:rPr>
        <w:t>8.3水土保持监测</w:t>
      </w:r>
      <w:bookmarkEnd w:id="65"/>
    </w:p>
    <w:p>
      <w:pPr>
        <w:spacing w:line="360" w:lineRule="auto"/>
        <w:ind w:firstLine="480" w:firstLineChars="200"/>
        <w:jc w:val="both"/>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 xml:space="preserve">根据《中华人民共和国水土保持法》、《生产建设项目水土保持技术标准》 （GB 50433-2018）、《生产建设项目水土保持监测与评价标准》（GB/T 51240-2018）的规定和《吉林省水利厅关于进一步加强全省生产建设项目水土保持承诺制管理工作的通知》吉水保函〔2021〕14 号要求，编制水土保持方案报告表的项目，由建设单位自行安排水土保持监测工作，指定专职人员开展定期监测，并可适当简化监测要求，但应当根据项目实际对水土流失防治标准指标、水土流失防治责任范围、水土流失情况等必要内容开展水土保持监测。生产建设单位开展水土保持设施验收，应当严格执行水土保持标准规范，对于未依法依规开展水土保持监测或补充开展的水土保持监测不符合规定的，水土保持设施验收结论应当为不合格。 </w:t>
      </w:r>
    </w:p>
    <w:p>
      <w:pPr>
        <w:spacing w:line="360" w:lineRule="auto"/>
        <w:ind w:firstLine="480" w:firstLineChars="200"/>
        <w:jc w:val="both"/>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该项工程建设时，建设单位在开展水土保持监测工作时，首先应编制水土保 持监测实施方案。建设单位应该对项目区本底值情况、水土流失影响因素、水土 流失状况、水土流失危害和水土保持措施等进行监测；同时建立施工过程中水土 保持监测的影像、遥感、照片等档案资料；发生水土流失危害事件的，应现场通 知水行政主管部门，并展开监测，填写记录表。水土保持监测工作实行水土保持 监测“绿、黄、红”三色评价，水土保持监测单位根据监测情况，监测季报和总结 报告等监测成果中提出“绿、黄、红”三色评价结论，验证水土保持措施的合理性、 科学性，水土保持设施竣工验收时提交水土保持监测报告。生产建设项目水土保 持设施自主验收完成到水行政主管部门报备时，建设单位应当提供水土保持监测 总结报告，相关监测成果报告将作为验收的依据。</w:t>
      </w:r>
    </w:p>
    <w:p>
      <w:pPr>
        <w:spacing w:line="360" w:lineRule="auto"/>
        <w:ind w:firstLine="480" w:firstLineChars="200"/>
        <w:jc w:val="both"/>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根据《水利部办公厅关于实施生产建设项目水土保持信用监管“两单”制度的 通知》（办水保〔2020〕157 号），监测单位如有：迟于合同规定 6 个月以上未开展监测工作的；同一项目的监测季报 2 次未按时提交的；监测季报三色评价和总结报告结论与实际不符的；应当列入水土保持“重点关注名单”。在“重点关注名单”公开期内再次发生应当列入“重点关注名单”情形的，或在监测工作及相关技术成果中弄虚作假、谋取不正当利益的，或被实施水土保持行政强制的，或拒不执行水土保持行政处罚决定的，应当列入水土保持“黑名单”。</w:t>
      </w:r>
    </w:p>
    <w:p>
      <w:pPr>
        <w:pStyle w:val="5"/>
        <w:spacing w:before="0" w:after="0" w:line="360" w:lineRule="auto"/>
        <w:rPr>
          <w:rFonts w:ascii="Times New Roman" w:hAnsi="Times New Roman" w:eastAsia="仿宋_GB2312"/>
          <w:color w:val="auto"/>
          <w:sz w:val="28"/>
          <w:szCs w:val="28"/>
        </w:rPr>
      </w:pPr>
      <w:bookmarkStart w:id="66" w:name="_Toc14179"/>
      <w:r>
        <w:rPr>
          <w:rFonts w:ascii="Times New Roman" w:hAnsi="Times New Roman" w:eastAsia="仿宋_GB2312"/>
          <w:color w:val="auto"/>
          <w:sz w:val="28"/>
          <w:szCs w:val="28"/>
        </w:rPr>
        <w:t>8.4水土保持监理</w:t>
      </w:r>
      <w:bookmarkEnd w:id="66"/>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rPr>
        <w:t xml:space="preserve">根据《中华人民共和国水土保持法》、《水利工程建设监理规定》及《水利 部关于进一步深化“放管服”改革全面加强水土保持监管的意见的规定》（水保 〔2019〕160 号），凡主体工程开展监理工作的项目，应当按照水土保持监理标 准和规范开展水土保持工程施工监理。其监理成果是生产建设项目水土保持设施 验收的基础。建设单位需及时开展该项目水土保持工程的监理工作，建立施工过 程中临时措施影像等档案资料。水土保持竣工验收时，需提交水土保持专项监理报告及临时措施的影像资料，作为水土保持工程竣工验收的依据。 </w:t>
      </w:r>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rPr>
        <w:t xml:space="preserve">根据《水利工程建设监理规定》，批复的水土保持方案在实施过程中，必须 进行水土保持监理，其监理成果包括监理大事记、周报、月报、总结报告是开发 建设项目水土保持设施验收的基础。水土保持监理主要内容为水土保持工程合同 管理，按照合同控制工程建设的投资、工期和质量，并协调有关各方的关系，对 水土保持方案实施阶段的招投标工作和水土保持措施施工实施全过程的监理。 施工期水土保持监理的主要任务是组织设计交底和图纸会审；审查承包商提出的施工技术措施、施工进度计划和资金、物质、设备计划等；督促承包商执行工程承包合同，按照国家和行业标准和批复的设计文件施工；监督工程进度和质量，检查安全防护措施；核实完成的工程量；签发工程付款凭证，整理合同文件和技术档案资料；处理违约事件；协助项目法人进行工程各阶段验收。 </w:t>
      </w:r>
    </w:p>
    <w:p>
      <w:pPr>
        <w:spacing w:line="360" w:lineRule="auto"/>
        <w:ind w:firstLine="48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根据《水利部办公厅关于实施生产建设项目水土保持信用监管“两单”制度的 通知》（办水保〔2020〕157 号），监理单位如有：对施工单位违反规定擅自作 出重大变更未予制止和督促整改的；对未批先弃、乱弃乱倒、顺坡溜渣、随意开 挖等未予制止和督促整改的；应当列入水土保持“重点关注名单”。在“重点关注 名单”公开期内再次发生应当列入“重点关注名单”情形的，或在监理工作及相关 技术成果中弄虚作假、谋取不正当利益的，或被实施水土保持行政强制的，或拒 不执行水土保持行政处罚决定的，应当列入水土保持“黑名单”。</w:t>
      </w:r>
    </w:p>
    <w:p>
      <w:pPr>
        <w:pStyle w:val="5"/>
        <w:spacing w:before="0" w:after="0" w:line="360" w:lineRule="auto"/>
        <w:rPr>
          <w:rFonts w:ascii="Times New Roman" w:hAnsi="Times New Roman" w:eastAsia="仿宋_GB2312"/>
          <w:color w:val="auto"/>
          <w:sz w:val="28"/>
          <w:szCs w:val="28"/>
        </w:rPr>
      </w:pPr>
      <w:bookmarkStart w:id="67" w:name="_Toc10569"/>
      <w:r>
        <w:rPr>
          <w:rFonts w:ascii="Times New Roman" w:hAnsi="Times New Roman" w:eastAsia="仿宋_GB2312"/>
          <w:color w:val="auto"/>
          <w:sz w:val="28"/>
          <w:szCs w:val="28"/>
        </w:rPr>
        <w:t>8.5水土保持施工</w:t>
      </w:r>
      <w:bookmarkEnd w:id="67"/>
    </w:p>
    <w:p>
      <w:pPr>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 xml:space="preserve">建设单位在水土保持方案实施过程中应采取“三制”质量保证措施，即实行项 目法人责任制、工程招投标制和工程监理制，以保证水土保持方案的顺利实施， 并达到预期的设计目标。 </w:t>
      </w:r>
    </w:p>
    <w:p>
      <w:pPr>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建设单位在主体工程招投标文件中，要明确施工和监理单位的水土保持责任 和具体要求；建设单位应按水土保持工程技术要求，把水土保持工程各项内容纳 入招投标文件的正式条款中，中标后承包商与建设单位签订水土保持责任合同， 以合同条款形式明确承包商应承担的防治水土流失的责任、义务和实施的水土保 持措施。工程建设所需砂石料，在购买合同中应明确料场的水土流失防治责任由 供货方负责。</w:t>
      </w:r>
    </w:p>
    <w:p>
      <w:pPr>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 xml:space="preserve">为了保证工程水土保持方案提出的各项水土保持防治措施的实施和落实，建 设单位应派专人负责管理建设中的水土保持管理和实施工作，按照水土保持方案 的治理措施、进度安排、技术标准等，严格要求施工单位，保质保量地完成水土 保持各项措施。同时对施工单位组织《中华人民共和国水土保持法》学习、宣传 工作，提高工程建设者的水土保持自觉行动意识。同时应配备水土保持专业人员， 以解决措施实施过程中的技术问题，接受水行政主管部门的监督检查。 </w:t>
      </w:r>
    </w:p>
    <w:p>
      <w:pPr>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 xml:space="preserve">在方案实施过程中，建设单位应经常检查项目区水土流失防治情况及对周边 的影响，若对周边造成直接影响时应及时处理。建设单位应自觉接受各级水行政主管部门对项目水土保持方案落实情况和水土保持设施运行情况的跟踪检查。建设单位对水行政主管部门在监督检查中发现的问题应及时处理，遇重大突发事件，及时上报。 </w:t>
      </w:r>
    </w:p>
    <w:p>
      <w:pPr>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根据《水利部办公厅关于实施生产建设项目水土保持信用监管“两单”制度的 通知》（办水保〔2020〕157 号），施工单位如有：水土保持工程、植物、临时 措施落实到位不足 50%的；未按照监督检查、监测、监理意见要求对未批先弃、 乱弃乱倒、顺坡溜渣、随意开挖等问题进行整改的；应当列入水土保持“重点关注名单”。在“重点关注名单”公开期内再次发生应当列入“重点关注名单”情形的， 或在施工工作及相关技术成果中弄虚作假、谋取不正当利益的，或被实施水土保 持行政强制的，或拒不执行水土保持行政处罚决定的，应当列入水土保持“黑名 单”。</w:t>
      </w:r>
    </w:p>
    <w:p>
      <w:pPr>
        <w:pStyle w:val="5"/>
        <w:spacing w:before="0" w:after="0" w:line="360" w:lineRule="auto"/>
        <w:rPr>
          <w:rFonts w:ascii="Times New Roman" w:hAnsi="Times New Roman" w:eastAsia="仿宋_GB2312"/>
          <w:b w:val="0"/>
          <w:color w:val="auto"/>
          <w:szCs w:val="24"/>
        </w:rPr>
      </w:pPr>
      <w:bookmarkStart w:id="68" w:name="_Toc2450"/>
      <w:r>
        <w:rPr>
          <w:rFonts w:ascii="Times New Roman" w:hAnsi="Times New Roman" w:eastAsia="仿宋_GB2312"/>
          <w:color w:val="auto"/>
          <w:sz w:val="28"/>
          <w:szCs w:val="28"/>
        </w:rPr>
        <w:t>8.6水土保持设施验收</w:t>
      </w:r>
      <w:bookmarkEnd w:id="68"/>
    </w:p>
    <w:p>
      <w:pPr>
        <w:spacing w:line="360" w:lineRule="auto"/>
        <w:ind w:firstLine="480" w:firstLineChars="200"/>
        <w:rPr>
          <w:rFonts w:hint="default" w:ascii="Times New Roman" w:hAnsi="Times New Roman" w:eastAsia="仿宋_GB2312" w:cs="Times New Roman"/>
          <w:bCs/>
          <w:color w:val="auto"/>
          <w:kern w:val="0"/>
          <w:sz w:val="24"/>
        </w:rPr>
      </w:pPr>
      <w:r>
        <w:rPr>
          <w:rFonts w:hint="default" w:ascii="Times New Roman" w:hAnsi="Times New Roman" w:eastAsia="仿宋_GB2312" w:cs="Times New Roman"/>
          <w:bCs/>
          <w:color w:val="auto"/>
          <w:kern w:val="0"/>
          <w:sz w:val="24"/>
        </w:rPr>
        <w:t xml:space="preserve">按照《生产建设项目水土保持设施自主验收规程(试行)》（办水保﹝2018﹞ 133 号）、《吉林省水利厅关于印发生产建设项目水土保持设施自主验收报备政 务事项服务指南的通知》吉水保〔2022〕197 号和《吉林省水利厅关于进一步加 强全省生产建设项目水土保持承诺制管理工作的通知》吉水保函〔2021〕14 号的要求，生产建设单位是生产建设项目水土保持设施验收的责任主体。实行水土保持承诺制管理的生产建设项目（含编制水土保持方案报告书和报告表的项目），在其投产使用或者竣工验收前，应当开展水土保持设施自主验收，并应在水土保持设施验收通过 3 个月内，按规定完成报备并取得报备回执。生产建设单位未按规定取得报备证明的，视同为生产建设项目水土保持设施未经验收。 </w:t>
      </w:r>
    </w:p>
    <w:p>
      <w:pPr>
        <w:spacing w:line="360" w:lineRule="auto"/>
        <w:ind w:firstLine="480" w:firstLineChars="200"/>
        <w:rPr>
          <w:rFonts w:hint="default" w:ascii="Times New Roman" w:hAnsi="Times New Roman" w:eastAsia="仿宋_GB2312" w:cs="Times New Roman"/>
          <w:bCs/>
          <w:color w:val="auto"/>
          <w:kern w:val="0"/>
          <w:sz w:val="24"/>
        </w:rPr>
      </w:pPr>
      <w:r>
        <w:rPr>
          <w:rFonts w:hint="default" w:ascii="Times New Roman" w:hAnsi="Times New Roman" w:eastAsia="仿宋_GB2312" w:cs="Times New Roman"/>
          <w:bCs/>
          <w:color w:val="auto"/>
          <w:kern w:val="0"/>
          <w:sz w:val="24"/>
        </w:rPr>
        <w:t xml:space="preserve">实行承诺制管理的项目，生产建设单位组织开展水土保持设施竣工验收时， 验收组中应当有至少一名具备有效资格的省级水行政主管部门水土保持方案专 家库专家参加并签署意见，形成的水土保持设施验收鉴定书应当明确水土保持设 施验收合格与否的结论。 </w:t>
      </w:r>
    </w:p>
    <w:p>
      <w:pPr>
        <w:spacing w:line="360" w:lineRule="auto"/>
        <w:ind w:firstLine="480" w:firstLineChars="200"/>
        <w:rPr>
          <w:rFonts w:hint="default" w:ascii="Times New Roman" w:hAnsi="Times New Roman" w:eastAsia="仿宋_GB2312" w:cs="Times New Roman"/>
          <w:bCs/>
          <w:color w:val="auto"/>
          <w:kern w:val="0"/>
          <w:sz w:val="24"/>
        </w:rPr>
      </w:pPr>
      <w:r>
        <w:rPr>
          <w:rFonts w:hint="default" w:ascii="Times New Roman" w:hAnsi="Times New Roman" w:eastAsia="仿宋_GB2312" w:cs="Times New Roman"/>
          <w:bCs/>
          <w:color w:val="auto"/>
          <w:kern w:val="0"/>
          <w:sz w:val="24"/>
        </w:rPr>
        <w:t>实行承诺制管理的项目不需要编制水土保持设施验收报告，报备时只需要提 交按规定公示不少于 20 个工作日的水土保持设施验收鉴定书（其他验收材料应 当符合规定、齐全完备、成果可靠，并根据水行政主管部门核查所需及时提供备 查）。无设计的水土保持设施不得通过水土保持设施验收。</w:t>
      </w:r>
    </w:p>
    <w:p>
      <w:pPr>
        <w:spacing w:line="360" w:lineRule="auto"/>
        <w:ind w:firstLine="480" w:firstLineChars="200"/>
        <w:rPr>
          <w:rFonts w:hint="default" w:ascii="Times New Roman" w:hAnsi="Times New Roman" w:eastAsia="仿宋_GB2312" w:cs="Times New Roman"/>
          <w:bCs/>
          <w:color w:val="auto"/>
          <w:kern w:val="0"/>
          <w:sz w:val="24"/>
        </w:rPr>
      </w:pPr>
      <w:r>
        <w:rPr>
          <w:rFonts w:hint="default" w:ascii="Times New Roman" w:hAnsi="Times New Roman" w:eastAsia="仿宋_GB2312" w:cs="Times New Roman"/>
          <w:bCs/>
          <w:color w:val="auto"/>
          <w:kern w:val="0"/>
          <w:sz w:val="24"/>
        </w:rPr>
        <w:t>根据《水利部办公厅关于实施生产建设项目水土保持信用监管“两单”制度的 通知》（办水保〔2020〕157 号），验收报告编制单位如有：不满足验收标准和 条件而作出验收结论的；应当列入水土保持“重点关注名单”。在“重点关注名单” 公开期内再次发生应当列入“重点关注名单”情形的，或在验收工作及相关技术成 果中弄虚作假、谋取不正当利益的，或被实施水土保持行政强制的，或拒不执行 水土保持行政处罚决定的，应当列入水土保持“黑名单”。</w:t>
      </w:r>
    </w:p>
    <w:p>
      <w:pPr>
        <w:spacing w:line="360" w:lineRule="auto"/>
        <w:ind w:firstLine="480" w:firstLineChars="200"/>
        <w:rPr>
          <w:rFonts w:eastAsia="仿宋_GB2312"/>
          <w:color w:val="auto"/>
        </w:rPr>
        <w:sectPr>
          <w:headerReference r:id="rId25" w:type="default"/>
          <w:footerReference r:id="rId26" w:type="default"/>
          <w:pgSz w:w="11906" w:h="16838"/>
          <w:pgMar w:top="1440" w:right="1797" w:bottom="1440" w:left="1797" w:header="851" w:footer="992" w:gutter="0"/>
          <w:pgNumType w:fmt="decimal"/>
          <w:cols w:space="720" w:num="1"/>
          <w:docGrid w:linePitch="312" w:charSpace="0"/>
        </w:sectPr>
      </w:pPr>
    </w:p>
    <w:p>
      <w:pPr>
        <w:tabs>
          <w:tab w:val="left" w:pos="1440"/>
        </w:tabs>
        <w:spacing w:line="360" w:lineRule="auto"/>
        <w:jc w:val="center"/>
        <w:rPr>
          <w:rFonts w:eastAsia="仿宋_GB2312"/>
          <w:b/>
          <w:color w:val="auto"/>
          <w:sz w:val="28"/>
          <w:szCs w:val="28"/>
        </w:rPr>
      </w:pPr>
      <w:r>
        <w:rPr>
          <w:rFonts w:eastAsia="仿宋_GB2312"/>
          <w:b/>
          <w:color w:val="auto"/>
          <w:sz w:val="28"/>
          <w:szCs w:val="28"/>
        </w:rPr>
        <w:t>附表1        防治责任范围表</w:t>
      </w:r>
    </w:p>
    <w:p>
      <w:pPr>
        <w:snapToGrid w:val="0"/>
        <w:spacing w:line="360" w:lineRule="auto"/>
        <w:ind w:firstLine="480" w:firstLineChars="200"/>
        <w:rPr>
          <w:rFonts w:eastAsia="仿宋_GB2312"/>
          <w:color w:val="auto"/>
        </w:rPr>
      </w:pPr>
      <w:r>
        <w:rPr>
          <w:rFonts w:eastAsia="仿宋_GB2312"/>
          <w:color w:val="auto"/>
          <w:szCs w:val="24"/>
        </w:rPr>
        <w:t>生产建设项目水土流失防治责任范围应包括项目永久征地、临时用地（含租赁土地）以及其他使用与管辖区域。根据本项目主体工程文件、野外实地考察和同类项目类比调查，经统计分析，确定本项目水土流失防治责任范围为</w:t>
      </w:r>
      <w:r>
        <w:rPr>
          <w:rFonts w:hint="eastAsia" w:eastAsia="仿宋_GB2312"/>
          <w:color w:val="auto"/>
          <w:szCs w:val="24"/>
          <w:lang w:val="en-US" w:eastAsia="zh-CN"/>
        </w:rPr>
        <w:t>0.67</w:t>
      </w:r>
      <w:r>
        <w:rPr>
          <w:rFonts w:eastAsia="仿宋_GB2312"/>
          <w:color w:val="auto"/>
          <w:szCs w:val="24"/>
        </w:rPr>
        <w:t>hm²。具体见下表：</w:t>
      </w:r>
    </w:p>
    <w:p>
      <w:pPr>
        <w:spacing w:line="360" w:lineRule="auto"/>
        <w:jc w:val="center"/>
        <w:rPr>
          <w:rFonts w:eastAsia="仿宋_GB2312"/>
          <w:b/>
          <w:color w:val="auto"/>
          <w:szCs w:val="24"/>
        </w:rPr>
      </w:pPr>
      <w:r>
        <w:rPr>
          <w:rFonts w:eastAsia="仿宋_GB2312"/>
          <w:b/>
          <w:color w:val="auto"/>
          <w:szCs w:val="24"/>
        </w:rPr>
        <w:t>水土流失防治责任范围表</w:t>
      </w:r>
    </w:p>
    <w:tbl>
      <w:tblPr>
        <w:tblStyle w:val="24"/>
        <w:tblW w:w="8522"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891"/>
        <w:gridCol w:w="1950"/>
        <w:gridCol w:w="1648"/>
        <w:gridCol w:w="203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1" w:type="dxa"/>
            <w:tcBorders>
              <w:tl2br w:val="nil"/>
              <w:tr2bl w:val="nil"/>
            </w:tcBorders>
            <w:vAlign w:val="center"/>
          </w:tcPr>
          <w:p>
            <w:pPr>
              <w:widowControl/>
              <w:spacing w:line="240" w:lineRule="auto"/>
              <w:jc w:val="center"/>
              <w:rPr>
                <w:rFonts w:eastAsia="仿宋_GB2312"/>
                <w:color w:val="auto"/>
                <w:kern w:val="2"/>
                <w:sz w:val="21"/>
                <w:szCs w:val="21"/>
              </w:rPr>
            </w:pPr>
            <w:r>
              <w:rPr>
                <w:rFonts w:eastAsia="仿宋_GB2312"/>
                <w:color w:val="auto"/>
                <w:kern w:val="2"/>
                <w:sz w:val="21"/>
                <w:szCs w:val="21"/>
              </w:rPr>
              <w:t>项目分区</w:t>
            </w:r>
          </w:p>
        </w:tc>
        <w:tc>
          <w:tcPr>
            <w:tcW w:w="1950" w:type="dxa"/>
            <w:tcBorders>
              <w:tl2br w:val="nil"/>
              <w:tr2bl w:val="nil"/>
            </w:tcBorders>
            <w:vAlign w:val="center"/>
          </w:tcPr>
          <w:p>
            <w:pPr>
              <w:widowControl/>
              <w:spacing w:line="240" w:lineRule="auto"/>
              <w:jc w:val="center"/>
              <w:rPr>
                <w:rFonts w:eastAsia="仿宋_GB2312"/>
                <w:color w:val="auto"/>
                <w:kern w:val="2"/>
                <w:sz w:val="21"/>
                <w:szCs w:val="21"/>
              </w:rPr>
            </w:pPr>
            <w:r>
              <w:rPr>
                <w:rFonts w:eastAsia="仿宋_GB2312"/>
                <w:color w:val="auto"/>
                <w:kern w:val="2"/>
                <w:sz w:val="21"/>
                <w:szCs w:val="21"/>
              </w:rPr>
              <w:t>永久征地（hm²）</w:t>
            </w:r>
          </w:p>
        </w:tc>
        <w:tc>
          <w:tcPr>
            <w:tcW w:w="1648" w:type="dxa"/>
            <w:tcBorders>
              <w:tl2br w:val="nil"/>
              <w:tr2bl w:val="nil"/>
            </w:tcBorders>
            <w:vAlign w:val="center"/>
          </w:tcPr>
          <w:p>
            <w:pPr>
              <w:widowControl/>
              <w:spacing w:line="240" w:lineRule="auto"/>
              <w:jc w:val="center"/>
              <w:rPr>
                <w:rFonts w:eastAsia="仿宋_GB2312"/>
                <w:color w:val="auto"/>
                <w:kern w:val="2"/>
                <w:sz w:val="21"/>
                <w:szCs w:val="21"/>
              </w:rPr>
            </w:pPr>
            <w:r>
              <w:rPr>
                <w:rFonts w:eastAsia="仿宋_GB2312"/>
                <w:color w:val="auto"/>
                <w:kern w:val="2"/>
                <w:sz w:val="21"/>
                <w:szCs w:val="21"/>
              </w:rPr>
              <w:t>临时用地（hm²）</w:t>
            </w:r>
          </w:p>
        </w:tc>
        <w:tc>
          <w:tcPr>
            <w:tcW w:w="2033" w:type="dxa"/>
            <w:tcBorders>
              <w:tl2br w:val="nil"/>
              <w:tr2bl w:val="nil"/>
            </w:tcBorders>
            <w:vAlign w:val="center"/>
          </w:tcPr>
          <w:p>
            <w:pPr>
              <w:widowControl/>
              <w:spacing w:line="240" w:lineRule="auto"/>
              <w:jc w:val="center"/>
              <w:rPr>
                <w:rFonts w:eastAsia="仿宋_GB2312"/>
                <w:color w:val="auto"/>
                <w:kern w:val="2"/>
                <w:sz w:val="21"/>
                <w:szCs w:val="21"/>
              </w:rPr>
            </w:pPr>
            <w:r>
              <w:rPr>
                <w:rFonts w:eastAsia="仿宋_GB2312"/>
                <w:color w:val="auto"/>
                <w:kern w:val="2"/>
                <w:sz w:val="21"/>
                <w:szCs w:val="21"/>
              </w:rPr>
              <w:t>防治责任范围（hm²）</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1" w:type="dxa"/>
            <w:tcBorders>
              <w:tl2br w:val="nil"/>
              <w:tr2bl w:val="nil"/>
            </w:tcBorders>
            <w:vAlign w:val="center"/>
          </w:tcPr>
          <w:p>
            <w:pPr>
              <w:widowControl/>
              <w:adjustRightInd/>
              <w:spacing w:line="240" w:lineRule="auto"/>
              <w:jc w:val="center"/>
              <w:textAlignment w:val="auto"/>
              <w:rPr>
                <w:rFonts w:eastAsia="仿宋_GB2312"/>
                <w:color w:val="auto"/>
                <w:kern w:val="2"/>
                <w:sz w:val="21"/>
                <w:szCs w:val="21"/>
              </w:rPr>
            </w:pPr>
            <w:r>
              <w:rPr>
                <w:rFonts w:eastAsia="仿宋_GB2312"/>
                <w:color w:val="auto"/>
                <w:sz w:val="21"/>
                <w:szCs w:val="21"/>
              </w:rPr>
              <w:t>工程建设区</w:t>
            </w:r>
          </w:p>
        </w:tc>
        <w:tc>
          <w:tcPr>
            <w:tcW w:w="1950" w:type="dxa"/>
            <w:tcBorders>
              <w:tl2br w:val="nil"/>
              <w:tr2bl w:val="nil"/>
            </w:tcBorders>
            <w:vAlign w:val="center"/>
          </w:tcPr>
          <w:p>
            <w:pPr>
              <w:widowControl/>
              <w:adjustRightInd/>
              <w:spacing w:line="240" w:lineRule="auto"/>
              <w:jc w:val="center"/>
              <w:textAlignment w:val="auto"/>
              <w:rPr>
                <w:rFonts w:hint="default" w:eastAsia="仿宋_GB2312"/>
                <w:color w:val="auto"/>
                <w:kern w:val="2"/>
                <w:sz w:val="21"/>
                <w:szCs w:val="21"/>
                <w:lang w:val="en-US" w:eastAsia="zh-CN"/>
              </w:rPr>
            </w:pPr>
            <w:r>
              <w:rPr>
                <w:rFonts w:hint="eastAsia" w:eastAsia="仿宋_GB2312"/>
                <w:color w:val="auto"/>
                <w:kern w:val="2"/>
                <w:sz w:val="21"/>
                <w:szCs w:val="21"/>
                <w:lang w:val="en-US" w:eastAsia="zh-CN"/>
              </w:rPr>
              <w:t>0.67</w:t>
            </w:r>
          </w:p>
        </w:tc>
        <w:tc>
          <w:tcPr>
            <w:tcW w:w="1648" w:type="dxa"/>
            <w:tcBorders>
              <w:tl2br w:val="nil"/>
              <w:tr2bl w:val="nil"/>
            </w:tcBorders>
            <w:vAlign w:val="center"/>
          </w:tcPr>
          <w:p>
            <w:pPr>
              <w:widowControl/>
              <w:adjustRightInd/>
              <w:spacing w:line="240" w:lineRule="auto"/>
              <w:jc w:val="center"/>
              <w:textAlignment w:val="auto"/>
              <w:rPr>
                <w:rFonts w:eastAsia="仿宋_GB2312"/>
                <w:color w:val="auto"/>
                <w:kern w:val="2"/>
                <w:sz w:val="21"/>
                <w:szCs w:val="21"/>
              </w:rPr>
            </w:pPr>
            <w:r>
              <w:rPr>
                <w:rFonts w:hint="eastAsia" w:eastAsia="仿宋_GB2312"/>
                <w:color w:val="auto"/>
                <w:kern w:val="2"/>
                <w:sz w:val="21"/>
                <w:szCs w:val="21"/>
              </w:rPr>
              <w:t>0</w:t>
            </w:r>
          </w:p>
        </w:tc>
        <w:tc>
          <w:tcPr>
            <w:tcW w:w="2033" w:type="dxa"/>
            <w:tcBorders>
              <w:tl2br w:val="nil"/>
              <w:tr2bl w:val="nil"/>
            </w:tcBorders>
            <w:vAlign w:val="center"/>
          </w:tcPr>
          <w:p>
            <w:pPr>
              <w:widowControl/>
              <w:adjustRightInd/>
              <w:spacing w:line="240" w:lineRule="auto"/>
              <w:jc w:val="center"/>
              <w:textAlignment w:val="auto"/>
              <w:rPr>
                <w:rFonts w:eastAsia="仿宋_GB2312"/>
                <w:color w:val="auto"/>
                <w:kern w:val="2"/>
                <w:sz w:val="21"/>
                <w:szCs w:val="21"/>
              </w:rPr>
            </w:pPr>
            <w:r>
              <w:rPr>
                <w:rFonts w:hint="eastAsia" w:eastAsia="仿宋_GB2312"/>
                <w:color w:val="auto"/>
                <w:kern w:val="2"/>
                <w:sz w:val="21"/>
                <w:szCs w:val="21"/>
                <w:lang w:val="en-US" w:eastAsia="zh-CN"/>
              </w:rPr>
              <w:t>0.67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1" w:type="dxa"/>
            <w:tcBorders>
              <w:tl2br w:val="nil"/>
              <w:tr2bl w:val="nil"/>
            </w:tcBorders>
            <w:vAlign w:val="center"/>
          </w:tcPr>
          <w:p>
            <w:pPr>
              <w:widowControl/>
              <w:adjustRightInd/>
              <w:spacing w:line="240" w:lineRule="auto"/>
              <w:jc w:val="center"/>
              <w:textAlignment w:val="auto"/>
              <w:rPr>
                <w:rFonts w:eastAsia="仿宋_GB2312"/>
                <w:color w:val="auto"/>
                <w:kern w:val="2"/>
                <w:sz w:val="21"/>
                <w:szCs w:val="21"/>
              </w:rPr>
            </w:pPr>
            <w:r>
              <w:rPr>
                <w:rFonts w:eastAsia="仿宋_GB2312"/>
                <w:color w:val="auto"/>
                <w:sz w:val="21"/>
                <w:szCs w:val="21"/>
              </w:rPr>
              <w:t>合计</w:t>
            </w:r>
          </w:p>
        </w:tc>
        <w:tc>
          <w:tcPr>
            <w:tcW w:w="1950" w:type="dxa"/>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hint="eastAsia" w:eastAsia="仿宋_GB2312"/>
                <w:color w:val="auto"/>
                <w:kern w:val="2"/>
                <w:sz w:val="21"/>
                <w:szCs w:val="21"/>
                <w:lang w:val="en-US" w:eastAsia="zh-CN"/>
              </w:rPr>
              <w:t>0.67</w:t>
            </w:r>
          </w:p>
        </w:tc>
        <w:tc>
          <w:tcPr>
            <w:tcW w:w="1648" w:type="dxa"/>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hint="eastAsia" w:eastAsia="仿宋_GB2312"/>
                <w:color w:val="auto"/>
                <w:sz w:val="21"/>
                <w:szCs w:val="21"/>
              </w:rPr>
              <w:t>0</w:t>
            </w:r>
          </w:p>
        </w:tc>
        <w:tc>
          <w:tcPr>
            <w:tcW w:w="2033" w:type="dxa"/>
            <w:tcBorders>
              <w:tl2br w:val="nil"/>
              <w:tr2bl w:val="nil"/>
            </w:tcBorders>
            <w:vAlign w:val="center"/>
          </w:tcPr>
          <w:p>
            <w:pPr>
              <w:widowControl/>
              <w:adjustRightInd/>
              <w:spacing w:line="240" w:lineRule="auto"/>
              <w:jc w:val="center"/>
              <w:textAlignment w:val="auto"/>
              <w:rPr>
                <w:rFonts w:eastAsia="仿宋_GB2312"/>
                <w:color w:val="auto"/>
                <w:sz w:val="21"/>
                <w:szCs w:val="21"/>
              </w:rPr>
            </w:pPr>
            <w:r>
              <w:rPr>
                <w:rFonts w:hint="eastAsia" w:eastAsia="仿宋_GB2312"/>
                <w:color w:val="auto"/>
                <w:kern w:val="2"/>
                <w:sz w:val="21"/>
                <w:szCs w:val="21"/>
                <w:lang w:val="en-US" w:eastAsia="zh-CN"/>
              </w:rPr>
              <w:t>0.67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22" w:type="dxa"/>
            <w:gridSpan w:val="4"/>
            <w:tcBorders>
              <w:tl2br w:val="nil"/>
              <w:tr2bl w:val="nil"/>
            </w:tcBorders>
            <w:vAlign w:val="center"/>
          </w:tcPr>
          <w:p>
            <w:pPr>
              <w:widowControl/>
              <w:adjustRightInd/>
              <w:spacing w:line="240" w:lineRule="auto"/>
              <w:jc w:val="center"/>
              <w:textAlignment w:val="auto"/>
              <w:rPr>
                <w:rFonts w:hint="eastAsia" w:eastAsia="仿宋_GB2312"/>
                <w:color w:val="auto"/>
                <w:kern w:val="2"/>
                <w:sz w:val="21"/>
                <w:szCs w:val="21"/>
                <w:lang w:eastAsia="zh-CN"/>
              </w:rPr>
            </w:pPr>
            <w:r>
              <w:rPr>
                <w:rFonts w:eastAsia="仿宋_GB2312"/>
                <w:color w:val="auto"/>
                <w:kern w:val="2"/>
                <w:sz w:val="21"/>
                <w:szCs w:val="21"/>
              </w:rPr>
              <w:t>水土流失防治责任主体：</w:t>
            </w:r>
            <w:r>
              <w:rPr>
                <w:rFonts w:hint="eastAsia" w:eastAsia="仿宋_GB2312"/>
                <w:color w:val="auto"/>
                <w:kern w:val="2"/>
                <w:sz w:val="21"/>
                <w:szCs w:val="21"/>
                <w:lang w:eastAsia="zh-CN"/>
              </w:rPr>
              <w:t>吉林省鼎生工程有限公司</w:t>
            </w:r>
          </w:p>
        </w:tc>
      </w:tr>
    </w:tbl>
    <w:p>
      <w:pPr>
        <w:snapToGrid w:val="0"/>
        <w:jc w:val="both"/>
        <w:rPr>
          <w:rFonts w:eastAsia="仿宋_GB2312"/>
          <w:b/>
          <w:color w:val="auto"/>
          <w:szCs w:val="24"/>
        </w:rPr>
      </w:pPr>
    </w:p>
    <w:p>
      <w:pPr>
        <w:snapToGrid w:val="0"/>
        <w:jc w:val="center"/>
        <w:rPr>
          <w:rFonts w:eastAsia="仿宋_GB2312"/>
          <w:b/>
          <w:color w:val="auto"/>
          <w:szCs w:val="24"/>
        </w:rPr>
      </w:pPr>
      <w:r>
        <w:rPr>
          <w:rFonts w:eastAsia="仿宋_GB2312"/>
          <w:b/>
          <w:color w:val="auto"/>
          <w:szCs w:val="24"/>
        </w:rPr>
        <w:t>水土流失防治范围坐标表</w:t>
      </w:r>
    </w:p>
    <w:tbl>
      <w:tblPr>
        <w:tblStyle w:val="24"/>
        <w:tblW w:w="8522"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3404"/>
        <w:gridCol w:w="359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序号</w:t>
            </w:r>
          </w:p>
        </w:tc>
        <w:tc>
          <w:tcPr>
            <w:tcW w:w="3404"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经度（度）</w:t>
            </w:r>
          </w:p>
        </w:tc>
        <w:tc>
          <w:tcPr>
            <w:tcW w:w="3593"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纬度（度）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1</w:t>
            </w:r>
          </w:p>
        </w:tc>
        <w:tc>
          <w:tcPr>
            <w:tcW w:w="3404" w:type="dxa"/>
            <w:tcBorders>
              <w:tl2br w:val="nil"/>
              <w:tr2bl w:val="nil"/>
            </w:tcBorders>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4679175.692</w:t>
            </w:r>
          </w:p>
        </w:tc>
        <w:tc>
          <w:tcPr>
            <w:tcW w:w="3593" w:type="dxa"/>
            <w:tcBorders>
              <w:tl2br w:val="nil"/>
              <w:tr2bl w:val="nil"/>
            </w:tcBorders>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43367102.466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2</w:t>
            </w:r>
          </w:p>
        </w:tc>
        <w:tc>
          <w:tcPr>
            <w:tcW w:w="3404" w:type="dxa"/>
            <w:tcBorders>
              <w:tl2br w:val="nil"/>
              <w:tr2bl w:val="nil"/>
            </w:tcBorders>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4679206.705</w:t>
            </w:r>
          </w:p>
        </w:tc>
        <w:tc>
          <w:tcPr>
            <w:tcW w:w="3593" w:type="dxa"/>
            <w:tcBorders>
              <w:tl2br w:val="nil"/>
              <w:tr2bl w:val="nil"/>
            </w:tcBorders>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43367166.041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3</w:t>
            </w:r>
          </w:p>
        </w:tc>
        <w:tc>
          <w:tcPr>
            <w:tcW w:w="3404" w:type="dxa"/>
            <w:tcBorders>
              <w:tl2br w:val="nil"/>
              <w:tr2bl w:val="nil"/>
            </w:tcBorders>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4679123.772</w:t>
            </w:r>
          </w:p>
        </w:tc>
        <w:tc>
          <w:tcPr>
            <w:tcW w:w="3593" w:type="dxa"/>
            <w:tcBorders>
              <w:tl2br w:val="nil"/>
              <w:tr2bl w:val="nil"/>
            </w:tcBorders>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43367190.112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auto"/>
                <w:sz w:val="21"/>
                <w:szCs w:val="21"/>
              </w:rPr>
            </w:pPr>
            <w:r>
              <w:rPr>
                <w:rFonts w:eastAsia="仿宋_GB2312"/>
                <w:color w:val="auto"/>
                <w:sz w:val="21"/>
                <w:szCs w:val="21"/>
              </w:rPr>
              <w:t>4</w:t>
            </w:r>
          </w:p>
        </w:tc>
        <w:tc>
          <w:tcPr>
            <w:tcW w:w="3404" w:type="dxa"/>
            <w:tcBorders>
              <w:tl2br w:val="nil"/>
              <w:tr2bl w:val="nil"/>
            </w:tcBorders>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4679073.144</w:t>
            </w:r>
          </w:p>
        </w:tc>
        <w:tc>
          <w:tcPr>
            <w:tcW w:w="3593" w:type="dxa"/>
            <w:tcBorders>
              <w:tl2br w:val="nil"/>
              <w:tr2bl w:val="nil"/>
            </w:tcBorders>
            <w:vAlign w:val="center"/>
          </w:tcPr>
          <w:p>
            <w:pPr>
              <w:spacing w:line="240" w:lineRule="auto"/>
              <w:jc w:val="center"/>
              <w:rPr>
                <w:rFonts w:hint="default" w:eastAsia="仿宋_GB2312"/>
                <w:color w:val="auto"/>
                <w:sz w:val="21"/>
                <w:szCs w:val="21"/>
                <w:lang w:val="en-US" w:eastAsia="zh-CN"/>
              </w:rPr>
            </w:pPr>
            <w:r>
              <w:rPr>
                <w:rFonts w:hint="eastAsia" w:eastAsia="仿宋_GB2312"/>
                <w:color w:val="auto"/>
                <w:sz w:val="21"/>
                <w:szCs w:val="21"/>
                <w:lang w:val="en-US" w:eastAsia="zh-CN"/>
              </w:rPr>
              <w:t>43367133.148</w:t>
            </w:r>
          </w:p>
        </w:tc>
      </w:tr>
    </w:tbl>
    <w:p>
      <w:pPr>
        <w:pStyle w:val="20"/>
        <w:ind w:left="0" w:leftChars="0"/>
        <w:jc w:val="center"/>
        <w:rPr>
          <w:rFonts w:eastAsia="仿宋_GB2312"/>
          <w:b/>
          <w:color w:val="auto"/>
          <w:sz w:val="28"/>
          <w:szCs w:val="28"/>
          <w:highlight w:val="yellow"/>
        </w:rPr>
      </w:pPr>
    </w:p>
    <w:p>
      <w:pPr>
        <w:rPr>
          <w:rFonts w:eastAsia="仿宋_GB2312"/>
          <w:b/>
          <w:color w:val="auto"/>
          <w:sz w:val="28"/>
          <w:szCs w:val="28"/>
        </w:rPr>
      </w:pPr>
    </w:p>
    <w:p>
      <w:pPr>
        <w:pStyle w:val="20"/>
        <w:ind w:left="480"/>
        <w:rPr>
          <w:rFonts w:eastAsia="仿宋_GB2312"/>
          <w:b/>
          <w:color w:val="auto"/>
          <w:sz w:val="28"/>
          <w:szCs w:val="28"/>
        </w:rPr>
      </w:pPr>
    </w:p>
    <w:p>
      <w:pPr>
        <w:rPr>
          <w:rFonts w:eastAsia="仿宋_GB2312"/>
          <w:b/>
          <w:color w:val="auto"/>
          <w:sz w:val="28"/>
          <w:szCs w:val="28"/>
        </w:rPr>
      </w:pPr>
    </w:p>
    <w:p>
      <w:pPr>
        <w:pStyle w:val="20"/>
        <w:ind w:left="480"/>
        <w:rPr>
          <w:rFonts w:eastAsia="仿宋_GB2312"/>
          <w:b/>
          <w:color w:val="auto"/>
          <w:sz w:val="28"/>
          <w:szCs w:val="28"/>
        </w:rPr>
      </w:pPr>
    </w:p>
    <w:p>
      <w:pPr>
        <w:rPr>
          <w:rFonts w:eastAsia="仿宋_GB2312"/>
          <w:b/>
          <w:color w:val="auto"/>
          <w:sz w:val="28"/>
          <w:szCs w:val="28"/>
        </w:rPr>
      </w:pPr>
    </w:p>
    <w:p>
      <w:pPr>
        <w:pStyle w:val="20"/>
        <w:ind w:left="0" w:leftChars="0"/>
        <w:jc w:val="center"/>
        <w:rPr>
          <w:rFonts w:eastAsia="仿宋_GB2312"/>
          <w:b/>
          <w:color w:val="auto"/>
          <w:sz w:val="28"/>
          <w:szCs w:val="28"/>
        </w:rPr>
      </w:pPr>
    </w:p>
    <w:p>
      <w:pPr>
        <w:pStyle w:val="20"/>
        <w:ind w:left="0" w:leftChars="0"/>
        <w:jc w:val="both"/>
        <w:rPr>
          <w:rFonts w:eastAsia="仿宋_GB2312"/>
          <w:b/>
          <w:color w:val="auto"/>
          <w:sz w:val="28"/>
          <w:szCs w:val="28"/>
        </w:rPr>
      </w:pPr>
    </w:p>
    <w:p>
      <w:pPr>
        <w:pStyle w:val="20"/>
        <w:ind w:left="0" w:leftChars="0"/>
        <w:jc w:val="center"/>
        <w:rPr>
          <w:rFonts w:eastAsia="仿宋_GB2312"/>
          <w:b/>
          <w:color w:val="auto"/>
          <w:sz w:val="28"/>
          <w:szCs w:val="28"/>
        </w:rPr>
      </w:pPr>
    </w:p>
    <w:p>
      <w:pPr>
        <w:rPr>
          <w:rFonts w:eastAsia="仿宋_GB2312"/>
          <w:b/>
          <w:color w:val="auto"/>
          <w:sz w:val="28"/>
          <w:szCs w:val="28"/>
        </w:rPr>
      </w:pPr>
    </w:p>
    <w:p>
      <w:pPr>
        <w:pStyle w:val="20"/>
        <w:rPr>
          <w:color w:val="auto"/>
        </w:rPr>
      </w:pPr>
    </w:p>
    <w:p>
      <w:pPr>
        <w:pStyle w:val="20"/>
        <w:ind w:left="0" w:leftChars="0"/>
        <w:jc w:val="both"/>
        <w:rPr>
          <w:rFonts w:eastAsia="仿宋_GB2312"/>
          <w:b/>
          <w:color w:val="auto"/>
          <w:sz w:val="28"/>
          <w:szCs w:val="28"/>
        </w:rPr>
      </w:pPr>
    </w:p>
    <w:p>
      <w:pPr>
        <w:pStyle w:val="20"/>
        <w:ind w:left="0" w:leftChars="0"/>
        <w:jc w:val="center"/>
        <w:rPr>
          <w:rFonts w:eastAsia="仿宋_GB2312"/>
          <w:b/>
          <w:color w:val="auto"/>
          <w:sz w:val="28"/>
          <w:szCs w:val="28"/>
        </w:rPr>
      </w:pPr>
      <w:r>
        <w:rPr>
          <w:rFonts w:eastAsia="仿宋_GB2312"/>
          <w:b/>
          <w:color w:val="auto"/>
          <w:sz w:val="28"/>
          <w:szCs w:val="28"/>
        </w:rPr>
        <w:t>附表2       防治标准指标计算表</w:t>
      </w:r>
    </w:p>
    <w:tbl>
      <w:tblPr>
        <w:tblStyle w:val="24"/>
        <w:tblW w:w="8416"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2178"/>
        <w:gridCol w:w="625"/>
        <w:gridCol w:w="1073"/>
        <w:gridCol w:w="815"/>
        <w:gridCol w:w="832"/>
        <w:gridCol w:w="450"/>
        <w:gridCol w:w="660"/>
        <w:gridCol w:w="877"/>
        <w:gridCol w:w="90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8" w:type="dxa"/>
            <w:vMerge w:val="restart"/>
            <w:tcBorders>
              <w:tl2br w:val="nil"/>
              <w:tr2bl w:val="nil"/>
            </w:tcBorders>
            <w:tcMar>
              <w:top w:w="0" w:type="dxa"/>
              <w:left w:w="0" w:type="dxa"/>
              <w:bottom w:w="0" w:type="dxa"/>
              <w:right w:w="0" w:type="dxa"/>
            </w:tcMar>
            <w:vAlign w:val="center"/>
          </w:tcPr>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 xml:space="preserve"> 防治目标</w:t>
            </w:r>
          </w:p>
        </w:tc>
        <w:tc>
          <w:tcPr>
            <w:tcW w:w="1698" w:type="dxa"/>
            <w:gridSpan w:val="2"/>
            <w:tcBorders>
              <w:tl2br w:val="nil"/>
              <w:tr2bl w:val="nil"/>
            </w:tcBorders>
            <w:vAlign w:val="center"/>
          </w:tcPr>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标准规定</w:t>
            </w:r>
          </w:p>
        </w:tc>
        <w:tc>
          <w:tcPr>
            <w:tcW w:w="815" w:type="dxa"/>
            <w:vMerge w:val="restart"/>
            <w:tcBorders>
              <w:tl2br w:val="nil"/>
              <w:tr2bl w:val="nil"/>
            </w:tcBorders>
            <w:vAlign w:val="center"/>
          </w:tcPr>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按城市区</w:t>
            </w:r>
          </w:p>
          <w:p>
            <w:pPr>
              <w:pStyle w:val="71"/>
              <w:rPr>
                <w:rFonts w:ascii="Times New Roman" w:hAnsi="Times New Roman" w:eastAsia="仿宋_GB2312"/>
                <w:color w:val="auto"/>
                <w:sz w:val="18"/>
                <w:szCs w:val="18"/>
              </w:rPr>
            </w:pPr>
            <w:r>
              <w:rPr>
                <w:rFonts w:hint="eastAsia" w:ascii="Times New Roman" w:hAnsi="Times New Roman" w:eastAsia="仿宋_GB2312"/>
                <w:color w:val="auto"/>
                <w:sz w:val="18"/>
                <w:szCs w:val="18"/>
              </w:rPr>
              <w:t>调整</w:t>
            </w:r>
          </w:p>
        </w:tc>
        <w:tc>
          <w:tcPr>
            <w:tcW w:w="832" w:type="dxa"/>
            <w:vMerge w:val="restart"/>
            <w:tcBorders>
              <w:tl2br w:val="nil"/>
              <w:tr2bl w:val="nil"/>
            </w:tcBorders>
            <w:vAlign w:val="center"/>
          </w:tcPr>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按侵蚀强</w:t>
            </w:r>
          </w:p>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度</w:t>
            </w:r>
            <w:r>
              <w:rPr>
                <w:rFonts w:hint="eastAsia" w:ascii="Times New Roman" w:hAnsi="Times New Roman" w:eastAsia="仿宋_GB2312"/>
                <w:color w:val="auto"/>
                <w:sz w:val="18"/>
                <w:szCs w:val="18"/>
              </w:rPr>
              <w:t>调整</w:t>
            </w:r>
          </w:p>
        </w:tc>
        <w:tc>
          <w:tcPr>
            <w:tcW w:w="450" w:type="dxa"/>
            <w:vMerge w:val="restart"/>
            <w:tcBorders>
              <w:tl2br w:val="nil"/>
              <w:tr2bl w:val="nil"/>
            </w:tcBorders>
            <w:vAlign w:val="center"/>
          </w:tcPr>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按防治区</w:t>
            </w:r>
            <w:r>
              <w:rPr>
                <w:rFonts w:hint="eastAsia" w:ascii="Times New Roman" w:hAnsi="Times New Roman" w:eastAsia="仿宋_GB2312"/>
                <w:color w:val="auto"/>
                <w:sz w:val="18"/>
                <w:szCs w:val="18"/>
              </w:rPr>
              <w:t>调整</w:t>
            </w:r>
          </w:p>
        </w:tc>
        <w:tc>
          <w:tcPr>
            <w:tcW w:w="660" w:type="dxa"/>
            <w:vMerge w:val="restart"/>
            <w:tcBorders>
              <w:tl2br w:val="nil"/>
              <w:tr2bl w:val="nil"/>
            </w:tcBorders>
            <w:vAlign w:val="center"/>
          </w:tcPr>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按项目实际</w:t>
            </w:r>
            <w:r>
              <w:rPr>
                <w:rFonts w:hint="eastAsia" w:ascii="Times New Roman" w:hAnsi="Times New Roman" w:eastAsia="仿宋_GB2312"/>
                <w:color w:val="auto"/>
                <w:sz w:val="18"/>
                <w:szCs w:val="18"/>
              </w:rPr>
              <w:t>调整</w:t>
            </w:r>
          </w:p>
        </w:tc>
        <w:tc>
          <w:tcPr>
            <w:tcW w:w="1783" w:type="dxa"/>
            <w:gridSpan w:val="2"/>
            <w:tcBorders>
              <w:tl2br w:val="nil"/>
              <w:tr2bl w:val="nil"/>
            </w:tcBorders>
            <w:vAlign w:val="center"/>
          </w:tcPr>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采用标准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8" w:type="dxa"/>
            <w:vMerge w:val="continue"/>
            <w:tcBorders>
              <w:tl2br w:val="nil"/>
              <w:tr2bl w:val="nil"/>
            </w:tcBorders>
            <w:vAlign w:val="center"/>
          </w:tcPr>
          <w:p>
            <w:pPr>
              <w:pStyle w:val="71"/>
              <w:rPr>
                <w:rFonts w:ascii="Times New Roman" w:hAnsi="Times New Roman" w:eastAsia="仿宋_GB2312"/>
                <w:bCs/>
                <w:color w:val="auto"/>
                <w:sz w:val="18"/>
                <w:szCs w:val="18"/>
              </w:rPr>
            </w:pPr>
          </w:p>
        </w:tc>
        <w:tc>
          <w:tcPr>
            <w:tcW w:w="625" w:type="dxa"/>
            <w:tcBorders>
              <w:tl2br w:val="nil"/>
              <w:tr2bl w:val="nil"/>
            </w:tcBorders>
            <w:vAlign w:val="center"/>
          </w:tcPr>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施工期</w:t>
            </w:r>
          </w:p>
        </w:tc>
        <w:tc>
          <w:tcPr>
            <w:tcW w:w="1073" w:type="dxa"/>
            <w:tcBorders>
              <w:tl2br w:val="nil"/>
              <w:tr2bl w:val="nil"/>
            </w:tcBorders>
            <w:vAlign w:val="center"/>
          </w:tcPr>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设计水平年</w:t>
            </w:r>
          </w:p>
        </w:tc>
        <w:tc>
          <w:tcPr>
            <w:tcW w:w="815" w:type="dxa"/>
            <w:vMerge w:val="continue"/>
            <w:tcBorders>
              <w:tl2br w:val="nil"/>
              <w:tr2bl w:val="nil"/>
            </w:tcBorders>
            <w:vAlign w:val="center"/>
          </w:tcPr>
          <w:p>
            <w:pPr>
              <w:pStyle w:val="71"/>
              <w:rPr>
                <w:rFonts w:ascii="Times New Roman" w:hAnsi="Times New Roman" w:eastAsia="仿宋_GB2312"/>
                <w:color w:val="auto"/>
                <w:sz w:val="18"/>
                <w:szCs w:val="18"/>
              </w:rPr>
            </w:pPr>
          </w:p>
        </w:tc>
        <w:tc>
          <w:tcPr>
            <w:tcW w:w="832" w:type="dxa"/>
            <w:vMerge w:val="continue"/>
            <w:tcBorders>
              <w:tl2br w:val="nil"/>
              <w:tr2bl w:val="nil"/>
            </w:tcBorders>
            <w:vAlign w:val="center"/>
          </w:tcPr>
          <w:p>
            <w:pPr>
              <w:pStyle w:val="71"/>
              <w:rPr>
                <w:rFonts w:ascii="Times New Roman" w:hAnsi="Times New Roman" w:eastAsia="仿宋_GB2312"/>
                <w:color w:val="auto"/>
                <w:sz w:val="18"/>
                <w:szCs w:val="18"/>
              </w:rPr>
            </w:pPr>
          </w:p>
        </w:tc>
        <w:tc>
          <w:tcPr>
            <w:tcW w:w="450" w:type="dxa"/>
            <w:vMerge w:val="continue"/>
            <w:tcBorders>
              <w:tl2br w:val="nil"/>
              <w:tr2bl w:val="nil"/>
            </w:tcBorders>
            <w:vAlign w:val="center"/>
          </w:tcPr>
          <w:p>
            <w:pPr>
              <w:pStyle w:val="71"/>
              <w:rPr>
                <w:rFonts w:ascii="Times New Roman" w:hAnsi="Times New Roman" w:eastAsia="仿宋_GB2312"/>
                <w:color w:val="auto"/>
                <w:sz w:val="18"/>
                <w:szCs w:val="18"/>
              </w:rPr>
            </w:pPr>
          </w:p>
        </w:tc>
        <w:tc>
          <w:tcPr>
            <w:tcW w:w="660" w:type="dxa"/>
            <w:vMerge w:val="continue"/>
            <w:tcBorders>
              <w:tl2br w:val="nil"/>
              <w:tr2bl w:val="nil"/>
            </w:tcBorders>
            <w:vAlign w:val="center"/>
          </w:tcPr>
          <w:p>
            <w:pPr>
              <w:pStyle w:val="71"/>
              <w:rPr>
                <w:rFonts w:ascii="Times New Roman" w:hAnsi="Times New Roman" w:eastAsia="仿宋_GB2312"/>
                <w:color w:val="auto"/>
                <w:sz w:val="18"/>
                <w:szCs w:val="18"/>
              </w:rPr>
            </w:pPr>
          </w:p>
        </w:tc>
        <w:tc>
          <w:tcPr>
            <w:tcW w:w="877" w:type="dxa"/>
            <w:tcBorders>
              <w:tl2br w:val="nil"/>
              <w:tr2bl w:val="nil"/>
            </w:tcBorders>
            <w:vAlign w:val="center"/>
          </w:tcPr>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施工期</w:t>
            </w:r>
          </w:p>
        </w:tc>
        <w:tc>
          <w:tcPr>
            <w:tcW w:w="906" w:type="dxa"/>
            <w:tcBorders>
              <w:tl2br w:val="nil"/>
              <w:tr2bl w:val="nil"/>
            </w:tcBorders>
            <w:vAlign w:val="center"/>
          </w:tcPr>
          <w:p>
            <w:pPr>
              <w:pStyle w:val="71"/>
              <w:rPr>
                <w:rFonts w:ascii="Times New Roman" w:hAnsi="Times New Roman" w:eastAsia="仿宋_GB2312"/>
                <w:color w:val="auto"/>
                <w:sz w:val="18"/>
                <w:szCs w:val="18"/>
              </w:rPr>
            </w:pPr>
            <w:r>
              <w:rPr>
                <w:rFonts w:ascii="Times New Roman" w:hAnsi="Times New Roman" w:eastAsia="仿宋_GB2312"/>
                <w:color w:val="auto"/>
                <w:sz w:val="18"/>
                <w:szCs w:val="18"/>
              </w:rPr>
              <w:t>设计水平年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8" w:type="dxa"/>
            <w:tcBorders>
              <w:tl2br w:val="nil"/>
              <w:tr2bl w:val="nil"/>
            </w:tcBorders>
            <w:tcMar>
              <w:top w:w="0" w:type="dxa"/>
              <w:left w:w="0" w:type="dxa"/>
              <w:bottom w:w="0" w:type="dxa"/>
              <w:right w:w="0" w:type="dxa"/>
            </w:tcMar>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水土流失总治理度（%）</w:t>
            </w:r>
          </w:p>
        </w:tc>
        <w:tc>
          <w:tcPr>
            <w:tcW w:w="625" w:type="dxa"/>
            <w:tcBorders>
              <w:tl2br w:val="nil"/>
              <w:tr2bl w:val="nil"/>
            </w:tcBorders>
            <w:vAlign w:val="center"/>
          </w:tcPr>
          <w:p>
            <w:pPr>
              <w:pStyle w:val="71"/>
              <w:rPr>
                <w:rFonts w:ascii="Times New Roman" w:hAnsi="Times New Roman" w:eastAsia="仿宋_GB2312"/>
                <w:bCs/>
                <w:color w:val="auto"/>
                <w:sz w:val="18"/>
                <w:szCs w:val="18"/>
              </w:rPr>
            </w:pPr>
          </w:p>
        </w:tc>
        <w:tc>
          <w:tcPr>
            <w:tcW w:w="1073" w:type="dxa"/>
            <w:tcBorders>
              <w:tl2br w:val="nil"/>
              <w:tr2bl w:val="nil"/>
            </w:tcBorders>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97</w:t>
            </w:r>
          </w:p>
        </w:tc>
        <w:tc>
          <w:tcPr>
            <w:tcW w:w="815" w:type="dxa"/>
            <w:tcBorders>
              <w:tl2br w:val="nil"/>
              <w:tr2bl w:val="nil"/>
            </w:tcBorders>
            <w:vAlign w:val="center"/>
          </w:tcPr>
          <w:p>
            <w:pPr>
              <w:pStyle w:val="71"/>
              <w:rPr>
                <w:rFonts w:ascii="Times New Roman" w:hAnsi="Times New Roman" w:eastAsia="仿宋_GB2312"/>
                <w:bCs/>
                <w:color w:val="auto"/>
                <w:sz w:val="18"/>
                <w:szCs w:val="18"/>
              </w:rPr>
            </w:pPr>
          </w:p>
        </w:tc>
        <w:tc>
          <w:tcPr>
            <w:tcW w:w="832" w:type="dxa"/>
            <w:tcBorders>
              <w:tl2br w:val="nil"/>
              <w:tr2bl w:val="nil"/>
            </w:tcBorders>
            <w:vAlign w:val="center"/>
          </w:tcPr>
          <w:p>
            <w:pPr>
              <w:pStyle w:val="71"/>
              <w:rPr>
                <w:rFonts w:ascii="Times New Roman" w:hAnsi="Times New Roman" w:eastAsia="仿宋_GB2312"/>
                <w:bCs/>
                <w:color w:val="auto"/>
                <w:sz w:val="18"/>
                <w:szCs w:val="18"/>
              </w:rPr>
            </w:pPr>
          </w:p>
        </w:tc>
        <w:tc>
          <w:tcPr>
            <w:tcW w:w="450" w:type="dxa"/>
            <w:tcBorders>
              <w:tl2br w:val="nil"/>
              <w:tr2bl w:val="nil"/>
            </w:tcBorders>
            <w:vAlign w:val="center"/>
          </w:tcPr>
          <w:p>
            <w:pPr>
              <w:pStyle w:val="71"/>
              <w:rPr>
                <w:rFonts w:ascii="Times New Roman" w:hAnsi="Times New Roman" w:eastAsia="仿宋_GB2312"/>
                <w:bCs/>
                <w:color w:val="auto"/>
                <w:sz w:val="18"/>
                <w:szCs w:val="18"/>
              </w:rPr>
            </w:pPr>
          </w:p>
        </w:tc>
        <w:tc>
          <w:tcPr>
            <w:tcW w:w="660" w:type="dxa"/>
            <w:tcBorders>
              <w:tl2br w:val="nil"/>
              <w:tr2bl w:val="nil"/>
            </w:tcBorders>
            <w:vAlign w:val="center"/>
          </w:tcPr>
          <w:p>
            <w:pPr>
              <w:pStyle w:val="71"/>
              <w:rPr>
                <w:rFonts w:ascii="Times New Roman" w:hAnsi="Times New Roman" w:eastAsia="仿宋_GB2312"/>
                <w:bCs/>
                <w:color w:val="auto"/>
                <w:sz w:val="18"/>
                <w:szCs w:val="18"/>
              </w:rPr>
            </w:pPr>
          </w:p>
        </w:tc>
        <w:tc>
          <w:tcPr>
            <w:tcW w:w="877" w:type="dxa"/>
            <w:tcBorders>
              <w:tl2br w:val="nil"/>
              <w:tr2bl w:val="nil"/>
            </w:tcBorders>
            <w:vAlign w:val="center"/>
          </w:tcPr>
          <w:p>
            <w:pPr>
              <w:pStyle w:val="71"/>
              <w:rPr>
                <w:rFonts w:ascii="Times New Roman" w:hAnsi="Times New Roman" w:eastAsia="仿宋_GB2312"/>
                <w:bCs/>
                <w:color w:val="auto"/>
                <w:sz w:val="18"/>
                <w:szCs w:val="18"/>
              </w:rPr>
            </w:pPr>
          </w:p>
        </w:tc>
        <w:tc>
          <w:tcPr>
            <w:tcW w:w="906" w:type="dxa"/>
            <w:tcBorders>
              <w:tl2br w:val="nil"/>
              <w:tr2bl w:val="nil"/>
            </w:tcBorders>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97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8" w:type="dxa"/>
            <w:tcBorders>
              <w:tl2br w:val="nil"/>
              <w:tr2bl w:val="nil"/>
            </w:tcBorders>
            <w:tcMar>
              <w:top w:w="0" w:type="dxa"/>
              <w:left w:w="0" w:type="dxa"/>
              <w:bottom w:w="0" w:type="dxa"/>
              <w:right w:w="0" w:type="dxa"/>
            </w:tcMar>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土壤流失控制比</w:t>
            </w:r>
          </w:p>
        </w:tc>
        <w:tc>
          <w:tcPr>
            <w:tcW w:w="625" w:type="dxa"/>
            <w:tcBorders>
              <w:tl2br w:val="nil"/>
              <w:tr2bl w:val="nil"/>
            </w:tcBorders>
            <w:vAlign w:val="center"/>
          </w:tcPr>
          <w:p>
            <w:pPr>
              <w:pStyle w:val="71"/>
              <w:rPr>
                <w:rFonts w:ascii="Times New Roman" w:hAnsi="Times New Roman" w:eastAsia="仿宋_GB2312"/>
                <w:color w:val="auto"/>
                <w:sz w:val="18"/>
                <w:szCs w:val="18"/>
              </w:rPr>
            </w:pPr>
          </w:p>
        </w:tc>
        <w:tc>
          <w:tcPr>
            <w:tcW w:w="1073" w:type="dxa"/>
            <w:tcBorders>
              <w:tl2br w:val="nil"/>
              <w:tr2bl w:val="nil"/>
            </w:tcBorders>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0.9</w:t>
            </w:r>
          </w:p>
        </w:tc>
        <w:tc>
          <w:tcPr>
            <w:tcW w:w="815" w:type="dxa"/>
            <w:tcBorders>
              <w:tl2br w:val="nil"/>
              <w:tr2bl w:val="nil"/>
            </w:tcBorders>
            <w:vAlign w:val="center"/>
          </w:tcPr>
          <w:p>
            <w:pPr>
              <w:pStyle w:val="71"/>
              <w:rPr>
                <w:rFonts w:ascii="Times New Roman" w:hAnsi="Times New Roman" w:eastAsia="仿宋_GB2312"/>
                <w:bCs/>
                <w:color w:val="auto"/>
                <w:sz w:val="18"/>
                <w:szCs w:val="18"/>
              </w:rPr>
            </w:pPr>
          </w:p>
        </w:tc>
        <w:tc>
          <w:tcPr>
            <w:tcW w:w="832" w:type="dxa"/>
            <w:tcBorders>
              <w:tl2br w:val="nil"/>
              <w:tr2bl w:val="nil"/>
            </w:tcBorders>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+0.1</w:t>
            </w:r>
          </w:p>
        </w:tc>
        <w:tc>
          <w:tcPr>
            <w:tcW w:w="450" w:type="dxa"/>
            <w:tcBorders>
              <w:tl2br w:val="nil"/>
              <w:tr2bl w:val="nil"/>
            </w:tcBorders>
            <w:vAlign w:val="center"/>
          </w:tcPr>
          <w:p>
            <w:pPr>
              <w:pStyle w:val="71"/>
              <w:rPr>
                <w:rFonts w:ascii="Times New Roman" w:hAnsi="Times New Roman" w:eastAsia="仿宋_GB2312"/>
                <w:bCs/>
                <w:color w:val="auto"/>
                <w:sz w:val="18"/>
                <w:szCs w:val="18"/>
              </w:rPr>
            </w:pPr>
          </w:p>
        </w:tc>
        <w:tc>
          <w:tcPr>
            <w:tcW w:w="660" w:type="dxa"/>
            <w:tcBorders>
              <w:tl2br w:val="nil"/>
              <w:tr2bl w:val="nil"/>
            </w:tcBorders>
            <w:vAlign w:val="center"/>
          </w:tcPr>
          <w:p>
            <w:pPr>
              <w:pStyle w:val="71"/>
              <w:rPr>
                <w:rFonts w:ascii="Times New Roman" w:hAnsi="Times New Roman" w:eastAsia="仿宋_GB2312"/>
                <w:bCs/>
                <w:color w:val="auto"/>
                <w:sz w:val="18"/>
                <w:szCs w:val="18"/>
              </w:rPr>
            </w:pPr>
          </w:p>
        </w:tc>
        <w:tc>
          <w:tcPr>
            <w:tcW w:w="877" w:type="dxa"/>
            <w:tcBorders>
              <w:tl2br w:val="nil"/>
              <w:tr2bl w:val="nil"/>
            </w:tcBorders>
            <w:vAlign w:val="center"/>
          </w:tcPr>
          <w:p>
            <w:pPr>
              <w:pStyle w:val="71"/>
              <w:rPr>
                <w:rFonts w:ascii="Times New Roman" w:hAnsi="Times New Roman" w:eastAsia="仿宋_GB2312"/>
                <w:bCs/>
                <w:color w:val="auto"/>
                <w:sz w:val="18"/>
                <w:szCs w:val="18"/>
              </w:rPr>
            </w:pPr>
          </w:p>
        </w:tc>
        <w:tc>
          <w:tcPr>
            <w:tcW w:w="906" w:type="dxa"/>
            <w:tcBorders>
              <w:tl2br w:val="nil"/>
              <w:tr2bl w:val="nil"/>
            </w:tcBorders>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123" w:hRule="atLeast"/>
          <w:jc w:val="center"/>
        </w:trPr>
        <w:tc>
          <w:tcPr>
            <w:tcW w:w="2178" w:type="dxa"/>
            <w:tcBorders>
              <w:tl2br w:val="nil"/>
              <w:tr2bl w:val="nil"/>
            </w:tcBorders>
            <w:tcMar>
              <w:top w:w="0" w:type="dxa"/>
              <w:left w:w="0" w:type="dxa"/>
              <w:bottom w:w="0" w:type="dxa"/>
              <w:right w:w="0" w:type="dxa"/>
            </w:tcMar>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渣土防护率（%）</w:t>
            </w:r>
          </w:p>
        </w:tc>
        <w:tc>
          <w:tcPr>
            <w:tcW w:w="625" w:type="dxa"/>
            <w:tcBorders>
              <w:tl2br w:val="nil"/>
              <w:tr2bl w:val="nil"/>
            </w:tcBorders>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95</w:t>
            </w:r>
          </w:p>
        </w:tc>
        <w:tc>
          <w:tcPr>
            <w:tcW w:w="1073" w:type="dxa"/>
            <w:tcBorders>
              <w:tl2br w:val="nil"/>
              <w:tr2bl w:val="nil"/>
            </w:tcBorders>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97</w:t>
            </w:r>
          </w:p>
        </w:tc>
        <w:tc>
          <w:tcPr>
            <w:tcW w:w="815" w:type="dxa"/>
            <w:tcBorders>
              <w:tl2br w:val="nil"/>
              <w:tr2bl w:val="nil"/>
            </w:tcBorders>
            <w:vAlign w:val="center"/>
          </w:tcPr>
          <w:p>
            <w:pPr>
              <w:pStyle w:val="71"/>
              <w:rPr>
                <w:rFonts w:ascii="Times New Roman" w:hAnsi="Times New Roman" w:eastAsia="仿宋_GB2312"/>
                <w:bCs/>
                <w:color w:val="auto"/>
                <w:sz w:val="18"/>
                <w:szCs w:val="18"/>
              </w:rPr>
            </w:pPr>
          </w:p>
        </w:tc>
        <w:tc>
          <w:tcPr>
            <w:tcW w:w="832" w:type="dxa"/>
            <w:tcBorders>
              <w:tl2br w:val="nil"/>
              <w:tr2bl w:val="nil"/>
            </w:tcBorders>
            <w:vAlign w:val="center"/>
          </w:tcPr>
          <w:p>
            <w:pPr>
              <w:pStyle w:val="71"/>
              <w:rPr>
                <w:rFonts w:ascii="Times New Roman" w:hAnsi="Times New Roman" w:eastAsia="仿宋_GB2312"/>
                <w:bCs/>
                <w:color w:val="auto"/>
                <w:sz w:val="18"/>
                <w:szCs w:val="18"/>
              </w:rPr>
            </w:pPr>
          </w:p>
        </w:tc>
        <w:tc>
          <w:tcPr>
            <w:tcW w:w="450" w:type="dxa"/>
            <w:tcBorders>
              <w:tl2br w:val="nil"/>
              <w:tr2bl w:val="nil"/>
            </w:tcBorders>
            <w:vAlign w:val="center"/>
          </w:tcPr>
          <w:p>
            <w:pPr>
              <w:pStyle w:val="71"/>
              <w:rPr>
                <w:rFonts w:ascii="Times New Roman" w:hAnsi="Times New Roman" w:eastAsia="仿宋_GB2312"/>
                <w:bCs/>
                <w:color w:val="auto"/>
                <w:sz w:val="18"/>
                <w:szCs w:val="18"/>
              </w:rPr>
            </w:pPr>
          </w:p>
        </w:tc>
        <w:tc>
          <w:tcPr>
            <w:tcW w:w="660" w:type="dxa"/>
            <w:tcBorders>
              <w:tl2br w:val="nil"/>
              <w:tr2bl w:val="nil"/>
            </w:tcBorders>
            <w:vAlign w:val="center"/>
          </w:tcPr>
          <w:p>
            <w:pPr>
              <w:pStyle w:val="71"/>
              <w:rPr>
                <w:rFonts w:ascii="Times New Roman" w:hAnsi="Times New Roman" w:eastAsia="仿宋_GB2312"/>
                <w:bCs/>
                <w:color w:val="auto"/>
                <w:sz w:val="18"/>
                <w:szCs w:val="18"/>
              </w:rPr>
            </w:pPr>
          </w:p>
        </w:tc>
        <w:tc>
          <w:tcPr>
            <w:tcW w:w="877" w:type="dxa"/>
            <w:tcBorders>
              <w:tl2br w:val="nil"/>
              <w:tr2bl w:val="nil"/>
            </w:tcBorders>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95</w:t>
            </w:r>
          </w:p>
        </w:tc>
        <w:tc>
          <w:tcPr>
            <w:tcW w:w="906" w:type="dxa"/>
            <w:tcBorders>
              <w:tl2br w:val="nil"/>
              <w:tr2bl w:val="nil"/>
            </w:tcBorders>
            <w:vAlign w:val="center"/>
          </w:tcPr>
          <w:p>
            <w:pPr>
              <w:pStyle w:val="71"/>
              <w:rPr>
                <w:rFonts w:ascii="Times New Roman" w:hAnsi="Times New Roman" w:eastAsia="仿宋_GB2312"/>
                <w:bCs/>
                <w:color w:val="auto"/>
                <w:sz w:val="18"/>
                <w:szCs w:val="18"/>
              </w:rPr>
            </w:pPr>
            <w:r>
              <w:rPr>
                <w:rFonts w:ascii="Times New Roman" w:hAnsi="Times New Roman" w:eastAsia="仿宋_GB2312"/>
                <w:bCs/>
                <w:color w:val="auto"/>
                <w:sz w:val="18"/>
                <w:szCs w:val="18"/>
              </w:rPr>
              <w:t>97</w:t>
            </w:r>
          </w:p>
        </w:tc>
      </w:tr>
    </w:tbl>
    <w:p>
      <w:pPr>
        <w:spacing w:line="360" w:lineRule="auto"/>
        <w:ind w:firstLine="480" w:firstLineChars="200"/>
        <w:rPr>
          <w:rFonts w:eastAsia="仿宋_GB2312"/>
          <w:color w:val="auto"/>
          <w:szCs w:val="24"/>
          <w:highlight w:val="none"/>
        </w:rPr>
      </w:pPr>
      <w:r>
        <w:rPr>
          <w:rFonts w:eastAsia="仿宋_GB2312"/>
          <w:color w:val="auto"/>
          <w:szCs w:val="22"/>
          <w:highlight w:val="none"/>
        </w:rPr>
        <w:t>根据《全国水土保持规划（2015—2030年）》、《吉林省水土保持规划(2016—2030年)》，项目区</w:t>
      </w:r>
      <w:r>
        <w:rPr>
          <w:rFonts w:eastAsia="仿宋_GB2312"/>
          <w:color w:val="auto"/>
          <w:szCs w:val="24"/>
          <w:highlight w:val="none"/>
        </w:rPr>
        <w:t>属于</w:t>
      </w:r>
      <w:r>
        <w:rPr>
          <w:rFonts w:hint="eastAsia" w:eastAsia="仿宋_GB2312"/>
          <w:color w:val="auto"/>
          <w:szCs w:val="24"/>
          <w:highlight w:val="none"/>
          <w:lang w:eastAsia="zh-CN"/>
        </w:rPr>
        <w:t>长白山国家级水土流失重点预防区</w:t>
      </w:r>
      <w:r>
        <w:rPr>
          <w:rFonts w:eastAsia="仿宋_GB2312"/>
          <w:color w:val="auto"/>
          <w:szCs w:val="22"/>
          <w:highlight w:val="none"/>
        </w:rPr>
        <w:t>。根据《生产建设项目水土流失防治标准》（GB/T 50434-2018），项目区水土保持区划属东北黑土区，执行东北黑土区水土流失防治一级标</w:t>
      </w:r>
      <w:r>
        <w:rPr>
          <w:rFonts w:hint="eastAsia" w:eastAsia="仿宋_GB2312"/>
          <w:color w:val="auto"/>
          <w:szCs w:val="22"/>
          <w:highlight w:val="none"/>
        </w:rPr>
        <w:t>准</w:t>
      </w:r>
      <w:r>
        <w:rPr>
          <w:rFonts w:eastAsia="仿宋_GB2312"/>
          <w:color w:val="auto"/>
          <w:szCs w:val="24"/>
          <w:highlight w:val="none"/>
        </w:rPr>
        <w:t>。</w:t>
      </w:r>
    </w:p>
    <w:p>
      <w:pPr>
        <w:spacing w:line="360" w:lineRule="auto"/>
        <w:ind w:firstLine="480" w:firstLineChars="200"/>
        <w:rPr>
          <w:rFonts w:eastAsia="仿宋_GB2312"/>
          <w:color w:val="auto"/>
          <w:szCs w:val="24"/>
          <w:highlight w:val="none"/>
        </w:rPr>
      </w:pPr>
      <w:r>
        <w:rPr>
          <w:rFonts w:eastAsia="仿宋_GB2312"/>
          <w:color w:val="auto"/>
          <w:szCs w:val="24"/>
          <w:highlight w:val="none"/>
        </w:rPr>
        <w:t>按照《生产建设项目水土保持技术标准》（GB 50433-2018）和《生产建设项目水土流失防治标准》（GB/T 50434-2018）规定，本工程水土流失防治应达到下列基本目标：项目建设范围内的新增水土流失应得到有效控制，原有水土流失得到治理；水土保持设施应安全有效；水土资源、林草植被应得到最大限度的保护与恢复</w:t>
      </w:r>
      <w:r>
        <w:rPr>
          <w:rFonts w:hint="eastAsia" w:eastAsia="仿宋_GB2312"/>
          <w:color w:val="auto"/>
          <w:szCs w:val="24"/>
          <w:highlight w:val="none"/>
        </w:rPr>
        <w:t>。</w:t>
      </w:r>
    </w:p>
    <w:p>
      <w:pPr>
        <w:spacing w:line="360" w:lineRule="auto"/>
        <w:ind w:firstLine="480" w:firstLineChars="200"/>
        <w:jc w:val="both"/>
        <w:rPr>
          <w:rFonts w:hint="eastAsia" w:eastAsia="仿宋_GB2312"/>
          <w:color w:val="auto"/>
          <w:szCs w:val="24"/>
          <w:highlight w:val="yellow"/>
          <w:lang w:eastAsia="zh-CN"/>
        </w:rPr>
      </w:pPr>
      <w:r>
        <w:rPr>
          <w:rFonts w:hint="eastAsia" w:eastAsia="仿宋_GB2312"/>
          <w:color w:val="auto"/>
          <w:szCs w:val="24"/>
          <w:highlight w:val="none"/>
        </w:rPr>
        <w:t>根据</w:t>
      </w:r>
      <w:r>
        <w:rPr>
          <w:rFonts w:eastAsia="仿宋_GB2312"/>
          <w:color w:val="auto"/>
          <w:szCs w:val="24"/>
          <w:highlight w:val="none"/>
        </w:rPr>
        <w:t>《生产建设项目水土流失防治标准》（GB/T 50434-2018）规定，项目区水土流失类型以轻度水力侵蚀为主，将土壤流失控制比调整为1.0。</w:t>
      </w:r>
      <w:r>
        <w:rPr>
          <w:rFonts w:hint="eastAsia" w:eastAsia="仿宋_GB2312"/>
          <w:color w:val="auto"/>
          <w:szCs w:val="24"/>
          <w:highlight w:val="none"/>
          <w:lang w:val="en-US" w:eastAsia="zh-CN"/>
        </w:rPr>
        <w:t>抚松县</w:t>
      </w:r>
      <w:r>
        <w:rPr>
          <w:rFonts w:eastAsia="仿宋_GB2312"/>
          <w:color w:val="auto"/>
          <w:szCs w:val="24"/>
          <w:highlight w:val="none"/>
        </w:rPr>
        <w:t>地处半湿润区，水土流失治理度</w:t>
      </w:r>
      <w:r>
        <w:rPr>
          <w:rFonts w:hint="eastAsia" w:eastAsia="仿宋_GB2312"/>
          <w:color w:val="auto"/>
          <w:szCs w:val="24"/>
          <w:highlight w:val="none"/>
          <w:lang w:val="en-US" w:eastAsia="zh-CN"/>
        </w:rPr>
        <w:t>不做调整；项目区无林草植被，林草植被恢复率、林草覆盖率不计；本项目位于农村地区，渣土防护率不做调整；本项目无表土剥离，表土保护率不计。</w:t>
      </w:r>
      <w:r>
        <w:rPr>
          <w:rFonts w:eastAsia="仿宋_GB2312"/>
          <w:color w:val="auto"/>
          <w:szCs w:val="24"/>
          <w:highlight w:val="none"/>
        </w:rPr>
        <w:t>指标调整后</w:t>
      </w:r>
      <w:r>
        <w:rPr>
          <w:rFonts w:eastAsia="仿宋_GB2312"/>
          <w:bCs/>
          <w:color w:val="auto"/>
          <w:szCs w:val="24"/>
          <w:highlight w:val="none"/>
        </w:rPr>
        <w:t>施工期</w:t>
      </w:r>
      <w:r>
        <w:rPr>
          <w:rFonts w:eastAsia="仿宋_GB2312"/>
          <w:color w:val="auto"/>
          <w:szCs w:val="24"/>
          <w:highlight w:val="none"/>
        </w:rPr>
        <w:t>水土流失防治指标</w:t>
      </w:r>
      <w:r>
        <w:rPr>
          <w:rFonts w:eastAsia="仿宋_GB2312"/>
          <w:bCs/>
          <w:color w:val="auto"/>
          <w:szCs w:val="24"/>
          <w:highlight w:val="none"/>
        </w:rPr>
        <w:t>为：渣土防护率9</w:t>
      </w:r>
      <w:r>
        <w:rPr>
          <w:rFonts w:hint="eastAsia" w:eastAsia="仿宋_GB2312"/>
          <w:bCs/>
          <w:color w:val="auto"/>
          <w:szCs w:val="24"/>
          <w:highlight w:val="none"/>
          <w:lang w:val="en-US" w:eastAsia="zh-CN"/>
        </w:rPr>
        <w:t>5</w:t>
      </w:r>
      <w:r>
        <w:rPr>
          <w:rFonts w:eastAsia="仿宋_GB2312"/>
          <w:bCs/>
          <w:color w:val="auto"/>
          <w:szCs w:val="24"/>
          <w:highlight w:val="none"/>
        </w:rPr>
        <w:t>%；</w:t>
      </w:r>
      <w:r>
        <w:rPr>
          <w:rFonts w:eastAsia="仿宋_GB2312"/>
          <w:color w:val="auto"/>
          <w:szCs w:val="24"/>
          <w:highlight w:val="none"/>
        </w:rPr>
        <w:t>设计水平年水土流失防治指标为：水土流失治理度达到97%，土壤流失控制比达到1.0，渣土防护率达到9</w:t>
      </w:r>
      <w:r>
        <w:rPr>
          <w:rFonts w:hint="eastAsia" w:eastAsia="仿宋_GB2312"/>
          <w:color w:val="auto"/>
          <w:szCs w:val="24"/>
          <w:highlight w:val="none"/>
          <w:lang w:val="en-US" w:eastAsia="zh-CN"/>
        </w:rPr>
        <w:t>7</w:t>
      </w:r>
      <w:r>
        <w:rPr>
          <w:rFonts w:eastAsia="仿宋_GB2312"/>
          <w:color w:val="auto"/>
          <w:szCs w:val="24"/>
          <w:highlight w:val="none"/>
        </w:rPr>
        <w:t>%</w:t>
      </w:r>
      <w:r>
        <w:rPr>
          <w:rFonts w:hint="eastAsia" w:eastAsia="仿宋_GB2312"/>
          <w:color w:val="auto"/>
          <w:szCs w:val="24"/>
          <w:highlight w:val="none"/>
          <w:lang w:eastAsia="zh-CN"/>
        </w:rPr>
        <w:t>。</w:t>
      </w:r>
    </w:p>
    <w:p>
      <w:pPr>
        <w:rPr>
          <w:rFonts w:eastAsia="仿宋_GB2312"/>
          <w:color w:val="auto"/>
          <w:szCs w:val="24"/>
        </w:rPr>
      </w:pPr>
    </w:p>
    <w:p>
      <w:pPr>
        <w:pStyle w:val="20"/>
        <w:ind w:left="480"/>
        <w:rPr>
          <w:rFonts w:eastAsia="仿宋_GB2312"/>
          <w:color w:val="auto"/>
          <w:szCs w:val="24"/>
        </w:rPr>
      </w:pPr>
    </w:p>
    <w:p>
      <w:pPr>
        <w:rPr>
          <w:rFonts w:eastAsia="仿宋_GB2312"/>
          <w:color w:val="auto"/>
          <w:szCs w:val="24"/>
        </w:rPr>
      </w:pPr>
    </w:p>
    <w:p>
      <w:pPr>
        <w:pStyle w:val="20"/>
        <w:ind w:left="480"/>
        <w:rPr>
          <w:rFonts w:eastAsia="仿宋_GB2312"/>
          <w:color w:val="auto"/>
          <w:szCs w:val="24"/>
        </w:rPr>
      </w:pPr>
    </w:p>
    <w:p>
      <w:pPr>
        <w:rPr>
          <w:rFonts w:eastAsia="仿宋_GB2312"/>
          <w:color w:val="auto"/>
          <w:szCs w:val="24"/>
        </w:rPr>
      </w:pPr>
    </w:p>
    <w:p>
      <w:pPr>
        <w:pStyle w:val="20"/>
        <w:ind w:left="480"/>
        <w:rPr>
          <w:rFonts w:eastAsia="仿宋_GB2312"/>
          <w:color w:val="auto"/>
          <w:szCs w:val="24"/>
        </w:rPr>
      </w:pPr>
    </w:p>
    <w:p>
      <w:pPr>
        <w:rPr>
          <w:rFonts w:eastAsia="仿宋_GB2312"/>
          <w:color w:val="auto"/>
          <w:szCs w:val="24"/>
        </w:rPr>
      </w:pPr>
    </w:p>
    <w:p>
      <w:pPr>
        <w:pStyle w:val="20"/>
        <w:ind w:left="480"/>
        <w:rPr>
          <w:rFonts w:eastAsia="仿宋_GB2312"/>
          <w:color w:val="auto"/>
          <w:szCs w:val="24"/>
        </w:rPr>
      </w:pPr>
    </w:p>
    <w:p>
      <w:pPr>
        <w:rPr>
          <w:rFonts w:eastAsia="仿宋_GB2312"/>
          <w:color w:val="auto"/>
          <w:szCs w:val="24"/>
        </w:rPr>
      </w:pPr>
    </w:p>
    <w:p>
      <w:pPr>
        <w:pStyle w:val="20"/>
        <w:ind w:left="480"/>
        <w:rPr>
          <w:rFonts w:eastAsia="仿宋_GB2312"/>
          <w:color w:val="auto"/>
          <w:szCs w:val="24"/>
        </w:rPr>
      </w:pPr>
    </w:p>
    <w:p>
      <w:pPr>
        <w:spacing w:line="360" w:lineRule="auto"/>
        <w:jc w:val="center"/>
        <w:rPr>
          <w:rFonts w:eastAsia="仿宋_GB2312"/>
          <w:b/>
          <w:bCs/>
          <w:color w:val="auto"/>
          <w:spacing w:val="-20"/>
          <w:sz w:val="32"/>
          <w:szCs w:val="32"/>
        </w:rPr>
      </w:pPr>
      <w:r>
        <w:rPr>
          <w:rFonts w:eastAsia="仿宋_GB2312"/>
          <w:b/>
          <w:bCs/>
          <w:color w:val="auto"/>
          <w:spacing w:val="-20"/>
          <w:sz w:val="32"/>
          <w:szCs w:val="32"/>
        </w:rPr>
        <w:t>关于委托</w:t>
      </w:r>
      <w:r>
        <w:rPr>
          <w:rFonts w:hint="eastAsia" w:eastAsia="仿宋_GB2312"/>
          <w:b/>
          <w:bCs/>
          <w:color w:val="auto"/>
          <w:spacing w:val="-20"/>
          <w:sz w:val="32"/>
          <w:szCs w:val="32"/>
          <w:lang w:eastAsia="zh-CN"/>
        </w:rPr>
        <w:t>吉林省生环环境工程有限公司</w:t>
      </w:r>
      <w:r>
        <w:rPr>
          <w:rFonts w:eastAsia="仿宋_GB2312"/>
          <w:b/>
          <w:bCs/>
          <w:color w:val="auto"/>
          <w:spacing w:val="-20"/>
          <w:sz w:val="32"/>
          <w:szCs w:val="32"/>
        </w:rPr>
        <w:t>编制</w:t>
      </w:r>
    </w:p>
    <w:p>
      <w:pPr>
        <w:spacing w:line="360" w:lineRule="auto"/>
        <w:jc w:val="center"/>
        <w:rPr>
          <w:rFonts w:hint="eastAsia" w:eastAsia="仿宋_GB2312"/>
          <w:b/>
          <w:bCs/>
          <w:color w:val="auto"/>
          <w:spacing w:val="-20"/>
          <w:sz w:val="32"/>
          <w:szCs w:val="32"/>
          <w:lang w:eastAsia="zh-CN"/>
        </w:rPr>
      </w:pPr>
      <w:r>
        <w:rPr>
          <w:rFonts w:hint="eastAsia" w:eastAsia="仿宋_GB2312"/>
          <w:b/>
          <w:bCs/>
          <w:color w:val="auto"/>
          <w:spacing w:val="-20"/>
          <w:sz w:val="32"/>
          <w:szCs w:val="32"/>
          <w:lang w:eastAsia="zh-CN"/>
        </w:rPr>
        <w:t>吉林省鼎生工程有限公司水泥碎石制品建设项目</w:t>
      </w:r>
    </w:p>
    <w:p>
      <w:pPr>
        <w:spacing w:line="360" w:lineRule="auto"/>
        <w:jc w:val="center"/>
        <w:rPr>
          <w:rFonts w:eastAsia="仿宋_GB2312"/>
          <w:b/>
          <w:bCs/>
          <w:color w:val="auto"/>
          <w:spacing w:val="-20"/>
          <w:sz w:val="36"/>
          <w:szCs w:val="36"/>
        </w:rPr>
      </w:pPr>
      <w:r>
        <w:rPr>
          <w:rFonts w:eastAsia="仿宋_GB2312"/>
          <w:b/>
          <w:bCs/>
          <w:color w:val="auto"/>
          <w:spacing w:val="-20"/>
          <w:sz w:val="32"/>
          <w:szCs w:val="32"/>
        </w:rPr>
        <w:t>水土保持方案报告表的委托书</w:t>
      </w:r>
    </w:p>
    <w:p>
      <w:pPr>
        <w:spacing w:line="480" w:lineRule="atLeast"/>
        <w:jc w:val="center"/>
        <w:rPr>
          <w:rFonts w:eastAsia="仿宋_GB2312"/>
          <w:b/>
          <w:color w:val="auto"/>
          <w:spacing w:val="-20"/>
          <w:sz w:val="36"/>
          <w:szCs w:val="36"/>
        </w:rPr>
      </w:pPr>
    </w:p>
    <w:p>
      <w:pPr>
        <w:spacing w:line="480" w:lineRule="auto"/>
        <w:rPr>
          <w:rFonts w:eastAsia="仿宋_GB2312"/>
          <w:color w:val="auto"/>
          <w:spacing w:val="-3"/>
          <w:sz w:val="28"/>
          <w:szCs w:val="28"/>
        </w:rPr>
      </w:pPr>
      <w:r>
        <w:rPr>
          <w:rFonts w:hint="eastAsia" w:eastAsia="仿宋_GB2312"/>
          <w:bCs/>
          <w:color w:val="auto"/>
          <w:spacing w:val="-3"/>
          <w:sz w:val="28"/>
          <w:szCs w:val="28"/>
          <w:lang w:eastAsia="zh-CN"/>
        </w:rPr>
        <w:t>吉林省生环环境工程有限公司</w:t>
      </w:r>
      <w:r>
        <w:rPr>
          <w:rFonts w:eastAsia="仿宋_GB2312"/>
          <w:color w:val="auto"/>
          <w:spacing w:val="-3"/>
          <w:sz w:val="28"/>
          <w:szCs w:val="28"/>
        </w:rPr>
        <w:t>：</w:t>
      </w:r>
    </w:p>
    <w:p>
      <w:pPr>
        <w:spacing w:line="480" w:lineRule="auto"/>
        <w:ind w:firstLine="548" w:firstLineChars="200"/>
        <w:rPr>
          <w:rFonts w:eastAsia="仿宋_GB2312"/>
          <w:color w:val="auto"/>
          <w:spacing w:val="-3"/>
          <w:sz w:val="28"/>
          <w:szCs w:val="28"/>
        </w:rPr>
      </w:pPr>
      <w:r>
        <w:rPr>
          <w:rFonts w:eastAsia="仿宋_GB2312"/>
          <w:color w:val="auto"/>
          <w:spacing w:val="-3"/>
          <w:sz w:val="28"/>
          <w:szCs w:val="28"/>
        </w:rPr>
        <w:t>我单位正在开展</w:t>
      </w:r>
      <w:r>
        <w:rPr>
          <w:rFonts w:hint="eastAsia" w:eastAsia="仿宋_GB2312"/>
          <w:bCs/>
          <w:color w:val="auto"/>
          <w:spacing w:val="-3"/>
          <w:sz w:val="28"/>
          <w:szCs w:val="28"/>
          <w:lang w:eastAsia="zh-CN"/>
        </w:rPr>
        <w:t>吉林省鼎生工程有限公司水泥碎石制品建设项目</w:t>
      </w:r>
      <w:r>
        <w:rPr>
          <w:rFonts w:eastAsia="仿宋_GB2312"/>
          <w:color w:val="auto"/>
          <w:spacing w:val="-3"/>
          <w:sz w:val="28"/>
          <w:szCs w:val="28"/>
        </w:rPr>
        <w:t>的各项前期工作。依据《中华人民共和国水土保持法》以及其他法律法规要求，现委托贵公司编制《</w:t>
      </w:r>
      <w:r>
        <w:rPr>
          <w:rFonts w:hint="eastAsia" w:eastAsia="仿宋_GB2312"/>
          <w:bCs/>
          <w:color w:val="auto"/>
          <w:spacing w:val="-3"/>
          <w:sz w:val="28"/>
          <w:szCs w:val="28"/>
          <w:lang w:eastAsia="zh-CN"/>
        </w:rPr>
        <w:t>吉林省鼎生工程有限公司水泥碎石制品建设项目</w:t>
      </w:r>
      <w:r>
        <w:rPr>
          <w:rFonts w:eastAsia="仿宋_GB2312"/>
          <w:color w:val="auto"/>
          <w:spacing w:val="-3"/>
          <w:sz w:val="28"/>
          <w:szCs w:val="28"/>
        </w:rPr>
        <w:t>水土保持方案报告表》，望按照有关法律法规、技术规范要求尽快开展工作。</w:t>
      </w:r>
    </w:p>
    <w:p>
      <w:pPr>
        <w:pStyle w:val="20"/>
        <w:rPr>
          <w:rFonts w:eastAsia="仿宋_GB2312"/>
          <w:color w:val="auto"/>
          <w:spacing w:val="-3"/>
          <w:sz w:val="28"/>
          <w:szCs w:val="28"/>
        </w:rPr>
      </w:pPr>
    </w:p>
    <w:p>
      <w:pPr>
        <w:rPr>
          <w:rFonts w:eastAsia="仿宋_GB2312"/>
          <w:color w:val="auto"/>
          <w:spacing w:val="-3"/>
          <w:sz w:val="28"/>
          <w:szCs w:val="28"/>
        </w:rPr>
      </w:pPr>
    </w:p>
    <w:p>
      <w:pPr>
        <w:pStyle w:val="20"/>
        <w:rPr>
          <w:color w:val="auto"/>
        </w:rPr>
      </w:pPr>
    </w:p>
    <w:p>
      <w:pPr>
        <w:spacing w:line="360" w:lineRule="auto"/>
        <w:jc w:val="right"/>
        <w:rPr>
          <w:rFonts w:eastAsia="仿宋_GB2312"/>
          <w:color w:val="auto"/>
          <w:sz w:val="28"/>
          <w:szCs w:val="28"/>
        </w:rPr>
      </w:pPr>
      <w:r>
        <w:rPr>
          <w:rFonts w:hint="eastAsia" w:eastAsia="仿宋_GB2312"/>
          <w:color w:val="auto"/>
          <w:sz w:val="28"/>
          <w:szCs w:val="28"/>
          <w:lang w:eastAsia="zh-CN"/>
        </w:rPr>
        <w:t>吉林省鼎生工程有限公司</w:t>
      </w:r>
      <w:r>
        <w:rPr>
          <w:rFonts w:eastAsia="仿宋_GB2312"/>
          <w:color w:val="auto"/>
          <w:sz w:val="28"/>
          <w:szCs w:val="28"/>
        </w:rPr>
        <w:t>（加盖公章）</w:t>
      </w:r>
    </w:p>
    <w:p>
      <w:pPr>
        <w:spacing w:line="360" w:lineRule="auto"/>
        <w:jc w:val="right"/>
        <w:rPr>
          <w:rFonts w:eastAsia="仿宋_GB2312"/>
          <w:color w:val="auto"/>
          <w:sz w:val="28"/>
          <w:szCs w:val="28"/>
        </w:rPr>
      </w:pPr>
    </w:p>
    <w:p>
      <w:pPr>
        <w:spacing w:line="360" w:lineRule="auto"/>
        <w:jc w:val="right"/>
        <w:rPr>
          <w:rFonts w:eastAsia="仿宋_GB2312"/>
          <w:color w:val="auto"/>
          <w:sz w:val="28"/>
          <w:szCs w:val="28"/>
        </w:rPr>
      </w:pPr>
    </w:p>
    <w:p>
      <w:pPr>
        <w:spacing w:line="360" w:lineRule="auto"/>
        <w:jc w:val="right"/>
        <w:rPr>
          <w:rFonts w:eastAsia="仿宋_GB2312"/>
          <w:color w:val="auto"/>
          <w:spacing w:val="-3"/>
          <w:sz w:val="28"/>
          <w:szCs w:val="28"/>
        </w:rPr>
      </w:pPr>
      <w:r>
        <w:rPr>
          <w:rFonts w:eastAsia="仿宋_GB2312"/>
          <w:color w:val="auto"/>
          <w:sz w:val="28"/>
          <w:szCs w:val="28"/>
        </w:rPr>
        <w:t xml:space="preserve">   </w:t>
      </w:r>
    </w:p>
    <w:p>
      <w:pPr>
        <w:jc w:val="right"/>
        <w:rPr>
          <w:rFonts w:hint="eastAsia" w:eastAsia="仿宋_GB2312"/>
          <w:color w:val="auto"/>
          <w:sz w:val="28"/>
          <w:szCs w:val="28"/>
        </w:rPr>
      </w:pPr>
      <w:r>
        <w:rPr>
          <w:rFonts w:eastAsia="仿宋_GB2312"/>
          <w:color w:val="auto"/>
          <w:sz w:val="28"/>
          <w:szCs w:val="28"/>
        </w:rPr>
        <w:t xml:space="preserve">                             </w:t>
      </w:r>
      <w:r>
        <w:rPr>
          <w:rFonts w:hint="eastAsia" w:eastAsia="仿宋_GB2312"/>
          <w:color w:val="auto"/>
          <w:sz w:val="28"/>
          <w:szCs w:val="28"/>
        </w:rPr>
        <w:t>202</w:t>
      </w:r>
      <w:r>
        <w:rPr>
          <w:rFonts w:hint="eastAsia" w:eastAsia="仿宋_GB2312"/>
          <w:color w:val="auto"/>
          <w:sz w:val="28"/>
          <w:szCs w:val="28"/>
          <w:lang w:val="en-US" w:eastAsia="zh-CN"/>
        </w:rPr>
        <w:t>3</w:t>
      </w:r>
      <w:r>
        <w:rPr>
          <w:rFonts w:hint="eastAsia" w:eastAsia="仿宋_GB2312"/>
          <w:color w:val="auto"/>
          <w:sz w:val="28"/>
          <w:szCs w:val="28"/>
        </w:rPr>
        <w:t>年</w:t>
      </w:r>
      <w:r>
        <w:rPr>
          <w:rFonts w:hint="eastAsia" w:eastAsia="仿宋_GB2312"/>
          <w:color w:val="auto"/>
          <w:sz w:val="28"/>
          <w:szCs w:val="28"/>
          <w:lang w:val="en-US" w:eastAsia="zh-CN"/>
        </w:rPr>
        <w:t>2</w:t>
      </w:r>
      <w:r>
        <w:rPr>
          <w:rFonts w:hint="eastAsia" w:eastAsia="仿宋_GB2312"/>
          <w:color w:val="auto"/>
          <w:sz w:val="28"/>
          <w:szCs w:val="28"/>
        </w:rPr>
        <w:t>月</w:t>
      </w:r>
    </w:p>
    <w:p>
      <w:pPr>
        <w:pStyle w:val="20"/>
        <w:rPr>
          <w:rFonts w:eastAsia="仿宋_GB2312"/>
          <w:color w:val="auto"/>
          <w:sz w:val="28"/>
          <w:szCs w:val="28"/>
        </w:rPr>
        <w:sectPr>
          <w:headerReference r:id="rId27" w:type="default"/>
          <w:footerReference r:id="rId28" w:type="default"/>
          <w:pgSz w:w="11906" w:h="16838"/>
          <w:pgMar w:top="1440" w:right="1758" w:bottom="1440" w:left="1758" w:header="851" w:footer="992" w:gutter="0"/>
          <w:pgNumType w:fmt="decimal"/>
          <w:cols w:space="720" w:num="1"/>
          <w:docGrid w:type="lines" w:linePitch="312" w:charSpace="0"/>
        </w:sectPr>
      </w:pPr>
    </w:p>
    <w:p>
      <w:pPr>
        <w:rPr>
          <w:rFonts w:hint="eastAsia" w:eastAsia="宋体"/>
          <w:color w:val="auto"/>
          <w:lang w:eastAsia="zh-CN"/>
        </w:rPr>
        <w:sectPr>
          <w:pgSz w:w="16838" w:h="11906" w:orient="landscape"/>
          <w:pgMar w:top="1758" w:right="1440" w:bottom="1758" w:left="1440" w:header="851" w:footer="992" w:gutter="0"/>
          <w:pgNumType w:fmt="decimal"/>
          <w:cols w:space="720" w:num="1"/>
          <w:docGrid w:type="lines" w:linePitch="312" w:charSpace="0"/>
        </w:sectPr>
      </w:pPr>
      <w:r>
        <w:rPr>
          <w:rFonts w:hint="eastAsia" w:eastAsia="宋体"/>
          <w:color w:val="auto"/>
          <w:lang w:eastAsia="zh-CN"/>
        </w:rPr>
        <w:drawing>
          <wp:inline distT="0" distB="0" distL="114300" distR="114300">
            <wp:extent cx="8853170" cy="4529455"/>
            <wp:effectExtent l="0" t="0" r="5080" b="4445"/>
            <wp:docPr id="4" name="图片 4" descr="167823668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8236687225"/>
                    <pic:cNvPicPr>
                      <a:picLocks noChangeAspect="1"/>
                    </pic:cNvPicPr>
                  </pic:nvPicPr>
                  <pic:blipFill>
                    <a:blip r:embed="rId39"/>
                    <a:stretch>
                      <a:fillRect/>
                    </a:stretch>
                  </pic:blipFill>
                  <pic:spPr>
                    <a:xfrm>
                      <a:off x="0" y="0"/>
                      <a:ext cx="8853170" cy="4529455"/>
                    </a:xfrm>
                    <a:prstGeom prst="rect">
                      <a:avLst/>
                    </a:prstGeom>
                  </pic:spPr>
                </pic:pic>
              </a:graphicData>
            </a:graphic>
          </wp:inline>
        </w:drawing>
      </w:r>
    </w:p>
    <w:p>
      <w:pPr>
        <w:pStyle w:val="20"/>
        <w:ind w:left="0" w:leftChars="0" w:firstLine="0" w:firstLineChars="0"/>
        <w:rPr>
          <w:rFonts w:hint="eastAsia" w:eastAsia="宋体"/>
          <w:color w:val="auto"/>
          <w:lang w:eastAsia="zh-CN"/>
        </w:rPr>
      </w:pPr>
      <w:r>
        <w:rPr>
          <w:rFonts w:hint="eastAsia" w:eastAsia="宋体"/>
          <w:color w:val="auto"/>
          <w:lang w:eastAsia="zh-CN"/>
        </w:rPr>
        <w:drawing>
          <wp:inline distT="0" distB="0" distL="114300" distR="114300">
            <wp:extent cx="5322570" cy="7192645"/>
            <wp:effectExtent l="0" t="0" r="11430" b="8255"/>
            <wp:docPr id="9" name="图片 9" descr="167823999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78239996781"/>
                    <pic:cNvPicPr>
                      <a:picLocks noChangeAspect="1"/>
                    </pic:cNvPicPr>
                  </pic:nvPicPr>
                  <pic:blipFill>
                    <a:blip r:embed="rId40"/>
                    <a:stretch>
                      <a:fillRect/>
                    </a:stretch>
                  </pic:blipFill>
                  <pic:spPr>
                    <a:xfrm>
                      <a:off x="0" y="0"/>
                      <a:ext cx="5322570" cy="7192645"/>
                    </a:xfrm>
                    <a:prstGeom prst="rect">
                      <a:avLst/>
                    </a:prstGeom>
                  </pic:spPr>
                </pic:pic>
              </a:graphicData>
            </a:graphic>
          </wp:inline>
        </w:drawing>
      </w:r>
      <w:r>
        <w:rPr>
          <w:rFonts w:hint="eastAsia" w:eastAsia="宋体"/>
          <w:color w:val="auto"/>
          <w:lang w:eastAsia="zh-CN"/>
        </w:rPr>
        <w:drawing>
          <wp:inline distT="0" distB="0" distL="114300" distR="114300">
            <wp:extent cx="5325110" cy="7258685"/>
            <wp:effectExtent l="0" t="0" r="8890" b="18415"/>
            <wp:docPr id="10" name="图片 10" descr="167824002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8240020346"/>
                    <pic:cNvPicPr>
                      <a:picLocks noChangeAspect="1"/>
                    </pic:cNvPicPr>
                  </pic:nvPicPr>
                  <pic:blipFill>
                    <a:blip r:embed="rId41"/>
                    <a:stretch>
                      <a:fillRect/>
                    </a:stretch>
                  </pic:blipFill>
                  <pic:spPr>
                    <a:xfrm>
                      <a:off x="0" y="0"/>
                      <a:ext cx="5325110" cy="7258685"/>
                    </a:xfrm>
                    <a:prstGeom prst="rect">
                      <a:avLst/>
                    </a:prstGeom>
                  </pic:spPr>
                </pic:pic>
              </a:graphicData>
            </a:graphic>
          </wp:inline>
        </w:drawing>
      </w:r>
      <w:r>
        <w:rPr>
          <w:rFonts w:hint="eastAsia" w:eastAsia="宋体"/>
          <w:color w:val="auto"/>
          <w:lang w:eastAsia="zh-CN"/>
        </w:rPr>
        <w:drawing>
          <wp:inline distT="0" distB="0" distL="114300" distR="114300">
            <wp:extent cx="4867275" cy="8267700"/>
            <wp:effectExtent l="0" t="0" r="9525" b="0"/>
            <wp:docPr id="11" name="图片 11" descr="167824004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8240041407"/>
                    <pic:cNvPicPr>
                      <a:picLocks noChangeAspect="1"/>
                    </pic:cNvPicPr>
                  </pic:nvPicPr>
                  <pic:blipFill>
                    <a:blip r:embed="rId42"/>
                    <a:stretch>
                      <a:fillRect/>
                    </a:stretch>
                  </pic:blipFill>
                  <pic:spPr>
                    <a:xfrm>
                      <a:off x="0" y="0"/>
                      <a:ext cx="4867275" cy="8267700"/>
                    </a:xfrm>
                    <a:prstGeom prst="rect">
                      <a:avLst/>
                    </a:prstGeom>
                  </pic:spPr>
                </pic:pic>
              </a:graphicData>
            </a:graphic>
          </wp:inline>
        </w:drawing>
      </w:r>
      <w:r>
        <w:rPr>
          <w:rFonts w:hint="eastAsia" w:eastAsia="宋体"/>
          <w:color w:val="auto"/>
          <w:lang w:eastAsia="zh-CN"/>
        </w:rPr>
        <w:drawing>
          <wp:inline distT="0" distB="0" distL="114300" distR="114300">
            <wp:extent cx="4905375" cy="8267700"/>
            <wp:effectExtent l="0" t="0" r="9525" b="0"/>
            <wp:docPr id="12" name="图片 12" descr="167824006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8240064500"/>
                    <pic:cNvPicPr>
                      <a:picLocks noChangeAspect="1"/>
                    </pic:cNvPicPr>
                  </pic:nvPicPr>
                  <pic:blipFill>
                    <a:blip r:embed="rId43"/>
                    <a:stretch>
                      <a:fillRect/>
                    </a:stretch>
                  </pic:blipFill>
                  <pic:spPr>
                    <a:xfrm>
                      <a:off x="0" y="0"/>
                      <a:ext cx="4905375" cy="8267700"/>
                    </a:xfrm>
                    <a:prstGeom prst="rect">
                      <a:avLst/>
                    </a:prstGeom>
                  </pic:spPr>
                </pic:pic>
              </a:graphicData>
            </a:graphic>
          </wp:inline>
        </w:drawing>
      </w:r>
      <w:r>
        <w:rPr>
          <w:rFonts w:hint="eastAsia" w:eastAsia="宋体"/>
          <w:color w:val="auto"/>
          <w:lang w:eastAsia="zh-CN"/>
        </w:rPr>
        <w:drawing>
          <wp:inline distT="0" distB="0" distL="114300" distR="114300">
            <wp:extent cx="5324475" cy="8002905"/>
            <wp:effectExtent l="0" t="0" r="9525" b="17145"/>
            <wp:docPr id="5" name="图片 5" descr="167823674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8236747920"/>
                    <pic:cNvPicPr>
                      <a:picLocks noChangeAspect="1"/>
                    </pic:cNvPicPr>
                  </pic:nvPicPr>
                  <pic:blipFill>
                    <a:blip r:embed="rId44"/>
                    <a:stretch>
                      <a:fillRect/>
                    </a:stretch>
                  </pic:blipFill>
                  <pic:spPr>
                    <a:xfrm>
                      <a:off x="0" y="0"/>
                      <a:ext cx="5324475" cy="8002905"/>
                    </a:xfrm>
                    <a:prstGeom prst="rect">
                      <a:avLst/>
                    </a:prstGeom>
                  </pic:spPr>
                </pic:pic>
              </a:graphicData>
            </a:graphic>
          </wp:inline>
        </w:drawing>
      </w:r>
      <w:r>
        <w:rPr>
          <w:rFonts w:hint="eastAsia" w:eastAsia="宋体"/>
          <w:color w:val="auto"/>
          <w:lang w:eastAsia="zh-CN"/>
        </w:rPr>
        <w:drawing>
          <wp:inline distT="0" distB="0" distL="114300" distR="114300">
            <wp:extent cx="5325110" cy="7947660"/>
            <wp:effectExtent l="0" t="0" r="8890" b="15240"/>
            <wp:docPr id="6" name="图片 6" descr="167823676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8236762874"/>
                    <pic:cNvPicPr>
                      <a:picLocks noChangeAspect="1"/>
                    </pic:cNvPicPr>
                  </pic:nvPicPr>
                  <pic:blipFill>
                    <a:blip r:embed="rId45"/>
                    <a:stretch>
                      <a:fillRect/>
                    </a:stretch>
                  </pic:blipFill>
                  <pic:spPr>
                    <a:xfrm>
                      <a:off x="0" y="0"/>
                      <a:ext cx="5325110" cy="7947660"/>
                    </a:xfrm>
                    <a:prstGeom prst="rect">
                      <a:avLst/>
                    </a:prstGeom>
                  </pic:spPr>
                </pic:pic>
              </a:graphicData>
            </a:graphic>
          </wp:inline>
        </w:drawing>
      </w:r>
      <w:r>
        <w:rPr>
          <w:rFonts w:hint="eastAsia" w:eastAsia="宋体"/>
          <w:color w:val="auto"/>
          <w:lang w:eastAsia="zh-CN"/>
        </w:rPr>
        <w:drawing>
          <wp:inline distT="0" distB="0" distL="114300" distR="114300">
            <wp:extent cx="5326380" cy="8249920"/>
            <wp:effectExtent l="0" t="0" r="7620" b="17780"/>
            <wp:docPr id="7" name="图片 7" descr="167823678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8236781881"/>
                    <pic:cNvPicPr>
                      <a:picLocks noChangeAspect="1"/>
                    </pic:cNvPicPr>
                  </pic:nvPicPr>
                  <pic:blipFill>
                    <a:blip r:embed="rId46"/>
                    <a:stretch>
                      <a:fillRect/>
                    </a:stretch>
                  </pic:blipFill>
                  <pic:spPr>
                    <a:xfrm>
                      <a:off x="0" y="0"/>
                      <a:ext cx="5326380" cy="8249920"/>
                    </a:xfrm>
                    <a:prstGeom prst="rect">
                      <a:avLst/>
                    </a:prstGeom>
                  </pic:spPr>
                </pic:pic>
              </a:graphicData>
            </a:graphic>
          </wp:inline>
        </w:drawing>
      </w:r>
      <w:r>
        <w:rPr>
          <w:rFonts w:hint="eastAsia" w:eastAsia="宋体"/>
          <w:color w:val="auto"/>
          <w:lang w:eastAsia="zh-CN"/>
        </w:rPr>
        <w:drawing>
          <wp:inline distT="0" distB="0" distL="114300" distR="114300">
            <wp:extent cx="5137150" cy="8862695"/>
            <wp:effectExtent l="0" t="0" r="6350" b="14605"/>
            <wp:docPr id="8" name="图片 8" descr="167823683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8236833798"/>
                    <pic:cNvPicPr>
                      <a:picLocks noChangeAspect="1"/>
                    </pic:cNvPicPr>
                  </pic:nvPicPr>
                  <pic:blipFill>
                    <a:blip r:embed="rId47"/>
                    <a:stretch>
                      <a:fillRect/>
                    </a:stretch>
                  </pic:blipFill>
                  <pic:spPr>
                    <a:xfrm>
                      <a:off x="0" y="0"/>
                      <a:ext cx="5137150" cy="8862695"/>
                    </a:xfrm>
                    <a:prstGeom prst="rect">
                      <a:avLst/>
                    </a:prstGeom>
                  </pic:spPr>
                </pic:pic>
              </a:graphicData>
            </a:graphic>
          </wp:inline>
        </w:drawing>
      </w:r>
    </w:p>
    <w:bookmarkEnd w:id="69"/>
    <w:sectPr>
      <w:pgSz w:w="11906" w:h="16838"/>
      <w:pgMar w:top="1440" w:right="1758" w:bottom="1440" w:left="1758"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简体">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Noto Sans Mono CJK JP Regular">
    <w:altName w:val="微软雅黑"/>
    <w:panose1 w:val="00000000000000000000"/>
    <w:charset w:val="00"/>
    <w:family w:val="swiss"/>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365"/>
        <w:tab w:val="clear" w:pos="4153"/>
      </w:tabs>
    </w:pPr>
    <w:r>
      <w:rPr>
        <w:rFonts w:hint="eastAsia" w:eastAsia="仿宋_GB2312"/>
        <w:color w:val="000000"/>
        <w:sz w:val="21"/>
        <w:szCs w:val="21"/>
      </w:rPr>
      <w:tab/>
    </w:r>
  </w:p>
  <w:p>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0"/>
      </w:pBdr>
      <w:wordWrap w:val="0"/>
      <w:jc w:val="right"/>
      <w:rPr>
        <w:rFonts w:hint="eastAsia" w:eastAsia="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57</w:t>
                          </w:r>
                          <w:r>
                            <w:fldChar w:fldCharType="end"/>
                          </w:r>
                        </w:p>
                      </w:txbxContent>
                    </wps:txbx>
                    <wps:bodyPr wrap="none" lIns="0" tIns="0" rIns="0" bIns="0" upright="1">
                      <a:spAutoFit/>
                    </wps:bodyPr>
                  </wps:wsp>
                </a:graphicData>
              </a:graphic>
            </wp:anchor>
          </w:drawing>
        </mc:Choice>
        <mc:Fallback>
          <w:pict>
            <v:shape id="文本框 105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m+WMwBAACeAwAADgAAAGRycy9lMm9Eb2MueG1srVPNjtMwEL4j8Q6W&#10;79RpB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e4CRUO3nGLI798/3b58evy8ytZ&#10;Vq9e5h71AWpMvQuYnIa3fsD82Q/ozNIHFW3+oiiCcezw+dphOSQi8qP1ar2uMCQwNl8Qnz08DxHS&#10;O+ktyUZDI46wdJafPkAaU+eUXM35W21MGaNxfzkQM3tY5j5yzFYa9sMkaO/bM+rpcfoNdbjslJj3&#10;DpubF2U24mzsZ+MYoj50SG1ZeEF4c0xIonDLFUbYqTCOraibVizvxZ/3kvXwW2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0+b5YzAEAAJ4DAAAOAAAAAAAAAAEAIAAAAB4BAABkcnMvZTJv&#10;RG9jLnhtbFBLBQYAAAAABgAGAFkBAABc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57</w:t>
                    </w:r>
                    <w:r>
                      <w:fldChar w:fldCharType="end"/>
                    </w:r>
                  </w:p>
                </w:txbxContent>
              </v:textbox>
            </v:shape>
          </w:pict>
        </mc:Fallback>
      </mc:AlternateContent>
    </w:r>
    <w:r>
      <w:rPr>
        <w:rFonts w:hint="eastAsia" w:ascii="仿宋_GB2312" w:hAnsi="仿宋_GB2312" w:eastAsia="仿宋_GB2312" w:cs="仿宋_GB2312"/>
        <w:sz w:val="21"/>
        <w:szCs w:val="21"/>
        <w:lang w:eastAsia="zh-CN"/>
      </w:rPr>
      <w:t>吉林省生环环境工程有限公司</w:t>
    </w:r>
  </w:p>
  <w:p>
    <w:pPr>
      <w:pStyle w:val="1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0"/>
      </w:pBdr>
      <w:jc w:val="right"/>
      <w:rPr>
        <w:rFonts w:hint="eastAsia" w:eastAsia="宋体"/>
        <w:lang w:eastAsia="zh-CN"/>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62</w:t>
                          </w:r>
                          <w:r>
                            <w:fldChar w:fldCharType="end"/>
                          </w:r>
                        </w:p>
                      </w:txbxContent>
                    </wps:txbx>
                    <wps:bodyPr wrap="none" lIns="0" tIns="0" rIns="0" bIns="0" upright="1">
                      <a:spAutoFit/>
                    </wps:bodyPr>
                  </wps:wsp>
                </a:graphicData>
              </a:graphic>
            </wp:anchor>
          </w:drawing>
        </mc:Choice>
        <mc:Fallback>
          <w:pict>
            <v:shape id="文本框 105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Ql7swBAACeAwAADgAAAGRycy9lMm9Eb2MueG1srVPNjtMwEL4j8Q6W&#10;79RppUUlaroCVYuQECAtPIDr2I0l/8njNukLwBtw4sKd5+pzMHaSLiyXPXBxxjPjb75vZrK5Hawh&#10;JxlBe9fQ5aKiRDrhW+0ODf3y+e7FmhJI3LXceCcbepZAb7fPn236UMuV77xpZSQI4qDuQ0O7lELN&#10;GIhOWg4LH6TDoPLR8oTXeGBt5D2iW8NWVfWS9T62IXohAdC7G4N0QoxPAfRKaSF3XhytdGlEjdLw&#10;hJKg0wHotrBVSor0USmQiZiGotJUTiyC9j6fbLvh9SHy0GkxUeBPofBIk+XaYdEr1I4nTo5R/wNl&#10;tYgevEoL4S0bhZSOoIpl9ag39x0PsmjBVkO4Nh3+H6z4cPoUiW5xE6pXlDhuceSX798uP35dfn4l&#10;y+rmJveoD1Bj6n3A5DS88QPmz35AZ5Y+qGjzF0URjGOHz9cOyyERkR+tV+t1hSGBsfmC+OzheYiQ&#10;3kpvSTYaGnGEpbP89B7SmDqn5GrO32ljyhiN+8uBmNnDMveRY7bSsB8mQXvfnlFPj9NvqMNlp8S8&#10;c9jcvCizEWdjPxvHEPWhQ2rLwgvC62NCEoVbrjDCToVxbEXdtGJ5L/68l6yH32r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9CXuzAEAAJ4DAAAOAAAAAAAAAAEAIAAAAB4BAABkcnMvZTJv&#10;RG9jLnhtbFBLBQYAAAAABgAGAFkBAABc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62</w:t>
                    </w:r>
                    <w:r>
                      <w:fldChar w:fldCharType="end"/>
                    </w:r>
                  </w:p>
                </w:txbxContent>
              </v:textbox>
            </v:shape>
          </w:pict>
        </mc:Fallback>
      </mc:AlternateContent>
    </w:r>
    <w:r>
      <w:rPr>
        <w:rFonts w:hint="eastAsia" w:ascii="仿宋_GB2312" w:hAnsi="仿宋_GB2312" w:eastAsia="仿宋_GB2312" w:cs="仿宋_GB2312"/>
        <w:sz w:val="21"/>
        <w:szCs w:val="21"/>
        <w:lang w:eastAsia="zh-CN"/>
      </w:rPr>
      <w:t>吉林省生环环境工程有限公司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280" w:right="2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0"/>
      </w:pBdr>
      <w:jc w:val="right"/>
      <w:rPr>
        <w:rFonts w:hint="eastAsia" w:eastAsia="宋体"/>
        <w:lang w:eastAsia="zh-CN"/>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59/s0BAACeAwAADgAAAGRycy9lMm9Eb2MueG1srVNLbtswEN0XyB0I&#10;7mNKDtAaguWghZGgQNEWSHMAmqIsAvyBQ1vyBdobdNVN9z2Xz9EhJTltusmiG2k4M3rz3htqfTsY&#10;TY4ygHK2puWioERa4Rpl9zV9/HJ3vaIEIrcN187Kmp4k0NvN1at17yu5dJ3TjQwEQSxUva9pF6Ov&#10;GAPRScNh4by0WGxdMDziMexZE3iP6EazZVG8Zr0LjQ9OSADMbscinRDDSwBd2yoht04cjLRxRA1S&#10;84iSoFMe6CazbVsp4qe2BRmJrikqjfmJQzDepSfbrHm1D9x3SkwU+EsoPNNkuLI49AK15ZGTQ1D/&#10;QBklggPXxoVwho1CsiOooiyeefPQcS+zFrQa/MV0+H+w4uPxcyCqwZtQoieWG1z5+fu3849f559f&#10;SVncvEke9R4qbH3w2ByHd27A/jkPmEzShzaY9EZRBOuIdro4LIdIRPpotVytCiwJrM0HxGdPn/sA&#10;8V46Q1JQ04ArzM7y4weIY+vckqZZd6e0zmvU9q8EYqYMS9xHjimKw26YBO1cc0I9PW6/phYvOyX6&#10;vUVzkV+cgzAHuzk4+KD2HVIrMy/wbw8RSWRuacIIOw3GtWV10xVL9+LPc+56+q0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c/59/s0BAACeAwAADgAAAAAAAAABACAAAAAeAQAAZHJzL2Uy&#10;b0RvYy54bWxQSwUGAAAAAAYABgBZAQAAXQ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eastAsia="仿宋_GB2312"/>
        <w:color w:val="000000"/>
        <w:sz w:val="21"/>
        <w:szCs w:val="21"/>
        <w:lang w:eastAsia="zh-CN"/>
      </w:rPr>
      <w:t>吉林省生环环境工程有限公司</w:t>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0"/>
      </w:pBdr>
      <w:jc w:val="right"/>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9</w:t>
                          </w:r>
                          <w:r>
                            <w:fldChar w:fldCharType="end"/>
                          </w:r>
                        </w:p>
                      </w:txbxContent>
                    </wps:txbx>
                    <wps:bodyPr wrap="none" lIns="0" tIns="0" rIns="0" bIns="0" upright="1">
                      <a:spAutoFit/>
                    </wps:bodyPr>
                  </wps:wsp>
                </a:graphicData>
              </a:graphic>
            </wp:anchor>
          </w:drawing>
        </mc:Choice>
        <mc:Fallback>
          <w:pict>
            <v:shape id="文本框 104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99rQcwBAACeAwAADgAAAGRycy9lMm9Eb2MueG1srVNNrtMwEN4jcQfL&#10;e+q0IKiipk+g6iEkBEgPDuA6dmPJf/K4TXoBuAErNuw5V8/B2En64LF5CzbOeGb8zffNTDY3gzXk&#10;JCNo7xq6XFSUSCd8q92hoV8+3z5bUwKJu5Yb72RDzxLozfbpk00farnynTetjARBHNR9aGiXUqgZ&#10;A9FJy2Hhg3QYVD5anvAaD6yNvEd0a9iqql6y3sc2RC8kAHp3Y5BOiPExgF4pLeTOi6OVLo2oURqe&#10;UBJ0OgDdFrZKSZE+KgUyEdNQVJrKiUXQ3ueTbTe8PkQeOi0mCvwxFB5oslw7LHqF2vHEyTHqf6Cs&#10;FtGDV2khvGWjkNIRVLGsHvTmruNBFi3YagjXpsP/gxUfTp8i0S1uQvWcEsctjvzy/dvlx6/Lz69k&#10;Wb14lXvUB6gx9S5gchre+AHzZz+gM0sfVLT5i6IIxrHD52uH5ZCIyI/Wq/W6wpDA2HxBfHb/PERI&#10;b6W3JBsNjTjC0ll+eg9pTJ1TcjXnb7UxZYzG/eVAzOxhmfvIMVtp2A+ToL1vz6inx+k31OGyU2Le&#10;OWxuXpTZiLOxn41jiPrQIbVl4QXh9TEhicItVxhhp8I4tqJuWrG8F3/eS9b9b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n32tBzAEAAJ4DAAAOAAAAAAAAAAEAIAAAAB4BAABkcnMvZTJv&#10;RG9jLnhtbFBLBQYAAAAABgAGAFkBAABc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9</w:t>
                    </w:r>
                    <w:r>
                      <w:fldChar w:fldCharType="end"/>
                    </w:r>
                  </w:p>
                </w:txbxContent>
              </v:textbox>
            </v:shape>
          </w:pict>
        </mc:Fallback>
      </mc:AlternateContent>
    </w:r>
    <w:r>
      <w:rPr>
        <w:rFonts w:hint="eastAsia" w:eastAsia="仿宋_GB2312"/>
        <w:sz w:val="21"/>
        <w:szCs w:val="21"/>
        <w:lang w:eastAsia="zh-CN"/>
      </w:rPr>
      <w:t>吉林省生环环境工程有限公司</w:t>
    </w:r>
    <w:r>
      <w:t xml:space="preserve">                </w:t>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0"/>
      </w:pBdr>
      <w:jc w:val="right"/>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22</w:t>
                          </w:r>
                          <w:r>
                            <w:fldChar w:fldCharType="end"/>
                          </w:r>
                        </w:p>
                      </w:txbxContent>
                    </wps:txbx>
                    <wps:bodyPr wrap="none" lIns="0" tIns="0" rIns="0" bIns="0" upright="1">
                      <a:spAutoFit/>
                    </wps:bodyPr>
                  </wps:wsp>
                </a:graphicData>
              </a:graphic>
            </wp:anchor>
          </w:drawing>
        </mc:Choice>
        <mc:Fallback>
          <w:pict>
            <v:shape id="文本框 104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9rSLMwBAACeAwAADgAAAGRycy9lMm9Eb2MueG1srVNLbtswEN0XyB0I&#10;7mPKRlEIguUggZEiQNAWSHsAmqIsAvyBQ1vyBdobdNVN9z2Xz9EhJTltusmiG2o4M3zz3sxofTMY&#10;TY4ygHK2pstFQYm0wjXK7mv65fP9dUkJRG4brp2VNT1JoDebqzfr3ldy5TqnGxkIglioel/TLkZf&#10;MQaik4bDwnlpMdi6YHjEa9izJvAe0Y1mq6J4x3oXGh+ckADo3Y5BOiGG1wC6tlVCbp04GGnjiBqk&#10;5hElQac80E1m27ZSxI9tCzISXVNUGvOJRdDepZNt1rzaB+47JSYK/DUUXmgyXFkseoHa8sjJIah/&#10;oIwSwYFr40I4w0YhuSOoYlm86M1Tx73MWrDV4C9Nh/8HKz4cPwWiGtyE4i0llhsc+fn7t/OPX+ef&#10;Xwk6y9Sj3kOFqU8ek+Nw5wbMn/2AziR9aINJXxRFMI4dPl06LIdIRHpUrsqywJDA2HxBfPb83AeI&#10;76UzJBk1DTjC3Fl+fIQ4ps4pqZp190rrPEZt/3IgZvKwxH3kmKw47IZJ0M41J9TT4/RranHZKdEP&#10;FpubFmU2wmzsZuPgg9p3SG2ZeYG/PUQkkbmlCiPsVBjHltVNK5b24s97znr+rT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b2tIszAEAAJ4DAAAOAAAAAAAAAAEAIAAAAB4BAABkcnMvZTJv&#10;RG9jLnhtbFBLBQYAAAAABgAGAFkBAABc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22</w:t>
                    </w:r>
                    <w:r>
                      <w:fldChar w:fldCharType="end"/>
                    </w:r>
                  </w:p>
                </w:txbxContent>
              </v:textbox>
            </v:shape>
          </w:pict>
        </mc:Fallback>
      </mc:AlternateContent>
    </w:r>
    <w:r>
      <w:rPr>
        <w:rFonts w:hint="eastAsia" w:eastAsia="仿宋_GB2312"/>
        <w:sz w:val="21"/>
        <w:szCs w:val="21"/>
        <w:lang w:eastAsia="zh-CN"/>
      </w:rPr>
      <w:t>吉林省生环环境工程有限公司</w:t>
    </w:r>
    <w:r>
      <w:t xml:space="preserve">                </w: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0"/>
      </w:pBdr>
      <w:wordWrap w:val="0"/>
      <w:jc w:val="right"/>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28</w:t>
                          </w:r>
                          <w:r>
                            <w:fldChar w:fldCharType="end"/>
                          </w:r>
                        </w:p>
                      </w:txbxContent>
                    </wps:txbx>
                    <wps:bodyPr wrap="none" lIns="0" tIns="0" rIns="0" bIns="0" upright="1">
                      <a:spAutoFit/>
                    </wps:bodyPr>
                  </wps:wsp>
                </a:graphicData>
              </a:graphic>
            </wp:anchor>
          </w:drawing>
        </mc:Choice>
        <mc:Fallback>
          <w:pict>
            <v:shape id="文本框 104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ddJmswBAACeAwAADgAAAGRycy9lMm9Eb2MueG1srVNNrtMwEN4jcQfL&#10;e+q0AlSipk+g6iEkBEgPDuA6dmPJf/K4TXoBuAErNuw5V8/B2En64LF5CzbOeGb8zffNTDY3gzXk&#10;JCNo7xq6XFSUSCd8q92hoV8+3z5bUwKJu5Yb72RDzxLozfbpk00farnynTetjARBHNR9aGiXUqgZ&#10;A9FJy2Hhg3QYVD5anvAaD6yNvEd0a9iqql6y3sc2RC8kAHp3Y5BOiPExgF4pLeTOi6OVLo2oURqe&#10;UBJ0OgDdFrZKSZE+KgUyEdNQVJrKiUXQ3ueTbTe8PkQeOi0mCvwxFB5oslw7LHqF2vHEyTHqf6Cs&#10;FtGDV2khvGWjkNIRVLGsHvTmruNBFi3YagjXpsP/gxUfTp8i0S1uQvWCEsctjvzy/dvlx6/Lz69k&#10;WT1/lXvUB6gx9S5gchre+AHzZz+gM0sfVLT5i6IIxrHD52uH5ZCIyI/Wq/W6wpDA2HxBfHb/PERI&#10;b6W3JBsNjTjC0ll+eg9pTJ1TcjXnb7UxZYzG/eVAzOxhmfvIMVtp2A+ToL1vz6inx+k31OGyU2Le&#10;OWxuXpTZiLOxn41jiPrQIbVl4QXh9TEhicItVxhhp8I4tqJuWrG8F3/eS9b9b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R10mazAEAAJ4DAAAOAAAAAAAAAAEAIAAAAB4BAABkcnMvZTJv&#10;RG9jLnhtbFBLBQYAAAAABgAGAFkBAABc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28</w:t>
                    </w:r>
                    <w:r>
                      <w:fldChar w:fldCharType="end"/>
                    </w:r>
                  </w:p>
                </w:txbxContent>
              </v:textbox>
            </v:shape>
          </w:pict>
        </mc:Fallback>
      </mc:AlternateContent>
    </w:r>
    <w:r>
      <w:rPr>
        <w:rFonts w:hint="eastAsia" w:ascii="仿宋_GB2312" w:hAnsi="仿宋_GB2312" w:eastAsia="仿宋_GB2312" w:cs="仿宋_GB2312"/>
        <w:sz w:val="21"/>
        <w:szCs w:val="21"/>
        <w:lang w:eastAsia="zh-CN"/>
      </w:rPr>
      <w:t>吉林省生环环境工程有限公司</w:t>
    </w:r>
  </w:p>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0"/>
      </w:pBdr>
      <w:wordWrap w:val="0"/>
      <w:jc w:val="right"/>
      <w:rPr>
        <w:rFonts w:hint="eastAsia" w:eastAsia="宋体"/>
        <w:lang w:eastAsia="zh-CN"/>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34</w:t>
                          </w:r>
                          <w:r>
                            <w:fldChar w:fldCharType="end"/>
                          </w:r>
                        </w:p>
                      </w:txbxContent>
                    </wps:txbx>
                    <wps:bodyPr wrap="none" lIns="0" tIns="0" rIns="0" bIns="0" upright="1">
                      <a:spAutoFit/>
                    </wps:bodyPr>
                  </wps:wsp>
                </a:graphicData>
              </a:graphic>
            </wp:anchor>
          </w:drawing>
        </mc:Choice>
        <mc:Fallback>
          <w:pict>
            <v:shape id="文本框 105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wa1AcwBAACeAwAADgAAAGRycy9lMm9Eb2MueG1srVNLbtswEN0X6B0I&#10;7mPKBhIYguUghZGiQNEWSHsAmqIsAvyBQ1vyBdobdNVN9z2Xz9EhJdn5bLLIhhrODN/MezNa3fZG&#10;k4MMoJyt6HxWUCKtcLWyu4r++H5/taQEIrc1187Kih4l0Nv1+3erzpdy4VqnaxkIglgoO1/RNkZf&#10;MgailYbDzHlpMdi4YHjEa9ixOvAO0Y1mi6K4YZ0LtQ9OSAD0boYgHRHDawBd0yghN07sjbRxQA1S&#10;84iUoFUe6Dp32zRSxK9NAzISXVFkGvOJRdDeppOtV7zcBe5bJcYW+GtaeMbJcGWx6BlqwyMn+6Be&#10;QBklggPXxJlwhg1EsiLIYl480+ah5V5mLig1+LPo8Haw4svhWyCqxk0obiix3ODIT79/nf78O/39&#10;SebFddao81Bi6oPH5Nh/cD3mJ+2SH9CZqPdNMOmLpAjGUeHjWWHZRyLSo+ViuSwwJDA2XRCHXZ77&#10;APGjdIYko6IBR5iV5YfPEIfUKSVVs+5eaZ3HqO0TB2ImD7v0mKzYb/ux8a2rj8inw+lX1OKyU6I/&#10;WRQ3LcpkhMnYTsbeB7VrsbV57gv83T5iE7m3VGGAHQvj2DK7ccXSXjy+56zLb7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XBrUBzAEAAJ4DAAAOAAAAAAAAAAEAIAAAAB4BAABkcnMvZTJv&#10;RG9jLnhtbFBLBQYAAAAABgAGAFkBAABc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34</w:t>
                    </w:r>
                    <w:r>
                      <w:fldChar w:fldCharType="end"/>
                    </w:r>
                  </w:p>
                </w:txbxContent>
              </v:textbox>
            </v:shape>
          </w:pict>
        </mc:Fallback>
      </mc:AlternateContent>
    </w:r>
    <w:r>
      <w:rPr>
        <w:rFonts w:hint="eastAsia" w:ascii="仿宋_GB2312" w:hAnsi="仿宋_GB2312" w:eastAsia="仿宋_GB2312" w:cs="仿宋_GB2312"/>
        <w:sz w:val="21"/>
        <w:szCs w:val="21"/>
        <w:lang w:eastAsia="zh-CN"/>
      </w:rPr>
      <w:t>吉林省生环环境工程有限公司</w:t>
    </w:r>
  </w:p>
  <w:p>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0"/>
      </w:pBdr>
      <w:wordWrap w:val="0"/>
      <w:jc w:val="right"/>
      <w:rPr>
        <w:rFonts w:hint="eastAsia" w:eastAsia="宋体"/>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41</w:t>
                          </w:r>
                          <w:r>
                            <w:fldChar w:fldCharType="end"/>
                          </w:r>
                        </w:p>
                      </w:txbxContent>
                    </wps:txbx>
                    <wps:bodyPr wrap="none" lIns="0" tIns="0" rIns="0" bIns="0" upright="1">
                      <a:spAutoFit/>
                    </wps:bodyPr>
                  </wps:wsp>
                </a:graphicData>
              </a:graphic>
            </wp:anchor>
          </w:drawing>
        </mc:Choice>
        <mc:Fallback>
          <w:pict>
            <v:shape id="文本框 105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Qsut80BAACeAwAADgAAAGRycy9lMm9Eb2MueG1srVPNjtMwEL4j7TtY&#10;vm+dVFqooqYrULUrJARIyz6A6ziNJf/J4zbpC8AbcOLCnefqczB2ki4slz1wccYz42++b2ayvh2M&#10;JkcZQDlb03JRUCKtcI2y+5o+frm7XlECkduGa2dlTU8S6O3m6tW695Vcus7pRgaCIBaq3te0i9FX&#10;jIHopOGwcF5aDLYuGB7xGvasCbxHdKPZsihes96FxgcnJAB6t2OQTojhJYCubZWQWycORto4ogap&#10;eURJ0CkPdJPZtq0U8VPbgoxE1xSVxnxiEbR36WSbNa/2gftOiYkCfwmFZ5oMVxaLXqC2PHJyCOof&#10;KKNEcODauBDOsFFI7giqKItnvXnouJdZC7Ya/KXp8P9gxcfj50BUg5tQvKHEcoMjP3//dv7x6/zz&#10;KymLmzL1qPdQYeqDx+Q4vHMD5s9+QGeSPrTBpC+KIhjHDp8uHZZDJCI9Wi1XqwJDAmPzBfHZ03Mf&#10;IN5LZ0gyahpwhLmz/PgB4pg6p6Rq1t0prfMYtf3LgZjJwxL3kWOy4rAbJkE715xQT4/Tr6nFZadE&#10;v7fY3LQosxFmYzcbBx/UvkNqZeYF/u0hIonMLVUYYafCOLasblqxtBd/3nPW02+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XQsut80BAACeAwAADgAAAAAAAAABACAAAAAeAQAAZHJzL2Uy&#10;b0RvYy54bWxQSwUGAAAAAAYABgBZAQAAXQ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41</w:t>
                    </w:r>
                    <w:r>
                      <w:fldChar w:fldCharType="end"/>
                    </w:r>
                  </w:p>
                </w:txbxContent>
              </v:textbox>
            </v:shape>
          </w:pict>
        </mc:Fallback>
      </mc:AlternateContent>
    </w:r>
    <w:r>
      <w:rPr>
        <w:rFonts w:hint="eastAsia" w:ascii="仿宋_GB2312" w:hAnsi="仿宋_GB2312" w:eastAsia="仿宋_GB2312" w:cs="仿宋_GB2312"/>
        <w:sz w:val="21"/>
        <w:szCs w:val="21"/>
        <w:lang w:eastAsia="zh-CN"/>
      </w:rPr>
      <w:t>吉林省生环环境工程有限公司</w:t>
    </w:r>
  </w:p>
  <w:p>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0"/>
      </w:pBdr>
      <w:ind w:right="26"/>
      <w:jc w:val="both"/>
      <w:rPr>
        <w:rFonts w:hint="eastAsia" w:ascii="Arial" w:hAnsi="Arial" w:eastAsia="宋体"/>
        <w:sz w:val="15"/>
        <w:szCs w:val="15"/>
        <w:lang w:eastAsia="zh-CN"/>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56</w:t>
                          </w:r>
                          <w:r>
                            <w:fldChar w:fldCharType="end"/>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9WpJMwBAACeAwAADgAAAGRycy9lMm9Eb2MueG1srVNLbtswEN0XyB0I&#10;7mNKXrSGYDlIYKQIELQF0h6ApiiLAH/g0JZ8gfYGXXXTfc/lc3RISU6bbrLohhrODN+8NzNa3wxG&#10;k6MMoJytabkoKJFWuEbZfU2/fL6/XlECkduGa2dlTU8S6M3m6s2695Vcus7pRgaCIBaq3te0i9FX&#10;jIHopOGwcF5aDLYuGB7xGvasCbxHdKPZsijest6FxgcnJAB6t2OQTojhNYCubZWQWycORto4ogap&#10;eURJ0CkPdJPZtq0U8WPbgoxE1xSVxnxiEbR36WSbNa/2gftOiYkCfw2FF5oMVxaLXqC2PHJyCOof&#10;KKNEcODauBDOsFFI7giqKIsXvXnquJdZC7Ya/KXp8P9gxYfjp0BUg5tQlpRYbnDk5+/fzj9+nX9+&#10;JWWxfJd61HuoMPXJY3Ic7tyA+bMf0JmkD20w6YuiCMaxw6dLh+UQiUiPVsvVqsCQwNh8QXz2/NwH&#10;iO+lMyQZNQ04wtxZfnyEOKbOKamadfdK6zxGbf9yIGbysMR95JisOOyGSdDONSfU0+P0a2px2SnR&#10;DxabmxZlNsJs7Gbj4IPad0itzLzA3x4iksjcUoURdiqMY8vqphVLe/HnPWc9/1a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r1akkzAEAAJ4DAAAOAAAAAAAAAAEAIAAAAB4BAABkcnMvZTJv&#10;RG9jLnhtbFBLBQYAAAAABgAGAFkBAABc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56</w:t>
                    </w:r>
                    <w:r>
                      <w:fldChar w:fldCharType="end"/>
                    </w:r>
                  </w:p>
                </w:txbxContent>
              </v:textbox>
            </v:shape>
          </w:pict>
        </mc:Fallback>
      </mc:AlternateContent>
    </w:r>
    <w:r>
      <w:rPr>
        <w:rFonts w:hint="eastAsia" w:eastAsia="仿宋_GB2312"/>
        <w:sz w:val="21"/>
        <w:szCs w:val="21"/>
        <w:lang w:eastAsia="zh-CN"/>
      </w:rPr>
      <w:t>吉林省生环环境工程有限公司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4" w:space="1"/>
      </w:pBdr>
    </w:pPr>
    <w:r>
      <w:rPr>
        <w:rFonts w:hint="eastAsia" w:ascii="仿宋_GB2312" w:hAnsi="仿宋_GB2312" w:eastAsia="仿宋_GB2312" w:cs="仿宋_GB2312"/>
        <w:sz w:val="15"/>
        <w:szCs w:val="15"/>
        <w:lang w:eastAsia="zh-CN"/>
      </w:rPr>
      <w:t>吉林省生环环境工程有限公司</w:t>
    </w:r>
    <w:r>
      <w:rPr>
        <w:rFonts w:hint="eastAsia" w:ascii="仿宋_GB2312" w:hAnsi="仿宋_GB2312" w:eastAsia="仿宋_GB2312" w:cs="仿宋_GB2312"/>
        <w:sz w:val="15"/>
        <w:szCs w:val="15"/>
      </w:rPr>
      <w:t xml:space="preserve">                                                        </w:t>
    </w:r>
    <w:r>
      <w:rPr>
        <w:rFonts w:hint="eastAsia"/>
      </w:rPr>
      <w:t xml:space="preserve">    </w:t>
    </w:r>
    <w:r>
      <w:fldChar w:fldCharType="begin"/>
    </w:r>
    <w:r>
      <w:instrText xml:space="preserve">PAGE   \* MERGEFORMAT</w:instrText>
    </w:r>
    <w:r>
      <w:fldChar w:fldCharType="separate"/>
    </w:r>
    <w:r>
      <w:rPr>
        <w:lang w:val="zh-CN"/>
      </w:rPr>
      <w:t>30</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pPr>
    <w:r>
      <w:rPr>
        <w:rFonts w:hint="eastAsia" w:eastAsia="仿宋_GB2312"/>
        <w:sz w:val="21"/>
        <w:szCs w:val="21"/>
      </w:rPr>
      <w:t>7.水土保持投资估算及效益分析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pPr>
    <w:r>
      <w:rPr>
        <w:rFonts w:eastAsia="仿宋_GB2312"/>
        <w:sz w:val="21"/>
        <w:szCs w:val="21"/>
      </w:rPr>
      <w:t>8</w:t>
    </w:r>
    <w:r>
      <w:rPr>
        <w:rFonts w:hint="eastAsia" w:eastAsia="仿宋_GB2312"/>
        <w:sz w:val="21"/>
        <w:szCs w:val="21"/>
      </w:rPr>
      <w:t>.</w:t>
    </w:r>
    <w:r>
      <w:rPr>
        <w:rFonts w:eastAsia="仿宋_GB2312"/>
        <w:sz w:val="21"/>
        <w:szCs w:val="21"/>
      </w:rPr>
      <w:t>水土保持管理</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80" w:right="2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0"/>
      </w:pBdr>
    </w:pPr>
    <w:r>
      <w:rPr>
        <w:rFonts w:hint="eastAsia" w:ascii="仿宋_GB2312" w:hAnsi="仿宋_GB2312" w:eastAsia="仿宋_GB2312" w:cs="仿宋_GB2312"/>
        <w:sz w:val="21"/>
        <w:szCs w:val="21"/>
      </w:rPr>
      <w:t>目 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pPr>
    <w:r>
      <w:rPr>
        <w:rFonts w:eastAsia="仿宋_GB2312"/>
        <w:sz w:val="21"/>
        <w:szCs w:val="21"/>
      </w:rPr>
      <w:t>1</w:t>
    </w:r>
    <w:r>
      <w:rPr>
        <w:rFonts w:hint="eastAsia" w:eastAsia="仿宋_GB2312"/>
        <w:sz w:val="21"/>
        <w:szCs w:val="21"/>
      </w:rPr>
      <w:t>.</w:t>
    </w:r>
    <w:r>
      <w:rPr>
        <w:rFonts w:eastAsia="仿宋_GB2312"/>
        <w:sz w:val="21"/>
        <w:szCs w:val="21"/>
      </w:rPr>
      <w:t>综合说明</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pPr>
    <w:r>
      <w:rPr>
        <w:rFonts w:hint="eastAsia" w:eastAsia="仿宋_GB2312"/>
        <w:sz w:val="21"/>
        <w:szCs w:val="21"/>
      </w:rPr>
      <w:t>2.项目概况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pPr>
    <w:r>
      <w:rPr>
        <w:rFonts w:hint="eastAsia" w:eastAsia="仿宋_GB2312"/>
        <w:sz w:val="21"/>
        <w:szCs w:val="21"/>
      </w:rPr>
      <w:t>3.项目水土保持评价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pPr>
    <w:r>
      <w:rPr>
        <w:rFonts w:hint="eastAsia" w:eastAsia="仿宋_GB2312"/>
        <w:sz w:val="21"/>
        <w:szCs w:val="21"/>
      </w:rPr>
      <w:t>4.水土流失分析与预测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pPr>
    <w:r>
      <w:rPr>
        <w:rFonts w:hint="eastAsia" w:eastAsia="仿宋_GB2312"/>
        <w:sz w:val="21"/>
        <w:szCs w:val="21"/>
      </w:rPr>
      <w:t>5.水土保持措施</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pPr>
    <w:r>
      <w:rPr>
        <w:rFonts w:eastAsia="仿宋_GB2312"/>
        <w:sz w:val="21"/>
        <w:szCs w:val="21"/>
      </w:rPr>
      <w:t>7 水土保持投资估算及效益分析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rPr>
        <w:rFonts w:eastAsia="仿宋_GB2312"/>
      </w:rPr>
    </w:pPr>
    <w:r>
      <w:rPr>
        <w:rFonts w:hint="eastAsia" w:eastAsia="仿宋_GB2312"/>
        <w:sz w:val="21"/>
        <w:szCs w:val="21"/>
      </w:rPr>
      <w:t>7</w:t>
    </w:r>
    <w:r>
      <w:rPr>
        <w:rFonts w:eastAsia="仿宋_GB2312"/>
        <w:sz w:val="21"/>
        <w:szCs w:val="21"/>
      </w:rPr>
      <w:t xml:space="preserve"> </w:t>
    </w:r>
    <w:r>
      <w:rPr>
        <w:rFonts w:hint="eastAsia" w:eastAsia="仿宋_GB2312"/>
        <w:sz w:val="21"/>
        <w:szCs w:val="21"/>
      </w:rPr>
      <w:t>水土保持投资估算及效益分析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80BBC"/>
    <w:multiLevelType w:val="singleLevel"/>
    <w:tmpl w:val="89D80BBC"/>
    <w:lvl w:ilvl="0" w:tentative="0">
      <w:start w:val="1"/>
      <w:numFmt w:val="decimal"/>
      <w:suff w:val="nothing"/>
      <w:lvlText w:val="（%1）"/>
      <w:lvlJc w:val="left"/>
    </w:lvl>
  </w:abstractNum>
  <w:abstractNum w:abstractNumId="1">
    <w:nsid w:val="9C3D1BB8"/>
    <w:multiLevelType w:val="singleLevel"/>
    <w:tmpl w:val="9C3D1BB8"/>
    <w:lvl w:ilvl="0" w:tentative="0">
      <w:start w:val="1"/>
      <w:numFmt w:val="decimal"/>
      <w:suff w:val="nothing"/>
      <w:lvlText w:val="（%1）"/>
      <w:lvlJc w:val="left"/>
    </w:lvl>
  </w:abstractNum>
  <w:abstractNum w:abstractNumId="2">
    <w:nsid w:val="D2BC00EB"/>
    <w:multiLevelType w:val="singleLevel"/>
    <w:tmpl w:val="D2BC00EB"/>
    <w:lvl w:ilvl="0" w:tentative="0">
      <w:start w:val="1"/>
      <w:numFmt w:val="decimal"/>
      <w:suff w:val="nothing"/>
      <w:lvlText w:val="（%1）"/>
      <w:lvlJc w:val="left"/>
    </w:lvl>
  </w:abstractNum>
  <w:abstractNum w:abstractNumId="3">
    <w:nsid w:val="F2B03EFA"/>
    <w:multiLevelType w:val="singleLevel"/>
    <w:tmpl w:val="F2B03EFA"/>
    <w:lvl w:ilvl="0" w:tentative="0">
      <w:start w:val="1"/>
      <w:numFmt w:val="decimal"/>
      <w:suff w:val="nothing"/>
      <w:lvlText w:val="（%1）"/>
      <w:lvlJc w:val="left"/>
    </w:lvl>
  </w:abstractNum>
  <w:abstractNum w:abstractNumId="4">
    <w:nsid w:val="FCBD75DC"/>
    <w:multiLevelType w:val="singleLevel"/>
    <w:tmpl w:val="FCBD75DC"/>
    <w:lvl w:ilvl="0" w:tentative="0">
      <w:start w:val="1"/>
      <w:numFmt w:val="decimal"/>
      <w:suff w:val="nothing"/>
      <w:lvlText w:val="（%1）"/>
      <w:lvlJc w:val="left"/>
    </w:lvl>
  </w:abstractNum>
  <w:abstractNum w:abstractNumId="5">
    <w:nsid w:val="09811FD1"/>
    <w:multiLevelType w:val="singleLevel"/>
    <w:tmpl w:val="09811FD1"/>
    <w:lvl w:ilvl="0" w:tentative="0">
      <w:start w:val="1"/>
      <w:numFmt w:val="decimal"/>
      <w:suff w:val="nothing"/>
      <w:lvlText w:val="（%1）"/>
      <w:lvlJc w:val="left"/>
    </w:lvl>
  </w:abstractNum>
  <w:abstractNum w:abstractNumId="6">
    <w:nsid w:val="65E4245A"/>
    <w:multiLevelType w:val="multilevel"/>
    <w:tmpl w:val="65E4245A"/>
    <w:lvl w:ilvl="0" w:tentative="0">
      <w:start w:val="1"/>
      <w:numFmt w:val="decimal"/>
      <w:pStyle w:val="100"/>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1148"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6"/>
  </w:num>
  <w:num w:numId="2">
    <w:abstractNumId w:val="3"/>
  </w:num>
  <w:num w:numId="3">
    <w:abstractNumId w:val="1"/>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lOWQzODM1Zjg0NThkYzIxZmNhYTA4YmUwZjMxZWMifQ=="/>
  </w:docVars>
  <w:rsids>
    <w:rsidRoot w:val="00172A27"/>
    <w:rsid w:val="00002B04"/>
    <w:rsid w:val="0000322F"/>
    <w:rsid w:val="00003E6B"/>
    <w:rsid w:val="000044BB"/>
    <w:rsid w:val="000048EA"/>
    <w:rsid w:val="00006630"/>
    <w:rsid w:val="00006A0B"/>
    <w:rsid w:val="00010206"/>
    <w:rsid w:val="000103AF"/>
    <w:rsid w:val="000118A8"/>
    <w:rsid w:val="00016E9B"/>
    <w:rsid w:val="00017CBA"/>
    <w:rsid w:val="000211C8"/>
    <w:rsid w:val="00023594"/>
    <w:rsid w:val="000237F3"/>
    <w:rsid w:val="000263C9"/>
    <w:rsid w:val="00026512"/>
    <w:rsid w:val="000306CD"/>
    <w:rsid w:val="00030E4C"/>
    <w:rsid w:val="00031AAC"/>
    <w:rsid w:val="00031C64"/>
    <w:rsid w:val="000339A9"/>
    <w:rsid w:val="00034798"/>
    <w:rsid w:val="00036FBB"/>
    <w:rsid w:val="00042262"/>
    <w:rsid w:val="000446D2"/>
    <w:rsid w:val="00046802"/>
    <w:rsid w:val="000529C5"/>
    <w:rsid w:val="00052C5B"/>
    <w:rsid w:val="000538F1"/>
    <w:rsid w:val="00053A13"/>
    <w:rsid w:val="00053A56"/>
    <w:rsid w:val="000541AA"/>
    <w:rsid w:val="00060720"/>
    <w:rsid w:val="0006083A"/>
    <w:rsid w:val="00061776"/>
    <w:rsid w:val="000634E1"/>
    <w:rsid w:val="000641C8"/>
    <w:rsid w:val="00066785"/>
    <w:rsid w:val="00066F31"/>
    <w:rsid w:val="00067EB6"/>
    <w:rsid w:val="00072878"/>
    <w:rsid w:val="00072B6F"/>
    <w:rsid w:val="00072C5B"/>
    <w:rsid w:val="00073044"/>
    <w:rsid w:val="00073076"/>
    <w:rsid w:val="00073570"/>
    <w:rsid w:val="0007536A"/>
    <w:rsid w:val="00076DFC"/>
    <w:rsid w:val="00081664"/>
    <w:rsid w:val="00081872"/>
    <w:rsid w:val="00081960"/>
    <w:rsid w:val="000826D1"/>
    <w:rsid w:val="0008283C"/>
    <w:rsid w:val="00084636"/>
    <w:rsid w:val="00087684"/>
    <w:rsid w:val="000876C2"/>
    <w:rsid w:val="00087941"/>
    <w:rsid w:val="00087FAF"/>
    <w:rsid w:val="00091ED0"/>
    <w:rsid w:val="00093ABE"/>
    <w:rsid w:val="00094943"/>
    <w:rsid w:val="00095895"/>
    <w:rsid w:val="00097E71"/>
    <w:rsid w:val="000A0207"/>
    <w:rsid w:val="000A3C29"/>
    <w:rsid w:val="000A7572"/>
    <w:rsid w:val="000A7D60"/>
    <w:rsid w:val="000B1822"/>
    <w:rsid w:val="000B1EA2"/>
    <w:rsid w:val="000B3BF6"/>
    <w:rsid w:val="000B46A1"/>
    <w:rsid w:val="000B5456"/>
    <w:rsid w:val="000B6B79"/>
    <w:rsid w:val="000B713A"/>
    <w:rsid w:val="000B7DA4"/>
    <w:rsid w:val="000C0D13"/>
    <w:rsid w:val="000C13EA"/>
    <w:rsid w:val="000C1620"/>
    <w:rsid w:val="000C1934"/>
    <w:rsid w:val="000C2A20"/>
    <w:rsid w:val="000C4A5C"/>
    <w:rsid w:val="000D0604"/>
    <w:rsid w:val="000D1F0A"/>
    <w:rsid w:val="000D2676"/>
    <w:rsid w:val="000D27D4"/>
    <w:rsid w:val="000D494C"/>
    <w:rsid w:val="000D4D6D"/>
    <w:rsid w:val="000D58AD"/>
    <w:rsid w:val="000D58C7"/>
    <w:rsid w:val="000D6B7D"/>
    <w:rsid w:val="000E2A0B"/>
    <w:rsid w:val="000E2CA8"/>
    <w:rsid w:val="000E3170"/>
    <w:rsid w:val="000E3606"/>
    <w:rsid w:val="000E6D72"/>
    <w:rsid w:val="000E6EA4"/>
    <w:rsid w:val="000F3835"/>
    <w:rsid w:val="000F3912"/>
    <w:rsid w:val="000F3EA0"/>
    <w:rsid w:val="000F45E8"/>
    <w:rsid w:val="000F4F10"/>
    <w:rsid w:val="000F5E67"/>
    <w:rsid w:val="000F5EE6"/>
    <w:rsid w:val="000F6084"/>
    <w:rsid w:val="000F7025"/>
    <w:rsid w:val="001075B9"/>
    <w:rsid w:val="00110748"/>
    <w:rsid w:val="001108AD"/>
    <w:rsid w:val="00113170"/>
    <w:rsid w:val="001134D1"/>
    <w:rsid w:val="00114B42"/>
    <w:rsid w:val="001150F4"/>
    <w:rsid w:val="00123F86"/>
    <w:rsid w:val="00124745"/>
    <w:rsid w:val="0012492F"/>
    <w:rsid w:val="00124994"/>
    <w:rsid w:val="00126313"/>
    <w:rsid w:val="00127380"/>
    <w:rsid w:val="00130D2C"/>
    <w:rsid w:val="00130DD1"/>
    <w:rsid w:val="0013334D"/>
    <w:rsid w:val="00135790"/>
    <w:rsid w:val="0013662C"/>
    <w:rsid w:val="0014102F"/>
    <w:rsid w:val="00141F99"/>
    <w:rsid w:val="0014306A"/>
    <w:rsid w:val="001437A3"/>
    <w:rsid w:val="001440F7"/>
    <w:rsid w:val="001453A1"/>
    <w:rsid w:val="0014565D"/>
    <w:rsid w:val="00146498"/>
    <w:rsid w:val="00146ED6"/>
    <w:rsid w:val="0015074F"/>
    <w:rsid w:val="001510B7"/>
    <w:rsid w:val="00153498"/>
    <w:rsid w:val="00153626"/>
    <w:rsid w:val="00153A6A"/>
    <w:rsid w:val="001541C5"/>
    <w:rsid w:val="00155303"/>
    <w:rsid w:val="00156D77"/>
    <w:rsid w:val="00157DF1"/>
    <w:rsid w:val="001602E1"/>
    <w:rsid w:val="0016239C"/>
    <w:rsid w:val="0016281B"/>
    <w:rsid w:val="00165034"/>
    <w:rsid w:val="00165768"/>
    <w:rsid w:val="001659AF"/>
    <w:rsid w:val="00165C4A"/>
    <w:rsid w:val="0016623E"/>
    <w:rsid w:val="00171D71"/>
    <w:rsid w:val="00172A27"/>
    <w:rsid w:val="00173178"/>
    <w:rsid w:val="00173428"/>
    <w:rsid w:val="0017655A"/>
    <w:rsid w:val="00176F92"/>
    <w:rsid w:val="001776FF"/>
    <w:rsid w:val="00180378"/>
    <w:rsid w:val="00180907"/>
    <w:rsid w:val="00181154"/>
    <w:rsid w:val="0018195D"/>
    <w:rsid w:val="00183E49"/>
    <w:rsid w:val="00184022"/>
    <w:rsid w:val="00187744"/>
    <w:rsid w:val="00191456"/>
    <w:rsid w:val="00191E77"/>
    <w:rsid w:val="00192ECF"/>
    <w:rsid w:val="00193498"/>
    <w:rsid w:val="001935BE"/>
    <w:rsid w:val="00193661"/>
    <w:rsid w:val="00194C9A"/>
    <w:rsid w:val="0019575F"/>
    <w:rsid w:val="001958AD"/>
    <w:rsid w:val="001969CA"/>
    <w:rsid w:val="00197653"/>
    <w:rsid w:val="00197BE9"/>
    <w:rsid w:val="001A2D85"/>
    <w:rsid w:val="001A3C37"/>
    <w:rsid w:val="001A4285"/>
    <w:rsid w:val="001A4895"/>
    <w:rsid w:val="001A75F7"/>
    <w:rsid w:val="001A7B86"/>
    <w:rsid w:val="001B0B5B"/>
    <w:rsid w:val="001B15BC"/>
    <w:rsid w:val="001B337E"/>
    <w:rsid w:val="001B4838"/>
    <w:rsid w:val="001B77B0"/>
    <w:rsid w:val="001B7CD0"/>
    <w:rsid w:val="001C0324"/>
    <w:rsid w:val="001C0B96"/>
    <w:rsid w:val="001C0EAF"/>
    <w:rsid w:val="001C47E0"/>
    <w:rsid w:val="001C4896"/>
    <w:rsid w:val="001C5CB2"/>
    <w:rsid w:val="001D009E"/>
    <w:rsid w:val="001D027D"/>
    <w:rsid w:val="001D06AB"/>
    <w:rsid w:val="001D2C8E"/>
    <w:rsid w:val="001D5A6E"/>
    <w:rsid w:val="001D5D70"/>
    <w:rsid w:val="001D6BB9"/>
    <w:rsid w:val="001E00DC"/>
    <w:rsid w:val="001E3C70"/>
    <w:rsid w:val="001E4A25"/>
    <w:rsid w:val="001E4E64"/>
    <w:rsid w:val="001E5601"/>
    <w:rsid w:val="001E63E2"/>
    <w:rsid w:val="001F2D4D"/>
    <w:rsid w:val="001F38AB"/>
    <w:rsid w:val="001F618D"/>
    <w:rsid w:val="001F6D41"/>
    <w:rsid w:val="001F7734"/>
    <w:rsid w:val="00200A26"/>
    <w:rsid w:val="00202042"/>
    <w:rsid w:val="0020456F"/>
    <w:rsid w:val="00206509"/>
    <w:rsid w:val="0021011F"/>
    <w:rsid w:val="00210234"/>
    <w:rsid w:val="0021330C"/>
    <w:rsid w:val="00213A08"/>
    <w:rsid w:val="00215C6B"/>
    <w:rsid w:val="00221315"/>
    <w:rsid w:val="002217E5"/>
    <w:rsid w:val="00223B83"/>
    <w:rsid w:val="002243D0"/>
    <w:rsid w:val="00224B4A"/>
    <w:rsid w:val="00226451"/>
    <w:rsid w:val="00226687"/>
    <w:rsid w:val="002276C8"/>
    <w:rsid w:val="00227D71"/>
    <w:rsid w:val="00227FCA"/>
    <w:rsid w:val="002304D4"/>
    <w:rsid w:val="00230F1C"/>
    <w:rsid w:val="002325EA"/>
    <w:rsid w:val="00232C93"/>
    <w:rsid w:val="00234163"/>
    <w:rsid w:val="00240CD1"/>
    <w:rsid w:val="002424E0"/>
    <w:rsid w:val="00242656"/>
    <w:rsid w:val="0024298E"/>
    <w:rsid w:val="00247736"/>
    <w:rsid w:val="00247B7F"/>
    <w:rsid w:val="00251522"/>
    <w:rsid w:val="002515C4"/>
    <w:rsid w:val="00251651"/>
    <w:rsid w:val="002527B8"/>
    <w:rsid w:val="00253B9E"/>
    <w:rsid w:val="002543CF"/>
    <w:rsid w:val="00254861"/>
    <w:rsid w:val="00256D24"/>
    <w:rsid w:val="00261D16"/>
    <w:rsid w:val="00262887"/>
    <w:rsid w:val="002630EB"/>
    <w:rsid w:val="00263762"/>
    <w:rsid w:val="0026497F"/>
    <w:rsid w:val="00266471"/>
    <w:rsid w:val="00267AD9"/>
    <w:rsid w:val="00267B29"/>
    <w:rsid w:val="00272736"/>
    <w:rsid w:val="0027472F"/>
    <w:rsid w:val="00275A5D"/>
    <w:rsid w:val="00280915"/>
    <w:rsid w:val="00281B9F"/>
    <w:rsid w:val="002832A4"/>
    <w:rsid w:val="00283C1C"/>
    <w:rsid w:val="00286A4E"/>
    <w:rsid w:val="00287034"/>
    <w:rsid w:val="00287DD6"/>
    <w:rsid w:val="002916DB"/>
    <w:rsid w:val="00292470"/>
    <w:rsid w:val="002931CD"/>
    <w:rsid w:val="002943E8"/>
    <w:rsid w:val="0029708F"/>
    <w:rsid w:val="002979D9"/>
    <w:rsid w:val="002A0C7F"/>
    <w:rsid w:val="002A21FC"/>
    <w:rsid w:val="002A2E4D"/>
    <w:rsid w:val="002A55D2"/>
    <w:rsid w:val="002A6617"/>
    <w:rsid w:val="002B2C3E"/>
    <w:rsid w:val="002B62F3"/>
    <w:rsid w:val="002C13EE"/>
    <w:rsid w:val="002C1DF8"/>
    <w:rsid w:val="002C3DAF"/>
    <w:rsid w:val="002C5049"/>
    <w:rsid w:val="002C6651"/>
    <w:rsid w:val="002C7BBA"/>
    <w:rsid w:val="002D0308"/>
    <w:rsid w:val="002D03AE"/>
    <w:rsid w:val="002D2249"/>
    <w:rsid w:val="002D37F2"/>
    <w:rsid w:val="002D799A"/>
    <w:rsid w:val="002E0DD1"/>
    <w:rsid w:val="002E21FA"/>
    <w:rsid w:val="002E2487"/>
    <w:rsid w:val="002E266A"/>
    <w:rsid w:val="002E3238"/>
    <w:rsid w:val="002E46BA"/>
    <w:rsid w:val="002E4CD7"/>
    <w:rsid w:val="002E773E"/>
    <w:rsid w:val="002F0673"/>
    <w:rsid w:val="002F3325"/>
    <w:rsid w:val="002F5394"/>
    <w:rsid w:val="002F64F1"/>
    <w:rsid w:val="003015C4"/>
    <w:rsid w:val="003027F9"/>
    <w:rsid w:val="0030363A"/>
    <w:rsid w:val="00304328"/>
    <w:rsid w:val="00305AA1"/>
    <w:rsid w:val="00306C8D"/>
    <w:rsid w:val="00307930"/>
    <w:rsid w:val="00312F80"/>
    <w:rsid w:val="00315793"/>
    <w:rsid w:val="00317EA3"/>
    <w:rsid w:val="00322D37"/>
    <w:rsid w:val="003235E3"/>
    <w:rsid w:val="00323720"/>
    <w:rsid w:val="00324CD6"/>
    <w:rsid w:val="00326D36"/>
    <w:rsid w:val="00327783"/>
    <w:rsid w:val="00327B1F"/>
    <w:rsid w:val="00327D51"/>
    <w:rsid w:val="003312E1"/>
    <w:rsid w:val="003327BD"/>
    <w:rsid w:val="0033362A"/>
    <w:rsid w:val="00333A7B"/>
    <w:rsid w:val="0033593F"/>
    <w:rsid w:val="00336663"/>
    <w:rsid w:val="0034078B"/>
    <w:rsid w:val="003416F6"/>
    <w:rsid w:val="00342153"/>
    <w:rsid w:val="00342A17"/>
    <w:rsid w:val="003431CB"/>
    <w:rsid w:val="00343A40"/>
    <w:rsid w:val="0034587F"/>
    <w:rsid w:val="00345928"/>
    <w:rsid w:val="00345F17"/>
    <w:rsid w:val="00346B84"/>
    <w:rsid w:val="00346E00"/>
    <w:rsid w:val="00347817"/>
    <w:rsid w:val="00347E28"/>
    <w:rsid w:val="0035268A"/>
    <w:rsid w:val="003550D8"/>
    <w:rsid w:val="0035544E"/>
    <w:rsid w:val="00356F48"/>
    <w:rsid w:val="00356F8C"/>
    <w:rsid w:val="003579C9"/>
    <w:rsid w:val="00357DF9"/>
    <w:rsid w:val="00360531"/>
    <w:rsid w:val="00360622"/>
    <w:rsid w:val="00362EB5"/>
    <w:rsid w:val="00363798"/>
    <w:rsid w:val="003639AF"/>
    <w:rsid w:val="00363FF6"/>
    <w:rsid w:val="00364A70"/>
    <w:rsid w:val="00364CD3"/>
    <w:rsid w:val="003662D9"/>
    <w:rsid w:val="00367779"/>
    <w:rsid w:val="00370225"/>
    <w:rsid w:val="00371C33"/>
    <w:rsid w:val="00372051"/>
    <w:rsid w:val="003728CB"/>
    <w:rsid w:val="0037390F"/>
    <w:rsid w:val="00373AA8"/>
    <w:rsid w:val="00373E32"/>
    <w:rsid w:val="00373F39"/>
    <w:rsid w:val="003762BB"/>
    <w:rsid w:val="00376934"/>
    <w:rsid w:val="003770F4"/>
    <w:rsid w:val="00377325"/>
    <w:rsid w:val="00380904"/>
    <w:rsid w:val="00380ECE"/>
    <w:rsid w:val="003825B8"/>
    <w:rsid w:val="003829F5"/>
    <w:rsid w:val="00383CC6"/>
    <w:rsid w:val="00384925"/>
    <w:rsid w:val="0038702D"/>
    <w:rsid w:val="00390348"/>
    <w:rsid w:val="00392300"/>
    <w:rsid w:val="00392592"/>
    <w:rsid w:val="00395CF4"/>
    <w:rsid w:val="00397E5A"/>
    <w:rsid w:val="003A0A62"/>
    <w:rsid w:val="003A37BD"/>
    <w:rsid w:val="003A5D10"/>
    <w:rsid w:val="003A7F8E"/>
    <w:rsid w:val="003B0B86"/>
    <w:rsid w:val="003B2ADE"/>
    <w:rsid w:val="003B76B6"/>
    <w:rsid w:val="003B7B3E"/>
    <w:rsid w:val="003C009B"/>
    <w:rsid w:val="003C072D"/>
    <w:rsid w:val="003C0979"/>
    <w:rsid w:val="003C13A7"/>
    <w:rsid w:val="003C2F3A"/>
    <w:rsid w:val="003C42B4"/>
    <w:rsid w:val="003C4322"/>
    <w:rsid w:val="003C5362"/>
    <w:rsid w:val="003C5852"/>
    <w:rsid w:val="003C68B6"/>
    <w:rsid w:val="003D4D79"/>
    <w:rsid w:val="003E2144"/>
    <w:rsid w:val="003E22A6"/>
    <w:rsid w:val="003E292D"/>
    <w:rsid w:val="003E35A1"/>
    <w:rsid w:val="003E3D1C"/>
    <w:rsid w:val="003F1F1D"/>
    <w:rsid w:val="003F4814"/>
    <w:rsid w:val="003F58E3"/>
    <w:rsid w:val="003F6210"/>
    <w:rsid w:val="003F63D6"/>
    <w:rsid w:val="003F7732"/>
    <w:rsid w:val="0040084A"/>
    <w:rsid w:val="004027E3"/>
    <w:rsid w:val="004030E0"/>
    <w:rsid w:val="00403BA0"/>
    <w:rsid w:val="00404E8C"/>
    <w:rsid w:val="00405C28"/>
    <w:rsid w:val="00407E5A"/>
    <w:rsid w:val="004113E9"/>
    <w:rsid w:val="0041142D"/>
    <w:rsid w:val="00412537"/>
    <w:rsid w:val="00413332"/>
    <w:rsid w:val="00413C72"/>
    <w:rsid w:val="00414033"/>
    <w:rsid w:val="00415051"/>
    <w:rsid w:val="004156C8"/>
    <w:rsid w:val="00415E9E"/>
    <w:rsid w:val="004206AE"/>
    <w:rsid w:val="0042117C"/>
    <w:rsid w:val="00421AA3"/>
    <w:rsid w:val="00421BDD"/>
    <w:rsid w:val="00422331"/>
    <w:rsid w:val="00426F07"/>
    <w:rsid w:val="004272FF"/>
    <w:rsid w:val="00431AFD"/>
    <w:rsid w:val="00437F22"/>
    <w:rsid w:val="00444019"/>
    <w:rsid w:val="00445852"/>
    <w:rsid w:val="00446865"/>
    <w:rsid w:val="00450384"/>
    <w:rsid w:val="004521D3"/>
    <w:rsid w:val="0045418D"/>
    <w:rsid w:val="00454206"/>
    <w:rsid w:val="0045482F"/>
    <w:rsid w:val="00454C97"/>
    <w:rsid w:val="00455177"/>
    <w:rsid w:val="00455740"/>
    <w:rsid w:val="00460A4E"/>
    <w:rsid w:val="00464770"/>
    <w:rsid w:val="00464BD9"/>
    <w:rsid w:val="004656C9"/>
    <w:rsid w:val="00465ECC"/>
    <w:rsid w:val="00466591"/>
    <w:rsid w:val="00466B57"/>
    <w:rsid w:val="00466FD5"/>
    <w:rsid w:val="004720ED"/>
    <w:rsid w:val="0047265A"/>
    <w:rsid w:val="00474376"/>
    <w:rsid w:val="004763CC"/>
    <w:rsid w:val="00481BEF"/>
    <w:rsid w:val="00481CA5"/>
    <w:rsid w:val="004834D2"/>
    <w:rsid w:val="00483710"/>
    <w:rsid w:val="00492347"/>
    <w:rsid w:val="00492E18"/>
    <w:rsid w:val="0049382F"/>
    <w:rsid w:val="00493866"/>
    <w:rsid w:val="00494B52"/>
    <w:rsid w:val="004A06ED"/>
    <w:rsid w:val="004A10E2"/>
    <w:rsid w:val="004A1418"/>
    <w:rsid w:val="004A1B94"/>
    <w:rsid w:val="004A1E0B"/>
    <w:rsid w:val="004A44D5"/>
    <w:rsid w:val="004A4D27"/>
    <w:rsid w:val="004A56BA"/>
    <w:rsid w:val="004A6DB5"/>
    <w:rsid w:val="004A74C4"/>
    <w:rsid w:val="004A7B89"/>
    <w:rsid w:val="004B1392"/>
    <w:rsid w:val="004B370F"/>
    <w:rsid w:val="004B4012"/>
    <w:rsid w:val="004B47FF"/>
    <w:rsid w:val="004B4F62"/>
    <w:rsid w:val="004B69C5"/>
    <w:rsid w:val="004C001D"/>
    <w:rsid w:val="004C3C51"/>
    <w:rsid w:val="004C4982"/>
    <w:rsid w:val="004C66E2"/>
    <w:rsid w:val="004C6818"/>
    <w:rsid w:val="004C6E2E"/>
    <w:rsid w:val="004C7BFB"/>
    <w:rsid w:val="004D2479"/>
    <w:rsid w:val="004D42EA"/>
    <w:rsid w:val="004D69CD"/>
    <w:rsid w:val="004E1741"/>
    <w:rsid w:val="004E1B80"/>
    <w:rsid w:val="004E2E74"/>
    <w:rsid w:val="004E3CB1"/>
    <w:rsid w:val="004E5D45"/>
    <w:rsid w:val="004E5FD2"/>
    <w:rsid w:val="004E60D6"/>
    <w:rsid w:val="004E6BFE"/>
    <w:rsid w:val="004E77D3"/>
    <w:rsid w:val="004F3F39"/>
    <w:rsid w:val="004F4C9E"/>
    <w:rsid w:val="004F4D25"/>
    <w:rsid w:val="004F74C5"/>
    <w:rsid w:val="004F7B00"/>
    <w:rsid w:val="00500E5A"/>
    <w:rsid w:val="00504E33"/>
    <w:rsid w:val="00505CF9"/>
    <w:rsid w:val="00511B39"/>
    <w:rsid w:val="00514EBC"/>
    <w:rsid w:val="00515CB0"/>
    <w:rsid w:val="00515CB6"/>
    <w:rsid w:val="005214DA"/>
    <w:rsid w:val="00521F82"/>
    <w:rsid w:val="00522082"/>
    <w:rsid w:val="00522790"/>
    <w:rsid w:val="00525696"/>
    <w:rsid w:val="005276CC"/>
    <w:rsid w:val="00530DA3"/>
    <w:rsid w:val="00531745"/>
    <w:rsid w:val="00533138"/>
    <w:rsid w:val="00533739"/>
    <w:rsid w:val="005337F3"/>
    <w:rsid w:val="0053536E"/>
    <w:rsid w:val="00535781"/>
    <w:rsid w:val="0053686A"/>
    <w:rsid w:val="00536EF3"/>
    <w:rsid w:val="00537690"/>
    <w:rsid w:val="005400BA"/>
    <w:rsid w:val="00543286"/>
    <w:rsid w:val="00543E34"/>
    <w:rsid w:val="00543FC5"/>
    <w:rsid w:val="005456D1"/>
    <w:rsid w:val="00550F4E"/>
    <w:rsid w:val="00550FE7"/>
    <w:rsid w:val="0055203A"/>
    <w:rsid w:val="00552314"/>
    <w:rsid w:val="00552A1F"/>
    <w:rsid w:val="00552F6C"/>
    <w:rsid w:val="00554118"/>
    <w:rsid w:val="005548EE"/>
    <w:rsid w:val="005548F5"/>
    <w:rsid w:val="005548F8"/>
    <w:rsid w:val="00557542"/>
    <w:rsid w:val="00561E3A"/>
    <w:rsid w:val="00563DCC"/>
    <w:rsid w:val="0056437C"/>
    <w:rsid w:val="00566851"/>
    <w:rsid w:val="00566A8F"/>
    <w:rsid w:val="00567328"/>
    <w:rsid w:val="00567AB3"/>
    <w:rsid w:val="00567BA4"/>
    <w:rsid w:val="00570B11"/>
    <w:rsid w:val="005721AF"/>
    <w:rsid w:val="00573299"/>
    <w:rsid w:val="005744B1"/>
    <w:rsid w:val="00575CC5"/>
    <w:rsid w:val="00576F7E"/>
    <w:rsid w:val="00580E9A"/>
    <w:rsid w:val="00583C88"/>
    <w:rsid w:val="00585B7F"/>
    <w:rsid w:val="00585DF2"/>
    <w:rsid w:val="005865E8"/>
    <w:rsid w:val="0058701D"/>
    <w:rsid w:val="00592E0D"/>
    <w:rsid w:val="005959E1"/>
    <w:rsid w:val="00595D40"/>
    <w:rsid w:val="005A0653"/>
    <w:rsid w:val="005A10A0"/>
    <w:rsid w:val="005A2B0A"/>
    <w:rsid w:val="005A3A11"/>
    <w:rsid w:val="005A7422"/>
    <w:rsid w:val="005A7425"/>
    <w:rsid w:val="005B0AED"/>
    <w:rsid w:val="005B1B25"/>
    <w:rsid w:val="005C38AF"/>
    <w:rsid w:val="005C4A1F"/>
    <w:rsid w:val="005C63C9"/>
    <w:rsid w:val="005C780A"/>
    <w:rsid w:val="005D2ACD"/>
    <w:rsid w:val="005D2C1D"/>
    <w:rsid w:val="005D3A71"/>
    <w:rsid w:val="005D511B"/>
    <w:rsid w:val="005D517E"/>
    <w:rsid w:val="005D6CC1"/>
    <w:rsid w:val="005D7CB0"/>
    <w:rsid w:val="005E09C1"/>
    <w:rsid w:val="005E1820"/>
    <w:rsid w:val="005E2484"/>
    <w:rsid w:val="005E33BF"/>
    <w:rsid w:val="005E4022"/>
    <w:rsid w:val="005E4729"/>
    <w:rsid w:val="005E4D45"/>
    <w:rsid w:val="005F2667"/>
    <w:rsid w:val="005F4197"/>
    <w:rsid w:val="005F5971"/>
    <w:rsid w:val="00602AF9"/>
    <w:rsid w:val="00602E21"/>
    <w:rsid w:val="00604143"/>
    <w:rsid w:val="006060BD"/>
    <w:rsid w:val="00606472"/>
    <w:rsid w:val="00607780"/>
    <w:rsid w:val="00610AAE"/>
    <w:rsid w:val="006122AC"/>
    <w:rsid w:val="00612DC4"/>
    <w:rsid w:val="00613481"/>
    <w:rsid w:val="0061425D"/>
    <w:rsid w:val="00614312"/>
    <w:rsid w:val="006144B3"/>
    <w:rsid w:val="0061459A"/>
    <w:rsid w:val="00616DE4"/>
    <w:rsid w:val="006227B5"/>
    <w:rsid w:val="00622D32"/>
    <w:rsid w:val="00623048"/>
    <w:rsid w:val="00625D00"/>
    <w:rsid w:val="00626AAE"/>
    <w:rsid w:val="006278C9"/>
    <w:rsid w:val="00632CC5"/>
    <w:rsid w:val="00633498"/>
    <w:rsid w:val="0063550A"/>
    <w:rsid w:val="0064096A"/>
    <w:rsid w:val="00640E23"/>
    <w:rsid w:val="00642482"/>
    <w:rsid w:val="00643212"/>
    <w:rsid w:val="00643680"/>
    <w:rsid w:val="0064497F"/>
    <w:rsid w:val="00646BB4"/>
    <w:rsid w:val="00647BBB"/>
    <w:rsid w:val="0065232C"/>
    <w:rsid w:val="00654FC2"/>
    <w:rsid w:val="00656776"/>
    <w:rsid w:val="00656EB8"/>
    <w:rsid w:val="00657478"/>
    <w:rsid w:val="00657F26"/>
    <w:rsid w:val="0066111D"/>
    <w:rsid w:val="00664478"/>
    <w:rsid w:val="00671E0D"/>
    <w:rsid w:val="00671F1E"/>
    <w:rsid w:val="00674509"/>
    <w:rsid w:val="00675053"/>
    <w:rsid w:val="00676209"/>
    <w:rsid w:val="00677AAE"/>
    <w:rsid w:val="00680665"/>
    <w:rsid w:val="006809DC"/>
    <w:rsid w:val="00684614"/>
    <w:rsid w:val="0068545F"/>
    <w:rsid w:val="0068796E"/>
    <w:rsid w:val="00690413"/>
    <w:rsid w:val="0069289F"/>
    <w:rsid w:val="00693C6A"/>
    <w:rsid w:val="00693F6A"/>
    <w:rsid w:val="00693F73"/>
    <w:rsid w:val="006942F9"/>
    <w:rsid w:val="00695948"/>
    <w:rsid w:val="00695BB2"/>
    <w:rsid w:val="0069632C"/>
    <w:rsid w:val="006A34B1"/>
    <w:rsid w:val="006A3ADC"/>
    <w:rsid w:val="006A4004"/>
    <w:rsid w:val="006B0432"/>
    <w:rsid w:val="006B1D2A"/>
    <w:rsid w:val="006B309C"/>
    <w:rsid w:val="006B4326"/>
    <w:rsid w:val="006B664B"/>
    <w:rsid w:val="006B750B"/>
    <w:rsid w:val="006B763D"/>
    <w:rsid w:val="006C0A3E"/>
    <w:rsid w:val="006C1586"/>
    <w:rsid w:val="006C1D31"/>
    <w:rsid w:val="006C2126"/>
    <w:rsid w:val="006C2D7A"/>
    <w:rsid w:val="006C5FED"/>
    <w:rsid w:val="006C6415"/>
    <w:rsid w:val="006C70A7"/>
    <w:rsid w:val="006D12C3"/>
    <w:rsid w:val="006D2152"/>
    <w:rsid w:val="006D3503"/>
    <w:rsid w:val="006D4F9F"/>
    <w:rsid w:val="006D7D2D"/>
    <w:rsid w:val="006E01C7"/>
    <w:rsid w:val="006E09B3"/>
    <w:rsid w:val="006E1403"/>
    <w:rsid w:val="006E1E38"/>
    <w:rsid w:val="006E2041"/>
    <w:rsid w:val="006E3D95"/>
    <w:rsid w:val="006E3F34"/>
    <w:rsid w:val="006E53F1"/>
    <w:rsid w:val="006E6B6D"/>
    <w:rsid w:val="006E7FA3"/>
    <w:rsid w:val="006F20A2"/>
    <w:rsid w:val="006F2950"/>
    <w:rsid w:val="006F4124"/>
    <w:rsid w:val="006F5E69"/>
    <w:rsid w:val="006F7716"/>
    <w:rsid w:val="00704643"/>
    <w:rsid w:val="007047E5"/>
    <w:rsid w:val="00704837"/>
    <w:rsid w:val="00705082"/>
    <w:rsid w:val="00705376"/>
    <w:rsid w:val="007054C1"/>
    <w:rsid w:val="00707B08"/>
    <w:rsid w:val="00714607"/>
    <w:rsid w:val="00716661"/>
    <w:rsid w:val="00722E56"/>
    <w:rsid w:val="007231A1"/>
    <w:rsid w:val="007236FF"/>
    <w:rsid w:val="00723799"/>
    <w:rsid w:val="007240E1"/>
    <w:rsid w:val="00724A72"/>
    <w:rsid w:val="00725DF7"/>
    <w:rsid w:val="0072773C"/>
    <w:rsid w:val="00727C64"/>
    <w:rsid w:val="00727F82"/>
    <w:rsid w:val="00731377"/>
    <w:rsid w:val="00731639"/>
    <w:rsid w:val="00731F82"/>
    <w:rsid w:val="00732B0F"/>
    <w:rsid w:val="00733491"/>
    <w:rsid w:val="00734E0B"/>
    <w:rsid w:val="0073522F"/>
    <w:rsid w:val="00735BDE"/>
    <w:rsid w:val="00737085"/>
    <w:rsid w:val="007370D1"/>
    <w:rsid w:val="00741D6C"/>
    <w:rsid w:val="00746291"/>
    <w:rsid w:val="0074630C"/>
    <w:rsid w:val="00750339"/>
    <w:rsid w:val="00750343"/>
    <w:rsid w:val="00751B9A"/>
    <w:rsid w:val="00751F15"/>
    <w:rsid w:val="00754BFD"/>
    <w:rsid w:val="0075629D"/>
    <w:rsid w:val="00757C5A"/>
    <w:rsid w:val="00760AB1"/>
    <w:rsid w:val="00761598"/>
    <w:rsid w:val="00764564"/>
    <w:rsid w:val="00765859"/>
    <w:rsid w:val="007664C6"/>
    <w:rsid w:val="007667AC"/>
    <w:rsid w:val="00770A96"/>
    <w:rsid w:val="007713CF"/>
    <w:rsid w:val="00772802"/>
    <w:rsid w:val="00772A70"/>
    <w:rsid w:val="00774AD3"/>
    <w:rsid w:val="00775D0D"/>
    <w:rsid w:val="0077619B"/>
    <w:rsid w:val="0077661D"/>
    <w:rsid w:val="00777D35"/>
    <w:rsid w:val="007808FA"/>
    <w:rsid w:val="0078157C"/>
    <w:rsid w:val="00782265"/>
    <w:rsid w:val="007828F0"/>
    <w:rsid w:val="0078328E"/>
    <w:rsid w:val="007838F3"/>
    <w:rsid w:val="00784BCD"/>
    <w:rsid w:val="00784F91"/>
    <w:rsid w:val="00786A8C"/>
    <w:rsid w:val="00786AD5"/>
    <w:rsid w:val="007873D4"/>
    <w:rsid w:val="007877A7"/>
    <w:rsid w:val="00787DF6"/>
    <w:rsid w:val="007901F7"/>
    <w:rsid w:val="00790553"/>
    <w:rsid w:val="0079109F"/>
    <w:rsid w:val="00792565"/>
    <w:rsid w:val="007929F6"/>
    <w:rsid w:val="007932F4"/>
    <w:rsid w:val="00793391"/>
    <w:rsid w:val="00794B95"/>
    <w:rsid w:val="0079532E"/>
    <w:rsid w:val="00795FF9"/>
    <w:rsid w:val="007961AB"/>
    <w:rsid w:val="007A5B29"/>
    <w:rsid w:val="007A7BFC"/>
    <w:rsid w:val="007B0A30"/>
    <w:rsid w:val="007B0D0C"/>
    <w:rsid w:val="007B3990"/>
    <w:rsid w:val="007B4DC8"/>
    <w:rsid w:val="007B4F0F"/>
    <w:rsid w:val="007B4F45"/>
    <w:rsid w:val="007B612A"/>
    <w:rsid w:val="007B6CCD"/>
    <w:rsid w:val="007B76D8"/>
    <w:rsid w:val="007B793A"/>
    <w:rsid w:val="007C175E"/>
    <w:rsid w:val="007C3AC7"/>
    <w:rsid w:val="007C66D7"/>
    <w:rsid w:val="007D08F6"/>
    <w:rsid w:val="007D1E3D"/>
    <w:rsid w:val="007D336B"/>
    <w:rsid w:val="007D6BF5"/>
    <w:rsid w:val="007D7502"/>
    <w:rsid w:val="007E024A"/>
    <w:rsid w:val="007E18D1"/>
    <w:rsid w:val="007E5A67"/>
    <w:rsid w:val="007F0359"/>
    <w:rsid w:val="007F1706"/>
    <w:rsid w:val="007F2836"/>
    <w:rsid w:val="007F35A2"/>
    <w:rsid w:val="007F3CF6"/>
    <w:rsid w:val="007F3D9D"/>
    <w:rsid w:val="007F52A3"/>
    <w:rsid w:val="007F5747"/>
    <w:rsid w:val="007F5E4B"/>
    <w:rsid w:val="007F5F5F"/>
    <w:rsid w:val="00800FAA"/>
    <w:rsid w:val="008018C6"/>
    <w:rsid w:val="0080655C"/>
    <w:rsid w:val="008072F1"/>
    <w:rsid w:val="0080761D"/>
    <w:rsid w:val="008111C7"/>
    <w:rsid w:val="008138A5"/>
    <w:rsid w:val="00813A06"/>
    <w:rsid w:val="00814128"/>
    <w:rsid w:val="00814217"/>
    <w:rsid w:val="00816613"/>
    <w:rsid w:val="00820587"/>
    <w:rsid w:val="00820EC9"/>
    <w:rsid w:val="00821304"/>
    <w:rsid w:val="00822DF6"/>
    <w:rsid w:val="0082382D"/>
    <w:rsid w:val="00825BDF"/>
    <w:rsid w:val="008275F5"/>
    <w:rsid w:val="0082774C"/>
    <w:rsid w:val="0083265F"/>
    <w:rsid w:val="00833375"/>
    <w:rsid w:val="0083364F"/>
    <w:rsid w:val="00833AB1"/>
    <w:rsid w:val="00833DB8"/>
    <w:rsid w:val="008341E2"/>
    <w:rsid w:val="008354A7"/>
    <w:rsid w:val="00835F48"/>
    <w:rsid w:val="00836A98"/>
    <w:rsid w:val="00836BC8"/>
    <w:rsid w:val="00836C17"/>
    <w:rsid w:val="00837FA8"/>
    <w:rsid w:val="008408FD"/>
    <w:rsid w:val="00840BAB"/>
    <w:rsid w:val="008414EA"/>
    <w:rsid w:val="00843E26"/>
    <w:rsid w:val="00844082"/>
    <w:rsid w:val="00844668"/>
    <w:rsid w:val="0084475C"/>
    <w:rsid w:val="00851087"/>
    <w:rsid w:val="008543A3"/>
    <w:rsid w:val="00857D85"/>
    <w:rsid w:val="00860E54"/>
    <w:rsid w:val="00862721"/>
    <w:rsid w:val="00870AB9"/>
    <w:rsid w:val="008721E5"/>
    <w:rsid w:val="00874E00"/>
    <w:rsid w:val="0088218D"/>
    <w:rsid w:val="00882D38"/>
    <w:rsid w:val="0088422B"/>
    <w:rsid w:val="00884980"/>
    <w:rsid w:val="008850A0"/>
    <w:rsid w:val="0088522E"/>
    <w:rsid w:val="00885D95"/>
    <w:rsid w:val="00886C5B"/>
    <w:rsid w:val="00891202"/>
    <w:rsid w:val="00891C01"/>
    <w:rsid w:val="00893971"/>
    <w:rsid w:val="00893C4E"/>
    <w:rsid w:val="00895DC3"/>
    <w:rsid w:val="0089625D"/>
    <w:rsid w:val="008A0AEA"/>
    <w:rsid w:val="008A2F60"/>
    <w:rsid w:val="008A3B1B"/>
    <w:rsid w:val="008A4D28"/>
    <w:rsid w:val="008A5F99"/>
    <w:rsid w:val="008A6341"/>
    <w:rsid w:val="008A79EB"/>
    <w:rsid w:val="008B00C2"/>
    <w:rsid w:val="008B015A"/>
    <w:rsid w:val="008B1EF0"/>
    <w:rsid w:val="008B216A"/>
    <w:rsid w:val="008B3AB7"/>
    <w:rsid w:val="008B6BAC"/>
    <w:rsid w:val="008B6FB6"/>
    <w:rsid w:val="008B79E4"/>
    <w:rsid w:val="008B7CAB"/>
    <w:rsid w:val="008C01B8"/>
    <w:rsid w:val="008C0AB5"/>
    <w:rsid w:val="008C30E5"/>
    <w:rsid w:val="008C35ED"/>
    <w:rsid w:val="008C35F1"/>
    <w:rsid w:val="008C3A89"/>
    <w:rsid w:val="008C4B31"/>
    <w:rsid w:val="008C6F34"/>
    <w:rsid w:val="008D0511"/>
    <w:rsid w:val="008D29EA"/>
    <w:rsid w:val="008D2CE0"/>
    <w:rsid w:val="008D5A08"/>
    <w:rsid w:val="008E1FC6"/>
    <w:rsid w:val="008F0F8D"/>
    <w:rsid w:val="008F1C31"/>
    <w:rsid w:val="008F3E10"/>
    <w:rsid w:val="008F535C"/>
    <w:rsid w:val="008F62D1"/>
    <w:rsid w:val="00901B4F"/>
    <w:rsid w:val="00902922"/>
    <w:rsid w:val="0090450D"/>
    <w:rsid w:val="0090492A"/>
    <w:rsid w:val="00905F1E"/>
    <w:rsid w:val="00906070"/>
    <w:rsid w:val="009077CD"/>
    <w:rsid w:val="00907B45"/>
    <w:rsid w:val="00910A62"/>
    <w:rsid w:val="009126C8"/>
    <w:rsid w:val="00913B46"/>
    <w:rsid w:val="0091727C"/>
    <w:rsid w:val="0092015D"/>
    <w:rsid w:val="00925237"/>
    <w:rsid w:val="009259E2"/>
    <w:rsid w:val="0092618E"/>
    <w:rsid w:val="009274D8"/>
    <w:rsid w:val="009307C5"/>
    <w:rsid w:val="00933D62"/>
    <w:rsid w:val="00934334"/>
    <w:rsid w:val="00935050"/>
    <w:rsid w:val="0093529D"/>
    <w:rsid w:val="009354B0"/>
    <w:rsid w:val="00935831"/>
    <w:rsid w:val="00936CCE"/>
    <w:rsid w:val="00937502"/>
    <w:rsid w:val="00937548"/>
    <w:rsid w:val="009375FC"/>
    <w:rsid w:val="0094136A"/>
    <w:rsid w:val="009426CF"/>
    <w:rsid w:val="0094281E"/>
    <w:rsid w:val="00944895"/>
    <w:rsid w:val="00945083"/>
    <w:rsid w:val="009466D0"/>
    <w:rsid w:val="00946E78"/>
    <w:rsid w:val="009507AF"/>
    <w:rsid w:val="0095141B"/>
    <w:rsid w:val="009532A1"/>
    <w:rsid w:val="00955B76"/>
    <w:rsid w:val="00956B09"/>
    <w:rsid w:val="00960F6A"/>
    <w:rsid w:val="0096152A"/>
    <w:rsid w:val="00961DCD"/>
    <w:rsid w:val="00961FC2"/>
    <w:rsid w:val="009624C5"/>
    <w:rsid w:val="00964E53"/>
    <w:rsid w:val="0097107D"/>
    <w:rsid w:val="00972689"/>
    <w:rsid w:val="00974626"/>
    <w:rsid w:val="00974D94"/>
    <w:rsid w:val="0097511C"/>
    <w:rsid w:val="009756F2"/>
    <w:rsid w:val="0097602E"/>
    <w:rsid w:val="00981C80"/>
    <w:rsid w:val="00984B35"/>
    <w:rsid w:val="00987893"/>
    <w:rsid w:val="00991C1B"/>
    <w:rsid w:val="0099358E"/>
    <w:rsid w:val="0099493F"/>
    <w:rsid w:val="00996370"/>
    <w:rsid w:val="009A0F34"/>
    <w:rsid w:val="009A21C3"/>
    <w:rsid w:val="009A2865"/>
    <w:rsid w:val="009A2A16"/>
    <w:rsid w:val="009A55EB"/>
    <w:rsid w:val="009B0B5A"/>
    <w:rsid w:val="009B2C5E"/>
    <w:rsid w:val="009B3AB1"/>
    <w:rsid w:val="009B5DFF"/>
    <w:rsid w:val="009B6B98"/>
    <w:rsid w:val="009B6D06"/>
    <w:rsid w:val="009C2409"/>
    <w:rsid w:val="009C25DD"/>
    <w:rsid w:val="009C2A1E"/>
    <w:rsid w:val="009C2C08"/>
    <w:rsid w:val="009C5365"/>
    <w:rsid w:val="009C5787"/>
    <w:rsid w:val="009C658E"/>
    <w:rsid w:val="009D1352"/>
    <w:rsid w:val="009D2623"/>
    <w:rsid w:val="009D3175"/>
    <w:rsid w:val="009D3E35"/>
    <w:rsid w:val="009D4098"/>
    <w:rsid w:val="009D4958"/>
    <w:rsid w:val="009D594A"/>
    <w:rsid w:val="009D6E3F"/>
    <w:rsid w:val="009E037D"/>
    <w:rsid w:val="009E19E1"/>
    <w:rsid w:val="009E29D8"/>
    <w:rsid w:val="009E2B2B"/>
    <w:rsid w:val="009E2D7C"/>
    <w:rsid w:val="009E398C"/>
    <w:rsid w:val="009E52B9"/>
    <w:rsid w:val="009E64C6"/>
    <w:rsid w:val="009F018C"/>
    <w:rsid w:val="009F127C"/>
    <w:rsid w:val="009F416A"/>
    <w:rsid w:val="009F5A75"/>
    <w:rsid w:val="009F5F39"/>
    <w:rsid w:val="00A00686"/>
    <w:rsid w:val="00A027C0"/>
    <w:rsid w:val="00A02A1D"/>
    <w:rsid w:val="00A02F1C"/>
    <w:rsid w:val="00A03CBD"/>
    <w:rsid w:val="00A056EB"/>
    <w:rsid w:val="00A07136"/>
    <w:rsid w:val="00A0756F"/>
    <w:rsid w:val="00A113D4"/>
    <w:rsid w:val="00A1309F"/>
    <w:rsid w:val="00A143AE"/>
    <w:rsid w:val="00A14872"/>
    <w:rsid w:val="00A164BA"/>
    <w:rsid w:val="00A1790C"/>
    <w:rsid w:val="00A21406"/>
    <w:rsid w:val="00A228D1"/>
    <w:rsid w:val="00A24206"/>
    <w:rsid w:val="00A26929"/>
    <w:rsid w:val="00A272F9"/>
    <w:rsid w:val="00A272FA"/>
    <w:rsid w:val="00A334F0"/>
    <w:rsid w:val="00A35F7A"/>
    <w:rsid w:val="00A36919"/>
    <w:rsid w:val="00A37218"/>
    <w:rsid w:val="00A37E05"/>
    <w:rsid w:val="00A41941"/>
    <w:rsid w:val="00A41EEB"/>
    <w:rsid w:val="00A421DD"/>
    <w:rsid w:val="00A4274E"/>
    <w:rsid w:val="00A42F87"/>
    <w:rsid w:val="00A43FFE"/>
    <w:rsid w:val="00A441E9"/>
    <w:rsid w:val="00A4486D"/>
    <w:rsid w:val="00A4492A"/>
    <w:rsid w:val="00A465B7"/>
    <w:rsid w:val="00A46BD6"/>
    <w:rsid w:val="00A51AC8"/>
    <w:rsid w:val="00A60401"/>
    <w:rsid w:val="00A6073D"/>
    <w:rsid w:val="00A613AC"/>
    <w:rsid w:val="00A62C0B"/>
    <w:rsid w:val="00A62D6F"/>
    <w:rsid w:val="00A63EB3"/>
    <w:rsid w:val="00A64FBF"/>
    <w:rsid w:val="00A65D49"/>
    <w:rsid w:val="00A672D3"/>
    <w:rsid w:val="00A70038"/>
    <w:rsid w:val="00A766FD"/>
    <w:rsid w:val="00A82DB9"/>
    <w:rsid w:val="00A84634"/>
    <w:rsid w:val="00A85090"/>
    <w:rsid w:val="00A86125"/>
    <w:rsid w:val="00A8657B"/>
    <w:rsid w:val="00A86B6B"/>
    <w:rsid w:val="00A874EB"/>
    <w:rsid w:val="00A90F23"/>
    <w:rsid w:val="00A92D83"/>
    <w:rsid w:val="00A93267"/>
    <w:rsid w:val="00A94078"/>
    <w:rsid w:val="00A953EE"/>
    <w:rsid w:val="00A96484"/>
    <w:rsid w:val="00AA3073"/>
    <w:rsid w:val="00AA3C27"/>
    <w:rsid w:val="00AA6056"/>
    <w:rsid w:val="00AB1EDC"/>
    <w:rsid w:val="00AB27EE"/>
    <w:rsid w:val="00AB45F7"/>
    <w:rsid w:val="00AB77BE"/>
    <w:rsid w:val="00AC0885"/>
    <w:rsid w:val="00AC22E0"/>
    <w:rsid w:val="00AC4A2A"/>
    <w:rsid w:val="00AC7D9F"/>
    <w:rsid w:val="00AD11B5"/>
    <w:rsid w:val="00AD3E81"/>
    <w:rsid w:val="00AD4CC4"/>
    <w:rsid w:val="00AD535C"/>
    <w:rsid w:val="00AD6143"/>
    <w:rsid w:val="00AD6AF6"/>
    <w:rsid w:val="00AE0D2D"/>
    <w:rsid w:val="00AE5168"/>
    <w:rsid w:val="00AE6356"/>
    <w:rsid w:val="00AF193F"/>
    <w:rsid w:val="00AF3228"/>
    <w:rsid w:val="00AF3447"/>
    <w:rsid w:val="00AF3DFE"/>
    <w:rsid w:val="00AF472B"/>
    <w:rsid w:val="00AF4D73"/>
    <w:rsid w:val="00AF55AC"/>
    <w:rsid w:val="00AF666F"/>
    <w:rsid w:val="00AF6FEF"/>
    <w:rsid w:val="00AF7D54"/>
    <w:rsid w:val="00B00AF4"/>
    <w:rsid w:val="00B017E6"/>
    <w:rsid w:val="00B033CB"/>
    <w:rsid w:val="00B04973"/>
    <w:rsid w:val="00B04FB1"/>
    <w:rsid w:val="00B07924"/>
    <w:rsid w:val="00B10F60"/>
    <w:rsid w:val="00B126D2"/>
    <w:rsid w:val="00B16208"/>
    <w:rsid w:val="00B1649F"/>
    <w:rsid w:val="00B164BD"/>
    <w:rsid w:val="00B17AA2"/>
    <w:rsid w:val="00B21094"/>
    <w:rsid w:val="00B25669"/>
    <w:rsid w:val="00B2636F"/>
    <w:rsid w:val="00B267B4"/>
    <w:rsid w:val="00B30437"/>
    <w:rsid w:val="00B325A8"/>
    <w:rsid w:val="00B33F98"/>
    <w:rsid w:val="00B3435E"/>
    <w:rsid w:val="00B3505E"/>
    <w:rsid w:val="00B41A1C"/>
    <w:rsid w:val="00B41C75"/>
    <w:rsid w:val="00B4214A"/>
    <w:rsid w:val="00B462BF"/>
    <w:rsid w:val="00B46840"/>
    <w:rsid w:val="00B518F8"/>
    <w:rsid w:val="00B51D5E"/>
    <w:rsid w:val="00B5240C"/>
    <w:rsid w:val="00B553B8"/>
    <w:rsid w:val="00B5781B"/>
    <w:rsid w:val="00B606EA"/>
    <w:rsid w:val="00B61CF9"/>
    <w:rsid w:val="00B61EC1"/>
    <w:rsid w:val="00B62CDE"/>
    <w:rsid w:val="00B6304A"/>
    <w:rsid w:val="00B63190"/>
    <w:rsid w:val="00B636F0"/>
    <w:rsid w:val="00B63784"/>
    <w:rsid w:val="00B63D1E"/>
    <w:rsid w:val="00B63EF4"/>
    <w:rsid w:val="00B6401C"/>
    <w:rsid w:val="00B65518"/>
    <w:rsid w:val="00B67364"/>
    <w:rsid w:val="00B6749A"/>
    <w:rsid w:val="00B6752D"/>
    <w:rsid w:val="00B6755F"/>
    <w:rsid w:val="00B67AF5"/>
    <w:rsid w:val="00B720B2"/>
    <w:rsid w:val="00B72AE8"/>
    <w:rsid w:val="00B769CA"/>
    <w:rsid w:val="00B76A16"/>
    <w:rsid w:val="00B816AD"/>
    <w:rsid w:val="00B834F5"/>
    <w:rsid w:val="00B86597"/>
    <w:rsid w:val="00B86DEF"/>
    <w:rsid w:val="00B8737C"/>
    <w:rsid w:val="00B90A44"/>
    <w:rsid w:val="00B91188"/>
    <w:rsid w:val="00B91523"/>
    <w:rsid w:val="00B93F1E"/>
    <w:rsid w:val="00B9574F"/>
    <w:rsid w:val="00B97B45"/>
    <w:rsid w:val="00BA186B"/>
    <w:rsid w:val="00BA1B8E"/>
    <w:rsid w:val="00BA23BA"/>
    <w:rsid w:val="00BA47B8"/>
    <w:rsid w:val="00BA4BB2"/>
    <w:rsid w:val="00BA7362"/>
    <w:rsid w:val="00BA79FF"/>
    <w:rsid w:val="00BB0485"/>
    <w:rsid w:val="00BB48FB"/>
    <w:rsid w:val="00BB534A"/>
    <w:rsid w:val="00BB6CC2"/>
    <w:rsid w:val="00BC05F6"/>
    <w:rsid w:val="00BC0D0E"/>
    <w:rsid w:val="00BC1107"/>
    <w:rsid w:val="00BC24EC"/>
    <w:rsid w:val="00BC2584"/>
    <w:rsid w:val="00BC4FFC"/>
    <w:rsid w:val="00BC6422"/>
    <w:rsid w:val="00BD0500"/>
    <w:rsid w:val="00BD2999"/>
    <w:rsid w:val="00BD6712"/>
    <w:rsid w:val="00BD7DB6"/>
    <w:rsid w:val="00BE0EF8"/>
    <w:rsid w:val="00BE4097"/>
    <w:rsid w:val="00BE62D7"/>
    <w:rsid w:val="00BF168C"/>
    <w:rsid w:val="00BF18C7"/>
    <w:rsid w:val="00BF1913"/>
    <w:rsid w:val="00BF3E03"/>
    <w:rsid w:val="00BF6299"/>
    <w:rsid w:val="00BF7710"/>
    <w:rsid w:val="00C00F10"/>
    <w:rsid w:val="00C01CCD"/>
    <w:rsid w:val="00C0252B"/>
    <w:rsid w:val="00C029E8"/>
    <w:rsid w:val="00C03500"/>
    <w:rsid w:val="00C053D7"/>
    <w:rsid w:val="00C06DC5"/>
    <w:rsid w:val="00C10414"/>
    <w:rsid w:val="00C113AE"/>
    <w:rsid w:val="00C12F1F"/>
    <w:rsid w:val="00C162CD"/>
    <w:rsid w:val="00C17C6D"/>
    <w:rsid w:val="00C20F55"/>
    <w:rsid w:val="00C2187D"/>
    <w:rsid w:val="00C21B18"/>
    <w:rsid w:val="00C21F87"/>
    <w:rsid w:val="00C23AB1"/>
    <w:rsid w:val="00C26CCF"/>
    <w:rsid w:val="00C31DB9"/>
    <w:rsid w:val="00C3252E"/>
    <w:rsid w:val="00C33F4B"/>
    <w:rsid w:val="00C34F13"/>
    <w:rsid w:val="00C35B22"/>
    <w:rsid w:val="00C364F5"/>
    <w:rsid w:val="00C36822"/>
    <w:rsid w:val="00C373E3"/>
    <w:rsid w:val="00C37692"/>
    <w:rsid w:val="00C403E6"/>
    <w:rsid w:val="00C40951"/>
    <w:rsid w:val="00C4131A"/>
    <w:rsid w:val="00C4156D"/>
    <w:rsid w:val="00C41F23"/>
    <w:rsid w:val="00C42F25"/>
    <w:rsid w:val="00C43BE1"/>
    <w:rsid w:val="00C4585B"/>
    <w:rsid w:val="00C45E17"/>
    <w:rsid w:val="00C47F60"/>
    <w:rsid w:val="00C51B5A"/>
    <w:rsid w:val="00C51C15"/>
    <w:rsid w:val="00C51D77"/>
    <w:rsid w:val="00C53707"/>
    <w:rsid w:val="00C53A86"/>
    <w:rsid w:val="00C54069"/>
    <w:rsid w:val="00C56C68"/>
    <w:rsid w:val="00C61293"/>
    <w:rsid w:val="00C62845"/>
    <w:rsid w:val="00C642FC"/>
    <w:rsid w:val="00C647BA"/>
    <w:rsid w:val="00C65464"/>
    <w:rsid w:val="00C65786"/>
    <w:rsid w:val="00C65D14"/>
    <w:rsid w:val="00C65D8B"/>
    <w:rsid w:val="00C662AA"/>
    <w:rsid w:val="00C71BEB"/>
    <w:rsid w:val="00C73411"/>
    <w:rsid w:val="00C745B8"/>
    <w:rsid w:val="00C76537"/>
    <w:rsid w:val="00C76D95"/>
    <w:rsid w:val="00C8457D"/>
    <w:rsid w:val="00C860E2"/>
    <w:rsid w:val="00C87420"/>
    <w:rsid w:val="00C90C24"/>
    <w:rsid w:val="00C90C6D"/>
    <w:rsid w:val="00C92070"/>
    <w:rsid w:val="00CA17F5"/>
    <w:rsid w:val="00CA4061"/>
    <w:rsid w:val="00CA4CE5"/>
    <w:rsid w:val="00CA5D7A"/>
    <w:rsid w:val="00CA703A"/>
    <w:rsid w:val="00CB2B9B"/>
    <w:rsid w:val="00CB403B"/>
    <w:rsid w:val="00CB4B06"/>
    <w:rsid w:val="00CB7E55"/>
    <w:rsid w:val="00CC0072"/>
    <w:rsid w:val="00CC01F3"/>
    <w:rsid w:val="00CC0590"/>
    <w:rsid w:val="00CC0EE6"/>
    <w:rsid w:val="00CC186D"/>
    <w:rsid w:val="00CC216E"/>
    <w:rsid w:val="00CC3184"/>
    <w:rsid w:val="00CC4D54"/>
    <w:rsid w:val="00CC5BFD"/>
    <w:rsid w:val="00CD2EC7"/>
    <w:rsid w:val="00CD3EBE"/>
    <w:rsid w:val="00CD79F6"/>
    <w:rsid w:val="00CD7B8E"/>
    <w:rsid w:val="00CE16DA"/>
    <w:rsid w:val="00CE25B7"/>
    <w:rsid w:val="00CE4EBF"/>
    <w:rsid w:val="00CE68B1"/>
    <w:rsid w:val="00CE7F43"/>
    <w:rsid w:val="00CF06D0"/>
    <w:rsid w:val="00CF16A4"/>
    <w:rsid w:val="00CF1CD2"/>
    <w:rsid w:val="00CF29E2"/>
    <w:rsid w:val="00CF392F"/>
    <w:rsid w:val="00CF6586"/>
    <w:rsid w:val="00CF7D7C"/>
    <w:rsid w:val="00D00207"/>
    <w:rsid w:val="00D00D0D"/>
    <w:rsid w:val="00D029AD"/>
    <w:rsid w:val="00D07225"/>
    <w:rsid w:val="00D0740C"/>
    <w:rsid w:val="00D119DC"/>
    <w:rsid w:val="00D132B3"/>
    <w:rsid w:val="00D14E26"/>
    <w:rsid w:val="00D1572D"/>
    <w:rsid w:val="00D15D0B"/>
    <w:rsid w:val="00D15E56"/>
    <w:rsid w:val="00D17189"/>
    <w:rsid w:val="00D22828"/>
    <w:rsid w:val="00D22F32"/>
    <w:rsid w:val="00D23347"/>
    <w:rsid w:val="00D23E94"/>
    <w:rsid w:val="00D241B5"/>
    <w:rsid w:val="00D258A7"/>
    <w:rsid w:val="00D2699A"/>
    <w:rsid w:val="00D3096A"/>
    <w:rsid w:val="00D326AB"/>
    <w:rsid w:val="00D33C70"/>
    <w:rsid w:val="00D34993"/>
    <w:rsid w:val="00D41017"/>
    <w:rsid w:val="00D418EE"/>
    <w:rsid w:val="00D42753"/>
    <w:rsid w:val="00D43BFE"/>
    <w:rsid w:val="00D452A9"/>
    <w:rsid w:val="00D47DD6"/>
    <w:rsid w:val="00D5045D"/>
    <w:rsid w:val="00D50A5D"/>
    <w:rsid w:val="00D51C56"/>
    <w:rsid w:val="00D52ADD"/>
    <w:rsid w:val="00D53E23"/>
    <w:rsid w:val="00D54160"/>
    <w:rsid w:val="00D5425C"/>
    <w:rsid w:val="00D55315"/>
    <w:rsid w:val="00D55521"/>
    <w:rsid w:val="00D56C41"/>
    <w:rsid w:val="00D57111"/>
    <w:rsid w:val="00D57344"/>
    <w:rsid w:val="00D5788F"/>
    <w:rsid w:val="00D6006A"/>
    <w:rsid w:val="00D60211"/>
    <w:rsid w:val="00D61F8D"/>
    <w:rsid w:val="00D63570"/>
    <w:rsid w:val="00D63E4E"/>
    <w:rsid w:val="00D6403F"/>
    <w:rsid w:val="00D64AA4"/>
    <w:rsid w:val="00D719B6"/>
    <w:rsid w:val="00D71CF8"/>
    <w:rsid w:val="00D742C5"/>
    <w:rsid w:val="00D75520"/>
    <w:rsid w:val="00D76059"/>
    <w:rsid w:val="00D769F8"/>
    <w:rsid w:val="00D77220"/>
    <w:rsid w:val="00D808B3"/>
    <w:rsid w:val="00D81A30"/>
    <w:rsid w:val="00D84DE8"/>
    <w:rsid w:val="00D85C3E"/>
    <w:rsid w:val="00D901F1"/>
    <w:rsid w:val="00D92090"/>
    <w:rsid w:val="00DA0DF3"/>
    <w:rsid w:val="00DA147B"/>
    <w:rsid w:val="00DA7DA4"/>
    <w:rsid w:val="00DB20F2"/>
    <w:rsid w:val="00DB23F4"/>
    <w:rsid w:val="00DB3648"/>
    <w:rsid w:val="00DB5C19"/>
    <w:rsid w:val="00DB7643"/>
    <w:rsid w:val="00DC0374"/>
    <w:rsid w:val="00DC073C"/>
    <w:rsid w:val="00DC1DE5"/>
    <w:rsid w:val="00DC2E17"/>
    <w:rsid w:val="00DC33F7"/>
    <w:rsid w:val="00DC6D7C"/>
    <w:rsid w:val="00DD51ED"/>
    <w:rsid w:val="00DD6B1E"/>
    <w:rsid w:val="00DE02EB"/>
    <w:rsid w:val="00DE0374"/>
    <w:rsid w:val="00DE1178"/>
    <w:rsid w:val="00DE3760"/>
    <w:rsid w:val="00DE6DB3"/>
    <w:rsid w:val="00DF007E"/>
    <w:rsid w:val="00DF142C"/>
    <w:rsid w:val="00DF194C"/>
    <w:rsid w:val="00DF218B"/>
    <w:rsid w:val="00DF228E"/>
    <w:rsid w:val="00DF2A95"/>
    <w:rsid w:val="00DF39C7"/>
    <w:rsid w:val="00DF3FF1"/>
    <w:rsid w:val="00DF5D15"/>
    <w:rsid w:val="00DF704C"/>
    <w:rsid w:val="00E00972"/>
    <w:rsid w:val="00E00EC1"/>
    <w:rsid w:val="00E014F5"/>
    <w:rsid w:val="00E02B9F"/>
    <w:rsid w:val="00E037B1"/>
    <w:rsid w:val="00E0605B"/>
    <w:rsid w:val="00E0653E"/>
    <w:rsid w:val="00E06D7D"/>
    <w:rsid w:val="00E07698"/>
    <w:rsid w:val="00E10CF8"/>
    <w:rsid w:val="00E11539"/>
    <w:rsid w:val="00E12A2A"/>
    <w:rsid w:val="00E132C7"/>
    <w:rsid w:val="00E14A96"/>
    <w:rsid w:val="00E179BD"/>
    <w:rsid w:val="00E24582"/>
    <w:rsid w:val="00E25B17"/>
    <w:rsid w:val="00E25FF6"/>
    <w:rsid w:val="00E2613B"/>
    <w:rsid w:val="00E32709"/>
    <w:rsid w:val="00E3402E"/>
    <w:rsid w:val="00E34366"/>
    <w:rsid w:val="00E36C51"/>
    <w:rsid w:val="00E3736B"/>
    <w:rsid w:val="00E37997"/>
    <w:rsid w:val="00E4580D"/>
    <w:rsid w:val="00E464C4"/>
    <w:rsid w:val="00E464EF"/>
    <w:rsid w:val="00E47427"/>
    <w:rsid w:val="00E52228"/>
    <w:rsid w:val="00E52721"/>
    <w:rsid w:val="00E52E24"/>
    <w:rsid w:val="00E55962"/>
    <w:rsid w:val="00E55CDC"/>
    <w:rsid w:val="00E55EA1"/>
    <w:rsid w:val="00E574FC"/>
    <w:rsid w:val="00E57978"/>
    <w:rsid w:val="00E60138"/>
    <w:rsid w:val="00E6051B"/>
    <w:rsid w:val="00E61706"/>
    <w:rsid w:val="00E617DE"/>
    <w:rsid w:val="00E62243"/>
    <w:rsid w:val="00E62C5E"/>
    <w:rsid w:val="00E632D1"/>
    <w:rsid w:val="00E65228"/>
    <w:rsid w:val="00E66C02"/>
    <w:rsid w:val="00E7086A"/>
    <w:rsid w:val="00E708A9"/>
    <w:rsid w:val="00E71060"/>
    <w:rsid w:val="00E75215"/>
    <w:rsid w:val="00E7531F"/>
    <w:rsid w:val="00E75BC4"/>
    <w:rsid w:val="00E75D5B"/>
    <w:rsid w:val="00E764A9"/>
    <w:rsid w:val="00E8064C"/>
    <w:rsid w:val="00E81908"/>
    <w:rsid w:val="00E81957"/>
    <w:rsid w:val="00E83244"/>
    <w:rsid w:val="00E84A45"/>
    <w:rsid w:val="00E84F2B"/>
    <w:rsid w:val="00E8522D"/>
    <w:rsid w:val="00E900A8"/>
    <w:rsid w:val="00E901BF"/>
    <w:rsid w:val="00E90386"/>
    <w:rsid w:val="00E937DB"/>
    <w:rsid w:val="00E94265"/>
    <w:rsid w:val="00E9546F"/>
    <w:rsid w:val="00E97590"/>
    <w:rsid w:val="00EA0C56"/>
    <w:rsid w:val="00EA1296"/>
    <w:rsid w:val="00EA3D3D"/>
    <w:rsid w:val="00EA52D5"/>
    <w:rsid w:val="00EA5CBF"/>
    <w:rsid w:val="00EB0CDF"/>
    <w:rsid w:val="00EB313B"/>
    <w:rsid w:val="00EB3B2D"/>
    <w:rsid w:val="00EB3EF3"/>
    <w:rsid w:val="00EB4807"/>
    <w:rsid w:val="00EC0F4D"/>
    <w:rsid w:val="00EC20E8"/>
    <w:rsid w:val="00EC3923"/>
    <w:rsid w:val="00EC7617"/>
    <w:rsid w:val="00EC7782"/>
    <w:rsid w:val="00EC7C50"/>
    <w:rsid w:val="00ED0F97"/>
    <w:rsid w:val="00ED2608"/>
    <w:rsid w:val="00ED78C6"/>
    <w:rsid w:val="00ED7FEE"/>
    <w:rsid w:val="00EE246B"/>
    <w:rsid w:val="00EE2C64"/>
    <w:rsid w:val="00EE3191"/>
    <w:rsid w:val="00EE4479"/>
    <w:rsid w:val="00EE4C6C"/>
    <w:rsid w:val="00EE5D7A"/>
    <w:rsid w:val="00EE5E2E"/>
    <w:rsid w:val="00EE5FB0"/>
    <w:rsid w:val="00EF0413"/>
    <w:rsid w:val="00EF144C"/>
    <w:rsid w:val="00EF214E"/>
    <w:rsid w:val="00EF281E"/>
    <w:rsid w:val="00EF4449"/>
    <w:rsid w:val="00EF6392"/>
    <w:rsid w:val="00EF7050"/>
    <w:rsid w:val="00EF7432"/>
    <w:rsid w:val="00F02D7D"/>
    <w:rsid w:val="00F02DA3"/>
    <w:rsid w:val="00F03D23"/>
    <w:rsid w:val="00F04462"/>
    <w:rsid w:val="00F0522E"/>
    <w:rsid w:val="00F05760"/>
    <w:rsid w:val="00F10337"/>
    <w:rsid w:val="00F12856"/>
    <w:rsid w:val="00F132D4"/>
    <w:rsid w:val="00F1484C"/>
    <w:rsid w:val="00F15074"/>
    <w:rsid w:val="00F15616"/>
    <w:rsid w:val="00F1562B"/>
    <w:rsid w:val="00F1564C"/>
    <w:rsid w:val="00F162BC"/>
    <w:rsid w:val="00F20AE9"/>
    <w:rsid w:val="00F211AB"/>
    <w:rsid w:val="00F21725"/>
    <w:rsid w:val="00F21F9C"/>
    <w:rsid w:val="00F22BAA"/>
    <w:rsid w:val="00F24100"/>
    <w:rsid w:val="00F24B65"/>
    <w:rsid w:val="00F25A2B"/>
    <w:rsid w:val="00F26538"/>
    <w:rsid w:val="00F316B9"/>
    <w:rsid w:val="00F3217B"/>
    <w:rsid w:val="00F35AB2"/>
    <w:rsid w:val="00F35E4A"/>
    <w:rsid w:val="00F36400"/>
    <w:rsid w:val="00F43EC1"/>
    <w:rsid w:val="00F467D9"/>
    <w:rsid w:val="00F47974"/>
    <w:rsid w:val="00F47BF5"/>
    <w:rsid w:val="00F506A9"/>
    <w:rsid w:val="00F52A95"/>
    <w:rsid w:val="00F56639"/>
    <w:rsid w:val="00F60170"/>
    <w:rsid w:val="00F61D14"/>
    <w:rsid w:val="00F6372A"/>
    <w:rsid w:val="00F637BB"/>
    <w:rsid w:val="00F63A68"/>
    <w:rsid w:val="00F644E9"/>
    <w:rsid w:val="00F71121"/>
    <w:rsid w:val="00F711C3"/>
    <w:rsid w:val="00F7213B"/>
    <w:rsid w:val="00F7426B"/>
    <w:rsid w:val="00F74F1A"/>
    <w:rsid w:val="00F801B0"/>
    <w:rsid w:val="00F80FE9"/>
    <w:rsid w:val="00F81867"/>
    <w:rsid w:val="00F81F80"/>
    <w:rsid w:val="00F82B8F"/>
    <w:rsid w:val="00F84956"/>
    <w:rsid w:val="00F85443"/>
    <w:rsid w:val="00F8545A"/>
    <w:rsid w:val="00F8701D"/>
    <w:rsid w:val="00F90852"/>
    <w:rsid w:val="00F91C70"/>
    <w:rsid w:val="00F91F2D"/>
    <w:rsid w:val="00F92615"/>
    <w:rsid w:val="00F92917"/>
    <w:rsid w:val="00F93780"/>
    <w:rsid w:val="00F941A2"/>
    <w:rsid w:val="00F95455"/>
    <w:rsid w:val="00F96036"/>
    <w:rsid w:val="00FA2182"/>
    <w:rsid w:val="00FA30A9"/>
    <w:rsid w:val="00FA4B2C"/>
    <w:rsid w:val="00FA5332"/>
    <w:rsid w:val="00FA679D"/>
    <w:rsid w:val="00FA72F6"/>
    <w:rsid w:val="00FB0E65"/>
    <w:rsid w:val="00FB18E0"/>
    <w:rsid w:val="00FB19BA"/>
    <w:rsid w:val="00FB35A1"/>
    <w:rsid w:val="00FB47F6"/>
    <w:rsid w:val="00FB5CC6"/>
    <w:rsid w:val="00FB67CF"/>
    <w:rsid w:val="00FB754C"/>
    <w:rsid w:val="00FC0303"/>
    <w:rsid w:val="00FC3AAD"/>
    <w:rsid w:val="00FC46BE"/>
    <w:rsid w:val="00FC5144"/>
    <w:rsid w:val="00FC5CA7"/>
    <w:rsid w:val="00FC7D5A"/>
    <w:rsid w:val="00FD14B0"/>
    <w:rsid w:val="00FD46E4"/>
    <w:rsid w:val="00FD498E"/>
    <w:rsid w:val="00FD51BF"/>
    <w:rsid w:val="00FD6642"/>
    <w:rsid w:val="00FD6AE9"/>
    <w:rsid w:val="00FE1E43"/>
    <w:rsid w:val="00FE560B"/>
    <w:rsid w:val="00FE69B3"/>
    <w:rsid w:val="00FE7587"/>
    <w:rsid w:val="00FF061B"/>
    <w:rsid w:val="00FF1879"/>
    <w:rsid w:val="00FF49B2"/>
    <w:rsid w:val="00FF53A9"/>
    <w:rsid w:val="00FF561A"/>
    <w:rsid w:val="00FF6766"/>
    <w:rsid w:val="00FF7A70"/>
    <w:rsid w:val="01460B89"/>
    <w:rsid w:val="017C5729"/>
    <w:rsid w:val="01A00D5F"/>
    <w:rsid w:val="01C84151"/>
    <w:rsid w:val="01CB2E1F"/>
    <w:rsid w:val="01D46F12"/>
    <w:rsid w:val="01DD3DF5"/>
    <w:rsid w:val="01E21926"/>
    <w:rsid w:val="01E435AE"/>
    <w:rsid w:val="01F55EAF"/>
    <w:rsid w:val="02087CD1"/>
    <w:rsid w:val="023F2AF7"/>
    <w:rsid w:val="023F4724"/>
    <w:rsid w:val="02601EBD"/>
    <w:rsid w:val="026C7D44"/>
    <w:rsid w:val="026E52C7"/>
    <w:rsid w:val="027201C7"/>
    <w:rsid w:val="027C0289"/>
    <w:rsid w:val="02950D80"/>
    <w:rsid w:val="02C35105"/>
    <w:rsid w:val="02D21AD6"/>
    <w:rsid w:val="02EC4461"/>
    <w:rsid w:val="02EE1D52"/>
    <w:rsid w:val="03052713"/>
    <w:rsid w:val="031C43C3"/>
    <w:rsid w:val="03335E64"/>
    <w:rsid w:val="0339293D"/>
    <w:rsid w:val="034C75FC"/>
    <w:rsid w:val="03501B72"/>
    <w:rsid w:val="035F4F50"/>
    <w:rsid w:val="036B5763"/>
    <w:rsid w:val="03832F87"/>
    <w:rsid w:val="039F5052"/>
    <w:rsid w:val="03AA3320"/>
    <w:rsid w:val="03EC0FF5"/>
    <w:rsid w:val="03FA2E6A"/>
    <w:rsid w:val="03FA3C61"/>
    <w:rsid w:val="041B7A17"/>
    <w:rsid w:val="042563CB"/>
    <w:rsid w:val="04874265"/>
    <w:rsid w:val="04951D08"/>
    <w:rsid w:val="049718D1"/>
    <w:rsid w:val="04AD0572"/>
    <w:rsid w:val="04BD4A3F"/>
    <w:rsid w:val="04CD4625"/>
    <w:rsid w:val="04D355B9"/>
    <w:rsid w:val="04DF31D4"/>
    <w:rsid w:val="04E21BDC"/>
    <w:rsid w:val="04FC6E6D"/>
    <w:rsid w:val="05074B32"/>
    <w:rsid w:val="050A70D0"/>
    <w:rsid w:val="05244497"/>
    <w:rsid w:val="054A494C"/>
    <w:rsid w:val="05540FF0"/>
    <w:rsid w:val="05635902"/>
    <w:rsid w:val="056B3C79"/>
    <w:rsid w:val="05730CFF"/>
    <w:rsid w:val="0588243D"/>
    <w:rsid w:val="05C1209D"/>
    <w:rsid w:val="05C36101"/>
    <w:rsid w:val="05EF6A99"/>
    <w:rsid w:val="05F91220"/>
    <w:rsid w:val="05FF3FD2"/>
    <w:rsid w:val="0618680C"/>
    <w:rsid w:val="062C445F"/>
    <w:rsid w:val="066F401C"/>
    <w:rsid w:val="067C2D0E"/>
    <w:rsid w:val="06807D9E"/>
    <w:rsid w:val="06882D4D"/>
    <w:rsid w:val="06977C9E"/>
    <w:rsid w:val="06BB0C80"/>
    <w:rsid w:val="07017C98"/>
    <w:rsid w:val="075F53F2"/>
    <w:rsid w:val="07604880"/>
    <w:rsid w:val="077D4687"/>
    <w:rsid w:val="077E2AA8"/>
    <w:rsid w:val="079741D1"/>
    <w:rsid w:val="079A754D"/>
    <w:rsid w:val="07A07AF8"/>
    <w:rsid w:val="07A12677"/>
    <w:rsid w:val="07B51A94"/>
    <w:rsid w:val="07CA5DBB"/>
    <w:rsid w:val="07FE569A"/>
    <w:rsid w:val="08025207"/>
    <w:rsid w:val="08185319"/>
    <w:rsid w:val="081F0E6A"/>
    <w:rsid w:val="08343D5C"/>
    <w:rsid w:val="083D2F6D"/>
    <w:rsid w:val="08427DCB"/>
    <w:rsid w:val="085D7177"/>
    <w:rsid w:val="087444D9"/>
    <w:rsid w:val="08C611ED"/>
    <w:rsid w:val="08CD7431"/>
    <w:rsid w:val="08DD3CE6"/>
    <w:rsid w:val="08EB3C9B"/>
    <w:rsid w:val="092A380C"/>
    <w:rsid w:val="09421373"/>
    <w:rsid w:val="094D16B8"/>
    <w:rsid w:val="094F100C"/>
    <w:rsid w:val="09736B0F"/>
    <w:rsid w:val="097C1EFD"/>
    <w:rsid w:val="09AE2075"/>
    <w:rsid w:val="09B40500"/>
    <w:rsid w:val="09E06D82"/>
    <w:rsid w:val="09F72939"/>
    <w:rsid w:val="09F92484"/>
    <w:rsid w:val="0A084A4F"/>
    <w:rsid w:val="0A33534A"/>
    <w:rsid w:val="0A7B30D2"/>
    <w:rsid w:val="0A8575BD"/>
    <w:rsid w:val="0A984F54"/>
    <w:rsid w:val="0AB2747E"/>
    <w:rsid w:val="0AB860AF"/>
    <w:rsid w:val="0AC016D2"/>
    <w:rsid w:val="0AC92377"/>
    <w:rsid w:val="0AE76EE6"/>
    <w:rsid w:val="0AF91721"/>
    <w:rsid w:val="0B19229A"/>
    <w:rsid w:val="0B474E53"/>
    <w:rsid w:val="0B7C604F"/>
    <w:rsid w:val="0B7F0B16"/>
    <w:rsid w:val="0B882027"/>
    <w:rsid w:val="0B8F0D1A"/>
    <w:rsid w:val="0B982852"/>
    <w:rsid w:val="0BA15626"/>
    <w:rsid w:val="0C224A08"/>
    <w:rsid w:val="0C482BE6"/>
    <w:rsid w:val="0C5C5B4D"/>
    <w:rsid w:val="0C5F0147"/>
    <w:rsid w:val="0C790246"/>
    <w:rsid w:val="0C8334E7"/>
    <w:rsid w:val="0CBD2C5E"/>
    <w:rsid w:val="0CDB6821"/>
    <w:rsid w:val="0CDF4CF5"/>
    <w:rsid w:val="0CE976D9"/>
    <w:rsid w:val="0CEC5E74"/>
    <w:rsid w:val="0D08638B"/>
    <w:rsid w:val="0D0903E5"/>
    <w:rsid w:val="0D303A88"/>
    <w:rsid w:val="0D3C53C5"/>
    <w:rsid w:val="0D4043B2"/>
    <w:rsid w:val="0D591FC3"/>
    <w:rsid w:val="0D6F7D05"/>
    <w:rsid w:val="0DB94CF1"/>
    <w:rsid w:val="0DBA1D5E"/>
    <w:rsid w:val="0DF46850"/>
    <w:rsid w:val="0DFF45C4"/>
    <w:rsid w:val="0E2D2AD5"/>
    <w:rsid w:val="0E3F080F"/>
    <w:rsid w:val="0E61688F"/>
    <w:rsid w:val="0E733003"/>
    <w:rsid w:val="0E7E5879"/>
    <w:rsid w:val="0E8E09A5"/>
    <w:rsid w:val="0EB138C1"/>
    <w:rsid w:val="0EB22598"/>
    <w:rsid w:val="0ED4693D"/>
    <w:rsid w:val="0ED61050"/>
    <w:rsid w:val="0EE011CB"/>
    <w:rsid w:val="0F0D4D3B"/>
    <w:rsid w:val="0F592D5C"/>
    <w:rsid w:val="0F7E7818"/>
    <w:rsid w:val="0F895F93"/>
    <w:rsid w:val="0F9A5332"/>
    <w:rsid w:val="0FA340E5"/>
    <w:rsid w:val="0FA376E5"/>
    <w:rsid w:val="0FB4197C"/>
    <w:rsid w:val="0FBC7ED3"/>
    <w:rsid w:val="0FD46AA8"/>
    <w:rsid w:val="0FD56DBB"/>
    <w:rsid w:val="0FDE2298"/>
    <w:rsid w:val="0FE03C3E"/>
    <w:rsid w:val="0FE7111F"/>
    <w:rsid w:val="0FEF1864"/>
    <w:rsid w:val="10086BC2"/>
    <w:rsid w:val="101B25E5"/>
    <w:rsid w:val="107176D1"/>
    <w:rsid w:val="10823EA5"/>
    <w:rsid w:val="1096308A"/>
    <w:rsid w:val="109D0C97"/>
    <w:rsid w:val="10B20D3D"/>
    <w:rsid w:val="10B52BA7"/>
    <w:rsid w:val="10DD5A17"/>
    <w:rsid w:val="10F93264"/>
    <w:rsid w:val="11012507"/>
    <w:rsid w:val="11013B78"/>
    <w:rsid w:val="11105A6B"/>
    <w:rsid w:val="1111121D"/>
    <w:rsid w:val="113A4337"/>
    <w:rsid w:val="11937442"/>
    <w:rsid w:val="11A02787"/>
    <w:rsid w:val="11AC048A"/>
    <w:rsid w:val="11E60462"/>
    <w:rsid w:val="11E66FDF"/>
    <w:rsid w:val="12175794"/>
    <w:rsid w:val="12230426"/>
    <w:rsid w:val="12335250"/>
    <w:rsid w:val="124C5208"/>
    <w:rsid w:val="124D097B"/>
    <w:rsid w:val="124F7AE7"/>
    <w:rsid w:val="126A32E5"/>
    <w:rsid w:val="128531C6"/>
    <w:rsid w:val="12A20630"/>
    <w:rsid w:val="12AB3C64"/>
    <w:rsid w:val="12C42799"/>
    <w:rsid w:val="12C47D3C"/>
    <w:rsid w:val="12C56763"/>
    <w:rsid w:val="12CF1390"/>
    <w:rsid w:val="12E430B9"/>
    <w:rsid w:val="12E678CA"/>
    <w:rsid w:val="12F96EB9"/>
    <w:rsid w:val="12FD7F5D"/>
    <w:rsid w:val="13696670"/>
    <w:rsid w:val="136F5C68"/>
    <w:rsid w:val="137E3AE3"/>
    <w:rsid w:val="13985BE7"/>
    <w:rsid w:val="139F572A"/>
    <w:rsid w:val="13B87163"/>
    <w:rsid w:val="13BE7D15"/>
    <w:rsid w:val="13C54F31"/>
    <w:rsid w:val="14061E9C"/>
    <w:rsid w:val="140F0824"/>
    <w:rsid w:val="143C0B0B"/>
    <w:rsid w:val="14533001"/>
    <w:rsid w:val="1465180A"/>
    <w:rsid w:val="148868ED"/>
    <w:rsid w:val="14A670A8"/>
    <w:rsid w:val="14AE57D4"/>
    <w:rsid w:val="14C443DB"/>
    <w:rsid w:val="14CC6A76"/>
    <w:rsid w:val="14E41207"/>
    <w:rsid w:val="150962AD"/>
    <w:rsid w:val="151611BB"/>
    <w:rsid w:val="152C168A"/>
    <w:rsid w:val="153955D7"/>
    <w:rsid w:val="155A6C7A"/>
    <w:rsid w:val="155C68E2"/>
    <w:rsid w:val="156912BA"/>
    <w:rsid w:val="15811294"/>
    <w:rsid w:val="158F3C2A"/>
    <w:rsid w:val="15BF6342"/>
    <w:rsid w:val="15C72EF2"/>
    <w:rsid w:val="16115614"/>
    <w:rsid w:val="161E7A72"/>
    <w:rsid w:val="16227EC5"/>
    <w:rsid w:val="163318CB"/>
    <w:rsid w:val="16497EF9"/>
    <w:rsid w:val="165068E6"/>
    <w:rsid w:val="16626E29"/>
    <w:rsid w:val="166B13D0"/>
    <w:rsid w:val="166B5E29"/>
    <w:rsid w:val="166D2D0A"/>
    <w:rsid w:val="167900C6"/>
    <w:rsid w:val="168B44D5"/>
    <w:rsid w:val="16921BB0"/>
    <w:rsid w:val="16EC08F3"/>
    <w:rsid w:val="17133B1C"/>
    <w:rsid w:val="17294A3A"/>
    <w:rsid w:val="174021F0"/>
    <w:rsid w:val="174325B4"/>
    <w:rsid w:val="17774EAF"/>
    <w:rsid w:val="177F69B0"/>
    <w:rsid w:val="17823169"/>
    <w:rsid w:val="17981120"/>
    <w:rsid w:val="17BB1EE3"/>
    <w:rsid w:val="17C33B44"/>
    <w:rsid w:val="17DB0306"/>
    <w:rsid w:val="17F478B1"/>
    <w:rsid w:val="17F824E6"/>
    <w:rsid w:val="17F90C5D"/>
    <w:rsid w:val="1809268C"/>
    <w:rsid w:val="18102CC8"/>
    <w:rsid w:val="1872719D"/>
    <w:rsid w:val="187E69A2"/>
    <w:rsid w:val="18876EC5"/>
    <w:rsid w:val="18D44A0D"/>
    <w:rsid w:val="18D66FD5"/>
    <w:rsid w:val="190303A1"/>
    <w:rsid w:val="19193710"/>
    <w:rsid w:val="1925556E"/>
    <w:rsid w:val="19382061"/>
    <w:rsid w:val="19436867"/>
    <w:rsid w:val="194D6508"/>
    <w:rsid w:val="19545781"/>
    <w:rsid w:val="196D2256"/>
    <w:rsid w:val="19867ECA"/>
    <w:rsid w:val="198B4865"/>
    <w:rsid w:val="19AF6909"/>
    <w:rsid w:val="19FD2332"/>
    <w:rsid w:val="19FD6DE5"/>
    <w:rsid w:val="1A4178E3"/>
    <w:rsid w:val="1A61291B"/>
    <w:rsid w:val="1A61562F"/>
    <w:rsid w:val="1A696439"/>
    <w:rsid w:val="1A6B7F6F"/>
    <w:rsid w:val="1A6F3F24"/>
    <w:rsid w:val="1A79379A"/>
    <w:rsid w:val="1A7F5144"/>
    <w:rsid w:val="1ABB266E"/>
    <w:rsid w:val="1ACC53FD"/>
    <w:rsid w:val="1B004756"/>
    <w:rsid w:val="1B0173E9"/>
    <w:rsid w:val="1B256183"/>
    <w:rsid w:val="1B9405AB"/>
    <w:rsid w:val="1BA92748"/>
    <w:rsid w:val="1BBB2CDB"/>
    <w:rsid w:val="1BEA0F4E"/>
    <w:rsid w:val="1BEA36A4"/>
    <w:rsid w:val="1BF03E04"/>
    <w:rsid w:val="1BF322AE"/>
    <w:rsid w:val="1BF509B8"/>
    <w:rsid w:val="1C0A4F78"/>
    <w:rsid w:val="1C0D445B"/>
    <w:rsid w:val="1C187F74"/>
    <w:rsid w:val="1C491265"/>
    <w:rsid w:val="1C651670"/>
    <w:rsid w:val="1CC32870"/>
    <w:rsid w:val="1CC924E4"/>
    <w:rsid w:val="1CE023A9"/>
    <w:rsid w:val="1CE03952"/>
    <w:rsid w:val="1D0E1A6B"/>
    <w:rsid w:val="1D137B68"/>
    <w:rsid w:val="1D3F4D2E"/>
    <w:rsid w:val="1D420059"/>
    <w:rsid w:val="1D5A30C5"/>
    <w:rsid w:val="1D5E5D81"/>
    <w:rsid w:val="1D69418F"/>
    <w:rsid w:val="1D6A4E4D"/>
    <w:rsid w:val="1D872DE7"/>
    <w:rsid w:val="1D986C14"/>
    <w:rsid w:val="1D9A2992"/>
    <w:rsid w:val="1DB575DD"/>
    <w:rsid w:val="1DC75163"/>
    <w:rsid w:val="1DFA304F"/>
    <w:rsid w:val="1E080B2E"/>
    <w:rsid w:val="1E2346CC"/>
    <w:rsid w:val="1E251450"/>
    <w:rsid w:val="1E2E2364"/>
    <w:rsid w:val="1E4F628A"/>
    <w:rsid w:val="1E615A91"/>
    <w:rsid w:val="1E694806"/>
    <w:rsid w:val="1E6E5A29"/>
    <w:rsid w:val="1E7E3C6A"/>
    <w:rsid w:val="1E8D72E7"/>
    <w:rsid w:val="1E956C42"/>
    <w:rsid w:val="1E9926B1"/>
    <w:rsid w:val="1EA42E41"/>
    <w:rsid w:val="1EBE36E2"/>
    <w:rsid w:val="1ED428AC"/>
    <w:rsid w:val="1EE267C9"/>
    <w:rsid w:val="1F152BAF"/>
    <w:rsid w:val="1F155F2C"/>
    <w:rsid w:val="1F5031C3"/>
    <w:rsid w:val="1F550389"/>
    <w:rsid w:val="1F5936DF"/>
    <w:rsid w:val="1F5F6CE0"/>
    <w:rsid w:val="1F6773AC"/>
    <w:rsid w:val="1F9D3301"/>
    <w:rsid w:val="1FAD73CB"/>
    <w:rsid w:val="1FB656B6"/>
    <w:rsid w:val="1FBD5008"/>
    <w:rsid w:val="1FD13B2F"/>
    <w:rsid w:val="1FD2383E"/>
    <w:rsid w:val="1FD90243"/>
    <w:rsid w:val="1FF321A7"/>
    <w:rsid w:val="1FF476A2"/>
    <w:rsid w:val="20257B94"/>
    <w:rsid w:val="20331D82"/>
    <w:rsid w:val="203B0B57"/>
    <w:rsid w:val="20427C39"/>
    <w:rsid w:val="206613C1"/>
    <w:rsid w:val="2074231C"/>
    <w:rsid w:val="2077455F"/>
    <w:rsid w:val="2096499C"/>
    <w:rsid w:val="20CB5C4C"/>
    <w:rsid w:val="20D34687"/>
    <w:rsid w:val="20E971A6"/>
    <w:rsid w:val="20EC4A22"/>
    <w:rsid w:val="210D605B"/>
    <w:rsid w:val="211D521D"/>
    <w:rsid w:val="21236D0D"/>
    <w:rsid w:val="21374447"/>
    <w:rsid w:val="21550C40"/>
    <w:rsid w:val="216F214E"/>
    <w:rsid w:val="2172345E"/>
    <w:rsid w:val="21747ECF"/>
    <w:rsid w:val="2176719E"/>
    <w:rsid w:val="218521D1"/>
    <w:rsid w:val="2190459B"/>
    <w:rsid w:val="21BF657D"/>
    <w:rsid w:val="21C645B7"/>
    <w:rsid w:val="21D861C6"/>
    <w:rsid w:val="21E41A23"/>
    <w:rsid w:val="21FD05D2"/>
    <w:rsid w:val="221E175B"/>
    <w:rsid w:val="222E552F"/>
    <w:rsid w:val="22450B88"/>
    <w:rsid w:val="22490EBB"/>
    <w:rsid w:val="22627950"/>
    <w:rsid w:val="226C167D"/>
    <w:rsid w:val="22835CF3"/>
    <w:rsid w:val="22973ED5"/>
    <w:rsid w:val="22A87CC1"/>
    <w:rsid w:val="22C12E31"/>
    <w:rsid w:val="22FE3A14"/>
    <w:rsid w:val="2324533D"/>
    <w:rsid w:val="233A71A8"/>
    <w:rsid w:val="2347594B"/>
    <w:rsid w:val="23664E49"/>
    <w:rsid w:val="239715F3"/>
    <w:rsid w:val="23A33F3B"/>
    <w:rsid w:val="23B24AE2"/>
    <w:rsid w:val="23CB5DC9"/>
    <w:rsid w:val="23D03992"/>
    <w:rsid w:val="24012AC4"/>
    <w:rsid w:val="24054DC1"/>
    <w:rsid w:val="240B40B9"/>
    <w:rsid w:val="24165768"/>
    <w:rsid w:val="241D6F90"/>
    <w:rsid w:val="243F1008"/>
    <w:rsid w:val="24700E46"/>
    <w:rsid w:val="247B2FB4"/>
    <w:rsid w:val="24816F02"/>
    <w:rsid w:val="24954F08"/>
    <w:rsid w:val="249B705D"/>
    <w:rsid w:val="24A139E4"/>
    <w:rsid w:val="24DC7FD2"/>
    <w:rsid w:val="24E662CE"/>
    <w:rsid w:val="24E72569"/>
    <w:rsid w:val="24F86731"/>
    <w:rsid w:val="25247028"/>
    <w:rsid w:val="253E52BF"/>
    <w:rsid w:val="25417F9F"/>
    <w:rsid w:val="256F0E7D"/>
    <w:rsid w:val="25A451AE"/>
    <w:rsid w:val="25AC04D7"/>
    <w:rsid w:val="25CD7864"/>
    <w:rsid w:val="26163D1B"/>
    <w:rsid w:val="261A5420"/>
    <w:rsid w:val="26203667"/>
    <w:rsid w:val="262F078F"/>
    <w:rsid w:val="264B4221"/>
    <w:rsid w:val="265035B2"/>
    <w:rsid w:val="26672471"/>
    <w:rsid w:val="268A62EA"/>
    <w:rsid w:val="26A2250C"/>
    <w:rsid w:val="26C664C4"/>
    <w:rsid w:val="26CA6E72"/>
    <w:rsid w:val="26DC30EA"/>
    <w:rsid w:val="26E43F1A"/>
    <w:rsid w:val="27241260"/>
    <w:rsid w:val="272D79FD"/>
    <w:rsid w:val="274C2E33"/>
    <w:rsid w:val="27643FD3"/>
    <w:rsid w:val="27735DAF"/>
    <w:rsid w:val="27937B8C"/>
    <w:rsid w:val="279C76CE"/>
    <w:rsid w:val="27A40709"/>
    <w:rsid w:val="27A73183"/>
    <w:rsid w:val="27AB2637"/>
    <w:rsid w:val="27AC7617"/>
    <w:rsid w:val="27B61B6E"/>
    <w:rsid w:val="27BD2561"/>
    <w:rsid w:val="27C11D61"/>
    <w:rsid w:val="27C66A1E"/>
    <w:rsid w:val="27E00BAE"/>
    <w:rsid w:val="27E018B3"/>
    <w:rsid w:val="28145450"/>
    <w:rsid w:val="28477B28"/>
    <w:rsid w:val="2868081D"/>
    <w:rsid w:val="287175F4"/>
    <w:rsid w:val="28981790"/>
    <w:rsid w:val="28DA3ED8"/>
    <w:rsid w:val="28DB4170"/>
    <w:rsid w:val="290B4A63"/>
    <w:rsid w:val="292326D8"/>
    <w:rsid w:val="29297215"/>
    <w:rsid w:val="29416E7E"/>
    <w:rsid w:val="29731D25"/>
    <w:rsid w:val="297B6553"/>
    <w:rsid w:val="298E6CF1"/>
    <w:rsid w:val="29AC616E"/>
    <w:rsid w:val="29B228CE"/>
    <w:rsid w:val="29C500C2"/>
    <w:rsid w:val="29F50734"/>
    <w:rsid w:val="29FD1CC8"/>
    <w:rsid w:val="2A0D6B9A"/>
    <w:rsid w:val="2A1305CB"/>
    <w:rsid w:val="2A392309"/>
    <w:rsid w:val="2A447D78"/>
    <w:rsid w:val="2A4647A7"/>
    <w:rsid w:val="2A4B7442"/>
    <w:rsid w:val="2A507D11"/>
    <w:rsid w:val="2A69409D"/>
    <w:rsid w:val="2A6E6F55"/>
    <w:rsid w:val="2A700888"/>
    <w:rsid w:val="2A7A5CD5"/>
    <w:rsid w:val="2A883B25"/>
    <w:rsid w:val="2ABE3495"/>
    <w:rsid w:val="2AE02FE7"/>
    <w:rsid w:val="2B4B6DE2"/>
    <w:rsid w:val="2BBE3A9F"/>
    <w:rsid w:val="2BFF1831"/>
    <w:rsid w:val="2C0E3E36"/>
    <w:rsid w:val="2C0E4260"/>
    <w:rsid w:val="2C350B1D"/>
    <w:rsid w:val="2C4A362B"/>
    <w:rsid w:val="2C7D79F1"/>
    <w:rsid w:val="2C806A9A"/>
    <w:rsid w:val="2C870705"/>
    <w:rsid w:val="2C8C19C9"/>
    <w:rsid w:val="2CAC70C4"/>
    <w:rsid w:val="2CCD27C7"/>
    <w:rsid w:val="2CE87E6C"/>
    <w:rsid w:val="2CF962FC"/>
    <w:rsid w:val="2D0E14E6"/>
    <w:rsid w:val="2D202EBD"/>
    <w:rsid w:val="2D206678"/>
    <w:rsid w:val="2D415AB5"/>
    <w:rsid w:val="2D562E88"/>
    <w:rsid w:val="2D5F6D65"/>
    <w:rsid w:val="2D631219"/>
    <w:rsid w:val="2D665547"/>
    <w:rsid w:val="2D9B22D6"/>
    <w:rsid w:val="2D9D7BE5"/>
    <w:rsid w:val="2DC06CDD"/>
    <w:rsid w:val="2DC50F68"/>
    <w:rsid w:val="2DDF1D6A"/>
    <w:rsid w:val="2DF10DAD"/>
    <w:rsid w:val="2DF67CF2"/>
    <w:rsid w:val="2E020B75"/>
    <w:rsid w:val="2E18767C"/>
    <w:rsid w:val="2E2C36E3"/>
    <w:rsid w:val="2E4F7AFB"/>
    <w:rsid w:val="2E661312"/>
    <w:rsid w:val="2E88002D"/>
    <w:rsid w:val="2E8A6FEE"/>
    <w:rsid w:val="2E986C5E"/>
    <w:rsid w:val="2EBE64D6"/>
    <w:rsid w:val="2EC06F2B"/>
    <w:rsid w:val="2EC94BCB"/>
    <w:rsid w:val="2ECD6F74"/>
    <w:rsid w:val="2EDD46C7"/>
    <w:rsid w:val="2EE34A96"/>
    <w:rsid w:val="2EF44B81"/>
    <w:rsid w:val="2F050D5B"/>
    <w:rsid w:val="2F226464"/>
    <w:rsid w:val="2F2B1E99"/>
    <w:rsid w:val="2F2C0F7E"/>
    <w:rsid w:val="2F473735"/>
    <w:rsid w:val="2F7013C3"/>
    <w:rsid w:val="2F7C3966"/>
    <w:rsid w:val="2F8E1DD9"/>
    <w:rsid w:val="2F9926E3"/>
    <w:rsid w:val="2FA75733"/>
    <w:rsid w:val="2FBF706C"/>
    <w:rsid w:val="2FC8493A"/>
    <w:rsid w:val="2FF161E3"/>
    <w:rsid w:val="2FFB1AE4"/>
    <w:rsid w:val="30027D2A"/>
    <w:rsid w:val="302460CD"/>
    <w:rsid w:val="302A63A2"/>
    <w:rsid w:val="302B605D"/>
    <w:rsid w:val="305D5DD5"/>
    <w:rsid w:val="308229F5"/>
    <w:rsid w:val="3089578C"/>
    <w:rsid w:val="30AA38C5"/>
    <w:rsid w:val="30B107C0"/>
    <w:rsid w:val="310C06BA"/>
    <w:rsid w:val="31185E4E"/>
    <w:rsid w:val="3122063B"/>
    <w:rsid w:val="31433AB4"/>
    <w:rsid w:val="31873531"/>
    <w:rsid w:val="318F3008"/>
    <w:rsid w:val="31B05A44"/>
    <w:rsid w:val="31BC52B2"/>
    <w:rsid w:val="31DB0CFF"/>
    <w:rsid w:val="31E57B9B"/>
    <w:rsid w:val="32110B36"/>
    <w:rsid w:val="32134308"/>
    <w:rsid w:val="32400C2B"/>
    <w:rsid w:val="32561AC7"/>
    <w:rsid w:val="32680F91"/>
    <w:rsid w:val="32737900"/>
    <w:rsid w:val="32887E2C"/>
    <w:rsid w:val="32B44336"/>
    <w:rsid w:val="32BC4556"/>
    <w:rsid w:val="32D161F9"/>
    <w:rsid w:val="32DC2B33"/>
    <w:rsid w:val="330D4C0B"/>
    <w:rsid w:val="332137D7"/>
    <w:rsid w:val="33407F17"/>
    <w:rsid w:val="33460DBE"/>
    <w:rsid w:val="336C0D0E"/>
    <w:rsid w:val="338C7B1D"/>
    <w:rsid w:val="33A31C42"/>
    <w:rsid w:val="33B1795E"/>
    <w:rsid w:val="33BB0EC8"/>
    <w:rsid w:val="33D63C80"/>
    <w:rsid w:val="33D87752"/>
    <w:rsid w:val="33DF1C27"/>
    <w:rsid w:val="340500D9"/>
    <w:rsid w:val="341A517D"/>
    <w:rsid w:val="342617D6"/>
    <w:rsid w:val="34547FC3"/>
    <w:rsid w:val="34646EEC"/>
    <w:rsid w:val="346966C9"/>
    <w:rsid w:val="346E7E63"/>
    <w:rsid w:val="34717FB1"/>
    <w:rsid w:val="347A58DA"/>
    <w:rsid w:val="348E04A0"/>
    <w:rsid w:val="34956C13"/>
    <w:rsid w:val="349D043E"/>
    <w:rsid w:val="34BA37F6"/>
    <w:rsid w:val="34E171D1"/>
    <w:rsid w:val="34EA50C0"/>
    <w:rsid w:val="34F8393B"/>
    <w:rsid w:val="34FC2DD2"/>
    <w:rsid w:val="35621829"/>
    <w:rsid w:val="357717A2"/>
    <w:rsid w:val="35BE18A4"/>
    <w:rsid w:val="35C029C7"/>
    <w:rsid w:val="35C13F02"/>
    <w:rsid w:val="35C956A5"/>
    <w:rsid w:val="35D97CAC"/>
    <w:rsid w:val="35E17E7C"/>
    <w:rsid w:val="360367A2"/>
    <w:rsid w:val="36354E95"/>
    <w:rsid w:val="364C296A"/>
    <w:rsid w:val="367272B8"/>
    <w:rsid w:val="36731438"/>
    <w:rsid w:val="3687157C"/>
    <w:rsid w:val="369F67B2"/>
    <w:rsid w:val="36B216E6"/>
    <w:rsid w:val="36B25D14"/>
    <w:rsid w:val="36E52AEB"/>
    <w:rsid w:val="36E95363"/>
    <w:rsid w:val="36F70EEA"/>
    <w:rsid w:val="37113169"/>
    <w:rsid w:val="371A2819"/>
    <w:rsid w:val="3729310F"/>
    <w:rsid w:val="372F19A1"/>
    <w:rsid w:val="373049C4"/>
    <w:rsid w:val="3736213D"/>
    <w:rsid w:val="37620449"/>
    <w:rsid w:val="37835B23"/>
    <w:rsid w:val="37DC3CE6"/>
    <w:rsid w:val="382058FD"/>
    <w:rsid w:val="382A2A41"/>
    <w:rsid w:val="38353CDE"/>
    <w:rsid w:val="38362637"/>
    <w:rsid w:val="38443AC5"/>
    <w:rsid w:val="38551706"/>
    <w:rsid w:val="38772516"/>
    <w:rsid w:val="3886446D"/>
    <w:rsid w:val="38A70D35"/>
    <w:rsid w:val="38B16CBE"/>
    <w:rsid w:val="38C0269E"/>
    <w:rsid w:val="38C43FF4"/>
    <w:rsid w:val="38C95297"/>
    <w:rsid w:val="38D9546E"/>
    <w:rsid w:val="38EF77E6"/>
    <w:rsid w:val="38F00297"/>
    <w:rsid w:val="38F87B90"/>
    <w:rsid w:val="39070D0E"/>
    <w:rsid w:val="390D4BE4"/>
    <w:rsid w:val="39411756"/>
    <w:rsid w:val="395C1162"/>
    <w:rsid w:val="39664275"/>
    <w:rsid w:val="397521B1"/>
    <w:rsid w:val="3978564E"/>
    <w:rsid w:val="397A68B4"/>
    <w:rsid w:val="39830DAC"/>
    <w:rsid w:val="399C1162"/>
    <w:rsid w:val="399F181E"/>
    <w:rsid w:val="39C3215E"/>
    <w:rsid w:val="39C562F0"/>
    <w:rsid w:val="39D57E56"/>
    <w:rsid w:val="39F3003B"/>
    <w:rsid w:val="3A14459A"/>
    <w:rsid w:val="3A5313E2"/>
    <w:rsid w:val="3A540249"/>
    <w:rsid w:val="3A5735E6"/>
    <w:rsid w:val="3A6474F5"/>
    <w:rsid w:val="3A785120"/>
    <w:rsid w:val="3A8450B0"/>
    <w:rsid w:val="3AAE60AC"/>
    <w:rsid w:val="3ADF0A41"/>
    <w:rsid w:val="3B094EEC"/>
    <w:rsid w:val="3B18197E"/>
    <w:rsid w:val="3B236509"/>
    <w:rsid w:val="3B29546C"/>
    <w:rsid w:val="3B2A7C46"/>
    <w:rsid w:val="3B441F7E"/>
    <w:rsid w:val="3B500B09"/>
    <w:rsid w:val="3B6A6F33"/>
    <w:rsid w:val="3B7A3AB8"/>
    <w:rsid w:val="3B7C198F"/>
    <w:rsid w:val="3B934243"/>
    <w:rsid w:val="3BE956A6"/>
    <w:rsid w:val="3BE97731"/>
    <w:rsid w:val="3C057BCF"/>
    <w:rsid w:val="3C072505"/>
    <w:rsid w:val="3C1E6330"/>
    <w:rsid w:val="3C437605"/>
    <w:rsid w:val="3C62430B"/>
    <w:rsid w:val="3C662FF8"/>
    <w:rsid w:val="3C826DC0"/>
    <w:rsid w:val="3C8D6D01"/>
    <w:rsid w:val="3C905521"/>
    <w:rsid w:val="3CA17846"/>
    <w:rsid w:val="3CCA2C61"/>
    <w:rsid w:val="3CE97714"/>
    <w:rsid w:val="3D390BA3"/>
    <w:rsid w:val="3D4172A3"/>
    <w:rsid w:val="3D5943FA"/>
    <w:rsid w:val="3D5A000F"/>
    <w:rsid w:val="3D6C3AF1"/>
    <w:rsid w:val="3D9460E8"/>
    <w:rsid w:val="3DA87FC6"/>
    <w:rsid w:val="3DDD5B70"/>
    <w:rsid w:val="3DF9323A"/>
    <w:rsid w:val="3E013F52"/>
    <w:rsid w:val="3E316AE4"/>
    <w:rsid w:val="3E442FCE"/>
    <w:rsid w:val="3E5A36A4"/>
    <w:rsid w:val="3E5B06E3"/>
    <w:rsid w:val="3E616854"/>
    <w:rsid w:val="3E663274"/>
    <w:rsid w:val="3E6D764C"/>
    <w:rsid w:val="3E783E76"/>
    <w:rsid w:val="3EA95753"/>
    <w:rsid w:val="3EAB4E4B"/>
    <w:rsid w:val="3EB167C5"/>
    <w:rsid w:val="3EBF0157"/>
    <w:rsid w:val="3EC86D89"/>
    <w:rsid w:val="3EE44C3A"/>
    <w:rsid w:val="3EF40CC4"/>
    <w:rsid w:val="3F032CAD"/>
    <w:rsid w:val="3F162FDE"/>
    <w:rsid w:val="3F2F1204"/>
    <w:rsid w:val="3F4D3010"/>
    <w:rsid w:val="3F53265F"/>
    <w:rsid w:val="3F611D11"/>
    <w:rsid w:val="3F762BD7"/>
    <w:rsid w:val="3F882B96"/>
    <w:rsid w:val="3F93424D"/>
    <w:rsid w:val="3F9E6472"/>
    <w:rsid w:val="3FBF5071"/>
    <w:rsid w:val="3FEB0FCB"/>
    <w:rsid w:val="3FFA1B80"/>
    <w:rsid w:val="400B7146"/>
    <w:rsid w:val="403534C4"/>
    <w:rsid w:val="403777ED"/>
    <w:rsid w:val="405074E1"/>
    <w:rsid w:val="40592CE8"/>
    <w:rsid w:val="406D601B"/>
    <w:rsid w:val="40B64E62"/>
    <w:rsid w:val="40BD0139"/>
    <w:rsid w:val="40E12DF7"/>
    <w:rsid w:val="40FE3C9E"/>
    <w:rsid w:val="41065081"/>
    <w:rsid w:val="413976A7"/>
    <w:rsid w:val="41567B5E"/>
    <w:rsid w:val="4160685E"/>
    <w:rsid w:val="41780D7F"/>
    <w:rsid w:val="41C63FE5"/>
    <w:rsid w:val="41CF6FBD"/>
    <w:rsid w:val="41D15662"/>
    <w:rsid w:val="41FB5AD1"/>
    <w:rsid w:val="42151C08"/>
    <w:rsid w:val="42227F4F"/>
    <w:rsid w:val="42673235"/>
    <w:rsid w:val="426D0F08"/>
    <w:rsid w:val="42834591"/>
    <w:rsid w:val="42A46C79"/>
    <w:rsid w:val="42AB1CB9"/>
    <w:rsid w:val="42CE5E89"/>
    <w:rsid w:val="42DB2A42"/>
    <w:rsid w:val="42E531C2"/>
    <w:rsid w:val="42E970FC"/>
    <w:rsid w:val="43357C05"/>
    <w:rsid w:val="434E641E"/>
    <w:rsid w:val="43560B8E"/>
    <w:rsid w:val="43773836"/>
    <w:rsid w:val="43776D79"/>
    <w:rsid w:val="43911C44"/>
    <w:rsid w:val="43961110"/>
    <w:rsid w:val="439A36E0"/>
    <w:rsid w:val="43B50136"/>
    <w:rsid w:val="43BC6A83"/>
    <w:rsid w:val="43D45D6A"/>
    <w:rsid w:val="44010850"/>
    <w:rsid w:val="44143C90"/>
    <w:rsid w:val="441E0342"/>
    <w:rsid w:val="44312165"/>
    <w:rsid w:val="4466145A"/>
    <w:rsid w:val="448A0028"/>
    <w:rsid w:val="44D33D50"/>
    <w:rsid w:val="44DA12A5"/>
    <w:rsid w:val="44E346A3"/>
    <w:rsid w:val="44E56097"/>
    <w:rsid w:val="44FC0305"/>
    <w:rsid w:val="44FE1612"/>
    <w:rsid w:val="45046B1F"/>
    <w:rsid w:val="45211DF4"/>
    <w:rsid w:val="452B355B"/>
    <w:rsid w:val="456220B4"/>
    <w:rsid w:val="45786CAB"/>
    <w:rsid w:val="4580714D"/>
    <w:rsid w:val="458D553A"/>
    <w:rsid w:val="458F0F9A"/>
    <w:rsid w:val="45AC4A3C"/>
    <w:rsid w:val="45BA7528"/>
    <w:rsid w:val="45CF358F"/>
    <w:rsid w:val="461457C2"/>
    <w:rsid w:val="4666592E"/>
    <w:rsid w:val="469A2328"/>
    <w:rsid w:val="46B8607D"/>
    <w:rsid w:val="46BA5C18"/>
    <w:rsid w:val="46BD61DD"/>
    <w:rsid w:val="46C47046"/>
    <w:rsid w:val="46D02257"/>
    <w:rsid w:val="470D5936"/>
    <w:rsid w:val="4725300B"/>
    <w:rsid w:val="475057CE"/>
    <w:rsid w:val="47660510"/>
    <w:rsid w:val="47673213"/>
    <w:rsid w:val="47675AF2"/>
    <w:rsid w:val="476F4759"/>
    <w:rsid w:val="477957C9"/>
    <w:rsid w:val="4791153C"/>
    <w:rsid w:val="47945474"/>
    <w:rsid w:val="47A213C0"/>
    <w:rsid w:val="47D6679C"/>
    <w:rsid w:val="47FC1AB6"/>
    <w:rsid w:val="481A62D7"/>
    <w:rsid w:val="48346E5E"/>
    <w:rsid w:val="48361DEC"/>
    <w:rsid w:val="484E5178"/>
    <w:rsid w:val="48552B5C"/>
    <w:rsid w:val="4864151F"/>
    <w:rsid w:val="48697FDB"/>
    <w:rsid w:val="48817F68"/>
    <w:rsid w:val="48857E11"/>
    <w:rsid w:val="48A677C6"/>
    <w:rsid w:val="48E60264"/>
    <w:rsid w:val="48F600DF"/>
    <w:rsid w:val="490623FE"/>
    <w:rsid w:val="490C5ABA"/>
    <w:rsid w:val="49152650"/>
    <w:rsid w:val="491827E9"/>
    <w:rsid w:val="492A1264"/>
    <w:rsid w:val="495E4149"/>
    <w:rsid w:val="495F1E10"/>
    <w:rsid w:val="496C2A51"/>
    <w:rsid w:val="497D0C9E"/>
    <w:rsid w:val="498A06EC"/>
    <w:rsid w:val="498D2AEF"/>
    <w:rsid w:val="49AC5932"/>
    <w:rsid w:val="49E044C0"/>
    <w:rsid w:val="4A2A3476"/>
    <w:rsid w:val="4A4614D2"/>
    <w:rsid w:val="4A571ED4"/>
    <w:rsid w:val="4A5E004B"/>
    <w:rsid w:val="4A627AA2"/>
    <w:rsid w:val="4A793CD9"/>
    <w:rsid w:val="4A881AED"/>
    <w:rsid w:val="4A942A84"/>
    <w:rsid w:val="4AAC19DB"/>
    <w:rsid w:val="4ABB124F"/>
    <w:rsid w:val="4AC20577"/>
    <w:rsid w:val="4AC41647"/>
    <w:rsid w:val="4AC83947"/>
    <w:rsid w:val="4AD2087C"/>
    <w:rsid w:val="4AFE23B3"/>
    <w:rsid w:val="4AFE6D48"/>
    <w:rsid w:val="4B182ACF"/>
    <w:rsid w:val="4B235859"/>
    <w:rsid w:val="4B336008"/>
    <w:rsid w:val="4B6F4E60"/>
    <w:rsid w:val="4B8E487A"/>
    <w:rsid w:val="4B924746"/>
    <w:rsid w:val="4B9349CA"/>
    <w:rsid w:val="4BA16ECB"/>
    <w:rsid w:val="4BD032D2"/>
    <w:rsid w:val="4BF35031"/>
    <w:rsid w:val="4C192F42"/>
    <w:rsid w:val="4C1D5CCC"/>
    <w:rsid w:val="4C1E606E"/>
    <w:rsid w:val="4C600ED9"/>
    <w:rsid w:val="4C7403DD"/>
    <w:rsid w:val="4C8F34F1"/>
    <w:rsid w:val="4C9C7FFC"/>
    <w:rsid w:val="4CA111C5"/>
    <w:rsid w:val="4CAF1383"/>
    <w:rsid w:val="4CAF18DA"/>
    <w:rsid w:val="4CAF3E7D"/>
    <w:rsid w:val="4CB2471A"/>
    <w:rsid w:val="4CB4001D"/>
    <w:rsid w:val="4CF20E3F"/>
    <w:rsid w:val="4D001656"/>
    <w:rsid w:val="4D151785"/>
    <w:rsid w:val="4D1D4A1C"/>
    <w:rsid w:val="4D292580"/>
    <w:rsid w:val="4D3B0963"/>
    <w:rsid w:val="4D572582"/>
    <w:rsid w:val="4D60514A"/>
    <w:rsid w:val="4D6872A3"/>
    <w:rsid w:val="4D910D7C"/>
    <w:rsid w:val="4DAE0D40"/>
    <w:rsid w:val="4DB85332"/>
    <w:rsid w:val="4DDC74B8"/>
    <w:rsid w:val="4DDE70A0"/>
    <w:rsid w:val="4DE1374A"/>
    <w:rsid w:val="4DEF1731"/>
    <w:rsid w:val="4DF5220F"/>
    <w:rsid w:val="4E0478F8"/>
    <w:rsid w:val="4E0605C8"/>
    <w:rsid w:val="4E0B070A"/>
    <w:rsid w:val="4E0D274F"/>
    <w:rsid w:val="4E2F7339"/>
    <w:rsid w:val="4E3F1CFB"/>
    <w:rsid w:val="4E467BD9"/>
    <w:rsid w:val="4E7506EF"/>
    <w:rsid w:val="4E75320A"/>
    <w:rsid w:val="4E850ED5"/>
    <w:rsid w:val="4E935F1F"/>
    <w:rsid w:val="4EB67071"/>
    <w:rsid w:val="4EE26BB0"/>
    <w:rsid w:val="4EE61AB4"/>
    <w:rsid w:val="4EF343E0"/>
    <w:rsid w:val="4F02697B"/>
    <w:rsid w:val="4F193D44"/>
    <w:rsid w:val="4F1E1075"/>
    <w:rsid w:val="4F204A26"/>
    <w:rsid w:val="4F245B3A"/>
    <w:rsid w:val="4F391E55"/>
    <w:rsid w:val="4F3B2134"/>
    <w:rsid w:val="4F6908AE"/>
    <w:rsid w:val="4F6E5EEA"/>
    <w:rsid w:val="4F7E19D0"/>
    <w:rsid w:val="4F883250"/>
    <w:rsid w:val="4FAE2740"/>
    <w:rsid w:val="4FBD3EA2"/>
    <w:rsid w:val="4FF305DF"/>
    <w:rsid w:val="4FF72975"/>
    <w:rsid w:val="50035F55"/>
    <w:rsid w:val="500A45BF"/>
    <w:rsid w:val="50362240"/>
    <w:rsid w:val="5056601A"/>
    <w:rsid w:val="50741A17"/>
    <w:rsid w:val="50AC3321"/>
    <w:rsid w:val="50B70511"/>
    <w:rsid w:val="50BA5802"/>
    <w:rsid w:val="50D43A3A"/>
    <w:rsid w:val="50E240EF"/>
    <w:rsid w:val="511E6774"/>
    <w:rsid w:val="514378BB"/>
    <w:rsid w:val="514E7AEA"/>
    <w:rsid w:val="514F4A9B"/>
    <w:rsid w:val="517345EB"/>
    <w:rsid w:val="517768C1"/>
    <w:rsid w:val="517C4147"/>
    <w:rsid w:val="51927B90"/>
    <w:rsid w:val="519D34D7"/>
    <w:rsid w:val="51C16F6A"/>
    <w:rsid w:val="51C24DA4"/>
    <w:rsid w:val="51D90531"/>
    <w:rsid w:val="51E45111"/>
    <w:rsid w:val="51FA2D99"/>
    <w:rsid w:val="51FB54E6"/>
    <w:rsid w:val="52032FCD"/>
    <w:rsid w:val="520A6DDD"/>
    <w:rsid w:val="520B5239"/>
    <w:rsid w:val="52295F08"/>
    <w:rsid w:val="526F24DF"/>
    <w:rsid w:val="52727B25"/>
    <w:rsid w:val="529C3DC7"/>
    <w:rsid w:val="52AF3E17"/>
    <w:rsid w:val="52BA1406"/>
    <w:rsid w:val="52F11239"/>
    <w:rsid w:val="52FA74D3"/>
    <w:rsid w:val="5307167F"/>
    <w:rsid w:val="530C365E"/>
    <w:rsid w:val="532550CA"/>
    <w:rsid w:val="534A7FE3"/>
    <w:rsid w:val="537C1D68"/>
    <w:rsid w:val="53936204"/>
    <w:rsid w:val="53F55CC0"/>
    <w:rsid w:val="544C2128"/>
    <w:rsid w:val="54622503"/>
    <w:rsid w:val="5472750B"/>
    <w:rsid w:val="549B442A"/>
    <w:rsid w:val="54CA1684"/>
    <w:rsid w:val="54E8440D"/>
    <w:rsid w:val="54F251A7"/>
    <w:rsid w:val="55047469"/>
    <w:rsid w:val="5507171D"/>
    <w:rsid w:val="550D21DA"/>
    <w:rsid w:val="5529469F"/>
    <w:rsid w:val="552B609B"/>
    <w:rsid w:val="553D6FF2"/>
    <w:rsid w:val="55493DE1"/>
    <w:rsid w:val="55745428"/>
    <w:rsid w:val="557660F1"/>
    <w:rsid w:val="558421B6"/>
    <w:rsid w:val="55B956CA"/>
    <w:rsid w:val="55BC359B"/>
    <w:rsid w:val="55D13DD6"/>
    <w:rsid w:val="55F43ECA"/>
    <w:rsid w:val="55FD0533"/>
    <w:rsid w:val="561A7FAB"/>
    <w:rsid w:val="562E2AA6"/>
    <w:rsid w:val="562F787C"/>
    <w:rsid w:val="563D2DB0"/>
    <w:rsid w:val="564B0C5E"/>
    <w:rsid w:val="564E3839"/>
    <w:rsid w:val="56AA4CA2"/>
    <w:rsid w:val="56BF17CC"/>
    <w:rsid w:val="56C93C61"/>
    <w:rsid w:val="56FC4767"/>
    <w:rsid w:val="57165642"/>
    <w:rsid w:val="571701DC"/>
    <w:rsid w:val="571C4264"/>
    <w:rsid w:val="572B519F"/>
    <w:rsid w:val="57332103"/>
    <w:rsid w:val="573F7F56"/>
    <w:rsid w:val="57AD09F3"/>
    <w:rsid w:val="57B53F1D"/>
    <w:rsid w:val="57C71953"/>
    <w:rsid w:val="57C95AED"/>
    <w:rsid w:val="57DC514C"/>
    <w:rsid w:val="57E92BEA"/>
    <w:rsid w:val="57EE0FCC"/>
    <w:rsid w:val="57FE1C99"/>
    <w:rsid w:val="580A69F1"/>
    <w:rsid w:val="581C691F"/>
    <w:rsid w:val="58202AC2"/>
    <w:rsid w:val="5867429A"/>
    <w:rsid w:val="5874126F"/>
    <w:rsid w:val="588C5F3D"/>
    <w:rsid w:val="58935F61"/>
    <w:rsid w:val="58A91B3A"/>
    <w:rsid w:val="58AE6EA9"/>
    <w:rsid w:val="58C26A39"/>
    <w:rsid w:val="58CC3242"/>
    <w:rsid w:val="58D3540D"/>
    <w:rsid w:val="58F02A51"/>
    <w:rsid w:val="590A28F3"/>
    <w:rsid w:val="591B5518"/>
    <w:rsid w:val="591B5BE0"/>
    <w:rsid w:val="595C7BAF"/>
    <w:rsid w:val="598967ED"/>
    <w:rsid w:val="59D80756"/>
    <w:rsid w:val="59E1335C"/>
    <w:rsid w:val="59E60CF1"/>
    <w:rsid w:val="59F049AA"/>
    <w:rsid w:val="59F23A5A"/>
    <w:rsid w:val="59FD35A0"/>
    <w:rsid w:val="5A004B1D"/>
    <w:rsid w:val="5A054729"/>
    <w:rsid w:val="5A343EE8"/>
    <w:rsid w:val="5A365686"/>
    <w:rsid w:val="5A4D52AE"/>
    <w:rsid w:val="5A545253"/>
    <w:rsid w:val="5A56288A"/>
    <w:rsid w:val="5A6032DC"/>
    <w:rsid w:val="5A7D5219"/>
    <w:rsid w:val="5A7D77F6"/>
    <w:rsid w:val="5A9E0A15"/>
    <w:rsid w:val="5AC04BE0"/>
    <w:rsid w:val="5ACD13FA"/>
    <w:rsid w:val="5AD97F9E"/>
    <w:rsid w:val="5AFA0A03"/>
    <w:rsid w:val="5AFE699F"/>
    <w:rsid w:val="5B0310D6"/>
    <w:rsid w:val="5B192DEE"/>
    <w:rsid w:val="5B2775FA"/>
    <w:rsid w:val="5B395408"/>
    <w:rsid w:val="5B413FAC"/>
    <w:rsid w:val="5B452DA1"/>
    <w:rsid w:val="5B5554C6"/>
    <w:rsid w:val="5B686F42"/>
    <w:rsid w:val="5B6A2AF7"/>
    <w:rsid w:val="5B7A6242"/>
    <w:rsid w:val="5B9047FE"/>
    <w:rsid w:val="5B9B61F0"/>
    <w:rsid w:val="5BAB0072"/>
    <w:rsid w:val="5BB223ED"/>
    <w:rsid w:val="5BB97AB4"/>
    <w:rsid w:val="5BC61FD9"/>
    <w:rsid w:val="5BE97737"/>
    <w:rsid w:val="5C0C44A9"/>
    <w:rsid w:val="5C5821F1"/>
    <w:rsid w:val="5C6672E5"/>
    <w:rsid w:val="5C7B7858"/>
    <w:rsid w:val="5CC56E75"/>
    <w:rsid w:val="5CD21A5C"/>
    <w:rsid w:val="5CF2646E"/>
    <w:rsid w:val="5CF6138E"/>
    <w:rsid w:val="5D1E2AB4"/>
    <w:rsid w:val="5D2D1521"/>
    <w:rsid w:val="5D376861"/>
    <w:rsid w:val="5D3F1159"/>
    <w:rsid w:val="5D6949DA"/>
    <w:rsid w:val="5DAA0DD0"/>
    <w:rsid w:val="5DAB6372"/>
    <w:rsid w:val="5DB72972"/>
    <w:rsid w:val="5DDA5831"/>
    <w:rsid w:val="5DDB64C0"/>
    <w:rsid w:val="5E054BE0"/>
    <w:rsid w:val="5E472D79"/>
    <w:rsid w:val="5E481E50"/>
    <w:rsid w:val="5E6C228C"/>
    <w:rsid w:val="5E70747B"/>
    <w:rsid w:val="5EAE21CC"/>
    <w:rsid w:val="5EB474DB"/>
    <w:rsid w:val="5EB85C7F"/>
    <w:rsid w:val="5EBE63DF"/>
    <w:rsid w:val="5EC93AB7"/>
    <w:rsid w:val="5ED83434"/>
    <w:rsid w:val="5EEC1222"/>
    <w:rsid w:val="5EEE549B"/>
    <w:rsid w:val="5F020087"/>
    <w:rsid w:val="5F390B40"/>
    <w:rsid w:val="5F4B6847"/>
    <w:rsid w:val="5F4C6696"/>
    <w:rsid w:val="5F4F47AB"/>
    <w:rsid w:val="5F582A09"/>
    <w:rsid w:val="5F5A2FAB"/>
    <w:rsid w:val="5F773641"/>
    <w:rsid w:val="5F7B2FB6"/>
    <w:rsid w:val="5F931954"/>
    <w:rsid w:val="5FB446CA"/>
    <w:rsid w:val="5FC24139"/>
    <w:rsid w:val="5FCA2783"/>
    <w:rsid w:val="5FEE2228"/>
    <w:rsid w:val="60085866"/>
    <w:rsid w:val="6020524E"/>
    <w:rsid w:val="6025408D"/>
    <w:rsid w:val="60325A63"/>
    <w:rsid w:val="603E0C8F"/>
    <w:rsid w:val="60474FB8"/>
    <w:rsid w:val="606A66AB"/>
    <w:rsid w:val="60914698"/>
    <w:rsid w:val="60B315EE"/>
    <w:rsid w:val="60BA25DB"/>
    <w:rsid w:val="60EC2655"/>
    <w:rsid w:val="60EF563B"/>
    <w:rsid w:val="610D5B74"/>
    <w:rsid w:val="612B163B"/>
    <w:rsid w:val="61422A43"/>
    <w:rsid w:val="616445D5"/>
    <w:rsid w:val="61816AF1"/>
    <w:rsid w:val="6195018F"/>
    <w:rsid w:val="61AB7359"/>
    <w:rsid w:val="61CE7B5B"/>
    <w:rsid w:val="61CF0457"/>
    <w:rsid w:val="61FA6094"/>
    <w:rsid w:val="62311822"/>
    <w:rsid w:val="62440435"/>
    <w:rsid w:val="6251162E"/>
    <w:rsid w:val="62A31324"/>
    <w:rsid w:val="62C33EF6"/>
    <w:rsid w:val="6337636D"/>
    <w:rsid w:val="63417CDF"/>
    <w:rsid w:val="634F76E9"/>
    <w:rsid w:val="635C65DE"/>
    <w:rsid w:val="6360769C"/>
    <w:rsid w:val="63B5206E"/>
    <w:rsid w:val="63F7291E"/>
    <w:rsid w:val="645C23DF"/>
    <w:rsid w:val="645E384F"/>
    <w:rsid w:val="6463430C"/>
    <w:rsid w:val="649E5F8C"/>
    <w:rsid w:val="64D939CE"/>
    <w:rsid w:val="64EF0E72"/>
    <w:rsid w:val="65257558"/>
    <w:rsid w:val="655574D1"/>
    <w:rsid w:val="65571C99"/>
    <w:rsid w:val="65683ECC"/>
    <w:rsid w:val="656956C3"/>
    <w:rsid w:val="656D6044"/>
    <w:rsid w:val="65886D38"/>
    <w:rsid w:val="65905C8A"/>
    <w:rsid w:val="65A101C3"/>
    <w:rsid w:val="65B24FB1"/>
    <w:rsid w:val="65C14763"/>
    <w:rsid w:val="65C500A2"/>
    <w:rsid w:val="65DC64AD"/>
    <w:rsid w:val="65F82CE9"/>
    <w:rsid w:val="65FC2DA6"/>
    <w:rsid w:val="66186021"/>
    <w:rsid w:val="66281332"/>
    <w:rsid w:val="66426D2F"/>
    <w:rsid w:val="66732761"/>
    <w:rsid w:val="668858CB"/>
    <w:rsid w:val="668B2A9E"/>
    <w:rsid w:val="669237A3"/>
    <w:rsid w:val="66935AD8"/>
    <w:rsid w:val="66987B02"/>
    <w:rsid w:val="66A73FF2"/>
    <w:rsid w:val="66CB519A"/>
    <w:rsid w:val="66DA5756"/>
    <w:rsid w:val="66DF5EC6"/>
    <w:rsid w:val="66E144FF"/>
    <w:rsid w:val="67031C03"/>
    <w:rsid w:val="6763453B"/>
    <w:rsid w:val="67655CD2"/>
    <w:rsid w:val="677428FD"/>
    <w:rsid w:val="677A59A6"/>
    <w:rsid w:val="677E0652"/>
    <w:rsid w:val="6781117B"/>
    <w:rsid w:val="678572B0"/>
    <w:rsid w:val="67B942BA"/>
    <w:rsid w:val="67C92027"/>
    <w:rsid w:val="67CB36D3"/>
    <w:rsid w:val="67D0650A"/>
    <w:rsid w:val="67D21BA6"/>
    <w:rsid w:val="6818578B"/>
    <w:rsid w:val="68235528"/>
    <w:rsid w:val="685A3DC1"/>
    <w:rsid w:val="685E0A14"/>
    <w:rsid w:val="686D2B49"/>
    <w:rsid w:val="68731764"/>
    <w:rsid w:val="68796947"/>
    <w:rsid w:val="687E1DDD"/>
    <w:rsid w:val="6881066E"/>
    <w:rsid w:val="68893A0F"/>
    <w:rsid w:val="68A52228"/>
    <w:rsid w:val="68AF4A38"/>
    <w:rsid w:val="68C4655B"/>
    <w:rsid w:val="68CE4C17"/>
    <w:rsid w:val="68FD18CB"/>
    <w:rsid w:val="6901142F"/>
    <w:rsid w:val="69042DDB"/>
    <w:rsid w:val="69072DE6"/>
    <w:rsid w:val="690C57A2"/>
    <w:rsid w:val="6958054F"/>
    <w:rsid w:val="6960006E"/>
    <w:rsid w:val="696133E6"/>
    <w:rsid w:val="6962178B"/>
    <w:rsid w:val="6990149A"/>
    <w:rsid w:val="69A40D8B"/>
    <w:rsid w:val="69A50CA0"/>
    <w:rsid w:val="69A74DE6"/>
    <w:rsid w:val="69D4328E"/>
    <w:rsid w:val="69E241FB"/>
    <w:rsid w:val="69E941BE"/>
    <w:rsid w:val="69EC50A9"/>
    <w:rsid w:val="69EE1B1F"/>
    <w:rsid w:val="6A143082"/>
    <w:rsid w:val="6A29403F"/>
    <w:rsid w:val="6A48042D"/>
    <w:rsid w:val="6A5C248E"/>
    <w:rsid w:val="6A5F2C3D"/>
    <w:rsid w:val="6A773014"/>
    <w:rsid w:val="6A7952B8"/>
    <w:rsid w:val="6A8242AC"/>
    <w:rsid w:val="6A832B89"/>
    <w:rsid w:val="6A916960"/>
    <w:rsid w:val="6A9C1358"/>
    <w:rsid w:val="6AAE0AD8"/>
    <w:rsid w:val="6ABB3C9E"/>
    <w:rsid w:val="6B2313EE"/>
    <w:rsid w:val="6B4C2A3C"/>
    <w:rsid w:val="6B6A5970"/>
    <w:rsid w:val="6B7F78A9"/>
    <w:rsid w:val="6B9340BC"/>
    <w:rsid w:val="6BAE270C"/>
    <w:rsid w:val="6BCC7C23"/>
    <w:rsid w:val="6BE42C32"/>
    <w:rsid w:val="6BEE61C5"/>
    <w:rsid w:val="6BF42F12"/>
    <w:rsid w:val="6BF62A9E"/>
    <w:rsid w:val="6C27446C"/>
    <w:rsid w:val="6C3B62C3"/>
    <w:rsid w:val="6C577390"/>
    <w:rsid w:val="6C663651"/>
    <w:rsid w:val="6C66372C"/>
    <w:rsid w:val="6C683E63"/>
    <w:rsid w:val="6C770314"/>
    <w:rsid w:val="6C7D6AA9"/>
    <w:rsid w:val="6C826C97"/>
    <w:rsid w:val="6C966891"/>
    <w:rsid w:val="6CAD0F6F"/>
    <w:rsid w:val="6CDA3D09"/>
    <w:rsid w:val="6CDD0F42"/>
    <w:rsid w:val="6CFC5A53"/>
    <w:rsid w:val="6D104503"/>
    <w:rsid w:val="6D20450C"/>
    <w:rsid w:val="6D2C3A37"/>
    <w:rsid w:val="6D332250"/>
    <w:rsid w:val="6D3D7041"/>
    <w:rsid w:val="6D4C06DB"/>
    <w:rsid w:val="6D6A5455"/>
    <w:rsid w:val="6D7901C9"/>
    <w:rsid w:val="6D96294B"/>
    <w:rsid w:val="6D9D72AF"/>
    <w:rsid w:val="6DA62267"/>
    <w:rsid w:val="6DBA6A6A"/>
    <w:rsid w:val="6DBF11AB"/>
    <w:rsid w:val="6DC00FA7"/>
    <w:rsid w:val="6DC543D9"/>
    <w:rsid w:val="6DE151FC"/>
    <w:rsid w:val="6DED5142"/>
    <w:rsid w:val="6E0A02F8"/>
    <w:rsid w:val="6E0B4459"/>
    <w:rsid w:val="6E255D76"/>
    <w:rsid w:val="6E2E7A35"/>
    <w:rsid w:val="6E347F90"/>
    <w:rsid w:val="6E6421BF"/>
    <w:rsid w:val="6E655707"/>
    <w:rsid w:val="6E78342A"/>
    <w:rsid w:val="6E820A94"/>
    <w:rsid w:val="6E9A27C3"/>
    <w:rsid w:val="6EEB0E21"/>
    <w:rsid w:val="6F120EAC"/>
    <w:rsid w:val="6F124B7F"/>
    <w:rsid w:val="6F251F23"/>
    <w:rsid w:val="6F436A15"/>
    <w:rsid w:val="6F497173"/>
    <w:rsid w:val="6F5074CA"/>
    <w:rsid w:val="6F6A757E"/>
    <w:rsid w:val="6F914C34"/>
    <w:rsid w:val="6FA5763E"/>
    <w:rsid w:val="6FD07B0B"/>
    <w:rsid w:val="6FDF3C5D"/>
    <w:rsid w:val="6FE17168"/>
    <w:rsid w:val="6FEB001F"/>
    <w:rsid w:val="6FF01EB8"/>
    <w:rsid w:val="700E540C"/>
    <w:rsid w:val="7022118B"/>
    <w:rsid w:val="702D2F1C"/>
    <w:rsid w:val="704A3F60"/>
    <w:rsid w:val="705309F1"/>
    <w:rsid w:val="70722205"/>
    <w:rsid w:val="708C3B35"/>
    <w:rsid w:val="7093137F"/>
    <w:rsid w:val="709C7098"/>
    <w:rsid w:val="70A014F7"/>
    <w:rsid w:val="70A34B07"/>
    <w:rsid w:val="70B24562"/>
    <w:rsid w:val="70C43424"/>
    <w:rsid w:val="70D84DF4"/>
    <w:rsid w:val="70E95C07"/>
    <w:rsid w:val="71057266"/>
    <w:rsid w:val="71155F80"/>
    <w:rsid w:val="711A7639"/>
    <w:rsid w:val="712B2190"/>
    <w:rsid w:val="71302843"/>
    <w:rsid w:val="71431202"/>
    <w:rsid w:val="716D67EA"/>
    <w:rsid w:val="717A213F"/>
    <w:rsid w:val="719967F7"/>
    <w:rsid w:val="71A1648C"/>
    <w:rsid w:val="71B03814"/>
    <w:rsid w:val="71B95B63"/>
    <w:rsid w:val="71D06143"/>
    <w:rsid w:val="71D11D25"/>
    <w:rsid w:val="71EB7E3B"/>
    <w:rsid w:val="71F10FBC"/>
    <w:rsid w:val="72011CFA"/>
    <w:rsid w:val="72012400"/>
    <w:rsid w:val="722917E6"/>
    <w:rsid w:val="72492C84"/>
    <w:rsid w:val="7261727A"/>
    <w:rsid w:val="7265053B"/>
    <w:rsid w:val="726E690E"/>
    <w:rsid w:val="72806E7B"/>
    <w:rsid w:val="729255EB"/>
    <w:rsid w:val="72A0676A"/>
    <w:rsid w:val="72A81DCC"/>
    <w:rsid w:val="72B07445"/>
    <w:rsid w:val="72B65828"/>
    <w:rsid w:val="72BF0390"/>
    <w:rsid w:val="72C45C3B"/>
    <w:rsid w:val="72CE5013"/>
    <w:rsid w:val="72D51220"/>
    <w:rsid w:val="72DB4ED3"/>
    <w:rsid w:val="732868B6"/>
    <w:rsid w:val="732D654D"/>
    <w:rsid w:val="735156E8"/>
    <w:rsid w:val="735E7989"/>
    <w:rsid w:val="738B62C6"/>
    <w:rsid w:val="73913A60"/>
    <w:rsid w:val="7394371C"/>
    <w:rsid w:val="73C939DF"/>
    <w:rsid w:val="73D567F8"/>
    <w:rsid w:val="740817B6"/>
    <w:rsid w:val="74250C61"/>
    <w:rsid w:val="74412088"/>
    <w:rsid w:val="744B5241"/>
    <w:rsid w:val="74556F0C"/>
    <w:rsid w:val="746078C8"/>
    <w:rsid w:val="746B05EA"/>
    <w:rsid w:val="746D2F0D"/>
    <w:rsid w:val="74823DDB"/>
    <w:rsid w:val="749A3E82"/>
    <w:rsid w:val="74A622C8"/>
    <w:rsid w:val="74BB1231"/>
    <w:rsid w:val="74DE51C9"/>
    <w:rsid w:val="74EF2216"/>
    <w:rsid w:val="74F108E5"/>
    <w:rsid w:val="750C2436"/>
    <w:rsid w:val="754616E0"/>
    <w:rsid w:val="75530563"/>
    <w:rsid w:val="755E374E"/>
    <w:rsid w:val="75684486"/>
    <w:rsid w:val="75815E06"/>
    <w:rsid w:val="75B52AEA"/>
    <w:rsid w:val="75F50E7A"/>
    <w:rsid w:val="765100FB"/>
    <w:rsid w:val="767713CA"/>
    <w:rsid w:val="76803277"/>
    <w:rsid w:val="76AF7C96"/>
    <w:rsid w:val="76BC2670"/>
    <w:rsid w:val="76C349DA"/>
    <w:rsid w:val="76CA36DA"/>
    <w:rsid w:val="76EE3BF7"/>
    <w:rsid w:val="76F0114A"/>
    <w:rsid w:val="770359F6"/>
    <w:rsid w:val="77047ECD"/>
    <w:rsid w:val="776B2BAB"/>
    <w:rsid w:val="77730730"/>
    <w:rsid w:val="77894EA4"/>
    <w:rsid w:val="77A57782"/>
    <w:rsid w:val="77C85050"/>
    <w:rsid w:val="77C90F34"/>
    <w:rsid w:val="77D32439"/>
    <w:rsid w:val="77E14B43"/>
    <w:rsid w:val="77EF185F"/>
    <w:rsid w:val="77FA77FE"/>
    <w:rsid w:val="78003158"/>
    <w:rsid w:val="7803118B"/>
    <w:rsid w:val="78090AE4"/>
    <w:rsid w:val="78193C86"/>
    <w:rsid w:val="78231FC2"/>
    <w:rsid w:val="78320529"/>
    <w:rsid w:val="78355FC5"/>
    <w:rsid w:val="783D7B3A"/>
    <w:rsid w:val="784E79E4"/>
    <w:rsid w:val="78540B83"/>
    <w:rsid w:val="78565E9A"/>
    <w:rsid w:val="7894069F"/>
    <w:rsid w:val="78945291"/>
    <w:rsid w:val="78A83B83"/>
    <w:rsid w:val="78C35FCB"/>
    <w:rsid w:val="78CC46A0"/>
    <w:rsid w:val="78F5472C"/>
    <w:rsid w:val="79161513"/>
    <w:rsid w:val="796227F3"/>
    <w:rsid w:val="796B4C3B"/>
    <w:rsid w:val="796D11CF"/>
    <w:rsid w:val="79B74681"/>
    <w:rsid w:val="79BF57AC"/>
    <w:rsid w:val="79CC1253"/>
    <w:rsid w:val="79D73C2D"/>
    <w:rsid w:val="79D824DE"/>
    <w:rsid w:val="79DC15C5"/>
    <w:rsid w:val="79DD7AA2"/>
    <w:rsid w:val="7A10506B"/>
    <w:rsid w:val="7A2E3F33"/>
    <w:rsid w:val="7A3877A6"/>
    <w:rsid w:val="7A73796F"/>
    <w:rsid w:val="7A7C1295"/>
    <w:rsid w:val="7A873404"/>
    <w:rsid w:val="7A9D28AF"/>
    <w:rsid w:val="7AA53BCD"/>
    <w:rsid w:val="7AA6452C"/>
    <w:rsid w:val="7AA97179"/>
    <w:rsid w:val="7AC74A17"/>
    <w:rsid w:val="7B147309"/>
    <w:rsid w:val="7B326080"/>
    <w:rsid w:val="7B377FD8"/>
    <w:rsid w:val="7B4A70B9"/>
    <w:rsid w:val="7B5443B9"/>
    <w:rsid w:val="7B6A15E8"/>
    <w:rsid w:val="7B6A44CF"/>
    <w:rsid w:val="7B6F48C5"/>
    <w:rsid w:val="7B772161"/>
    <w:rsid w:val="7B9C3E1D"/>
    <w:rsid w:val="7BAD500E"/>
    <w:rsid w:val="7BB816DF"/>
    <w:rsid w:val="7BC30895"/>
    <w:rsid w:val="7BCE5969"/>
    <w:rsid w:val="7BD6264B"/>
    <w:rsid w:val="7BDD01BE"/>
    <w:rsid w:val="7BDF3455"/>
    <w:rsid w:val="7BF1419F"/>
    <w:rsid w:val="7BF718A1"/>
    <w:rsid w:val="7C035742"/>
    <w:rsid w:val="7C1E641E"/>
    <w:rsid w:val="7C320C8D"/>
    <w:rsid w:val="7C4F6657"/>
    <w:rsid w:val="7C6243F3"/>
    <w:rsid w:val="7C662EE9"/>
    <w:rsid w:val="7C7338C2"/>
    <w:rsid w:val="7C8F7391"/>
    <w:rsid w:val="7CB1081D"/>
    <w:rsid w:val="7CC0720B"/>
    <w:rsid w:val="7CC13495"/>
    <w:rsid w:val="7CCF5538"/>
    <w:rsid w:val="7CFE1495"/>
    <w:rsid w:val="7D241356"/>
    <w:rsid w:val="7D5A67E0"/>
    <w:rsid w:val="7D850AA3"/>
    <w:rsid w:val="7DBA1836"/>
    <w:rsid w:val="7DC201C4"/>
    <w:rsid w:val="7DCB56F9"/>
    <w:rsid w:val="7DE60C7C"/>
    <w:rsid w:val="7DF05C26"/>
    <w:rsid w:val="7E447DA6"/>
    <w:rsid w:val="7E451646"/>
    <w:rsid w:val="7E4B5A30"/>
    <w:rsid w:val="7E4D7934"/>
    <w:rsid w:val="7E58374B"/>
    <w:rsid w:val="7E6B6D6B"/>
    <w:rsid w:val="7EA157FE"/>
    <w:rsid w:val="7ED05DA2"/>
    <w:rsid w:val="7EF11B19"/>
    <w:rsid w:val="7F005385"/>
    <w:rsid w:val="7F290AD8"/>
    <w:rsid w:val="7F335E4B"/>
    <w:rsid w:val="7F477EAB"/>
    <w:rsid w:val="7F4C1C2C"/>
    <w:rsid w:val="7F995086"/>
    <w:rsid w:val="7FC07A41"/>
    <w:rsid w:val="7FD5469B"/>
    <w:rsid w:val="7FDD2B39"/>
    <w:rsid w:val="7FEC7757"/>
    <w:rsid w:val="7FEE558B"/>
    <w:rsid w:val="7FFC5142"/>
    <w:rsid w:val="7FFD2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4">
    <w:name w:val="heading 1"/>
    <w:basedOn w:val="1"/>
    <w:next w:val="1"/>
    <w:link w:val="32"/>
    <w:qFormat/>
    <w:uiPriority w:val="0"/>
    <w:pPr>
      <w:keepNext/>
      <w:keepLines/>
      <w:spacing w:before="340" w:after="330" w:line="578" w:lineRule="atLeast"/>
      <w:outlineLvl w:val="0"/>
    </w:pPr>
    <w:rPr>
      <w:b/>
      <w:bCs/>
      <w:kern w:val="44"/>
      <w:sz w:val="44"/>
      <w:szCs w:val="44"/>
    </w:rPr>
  </w:style>
  <w:style w:type="paragraph" w:styleId="5">
    <w:name w:val="heading 2"/>
    <w:basedOn w:val="1"/>
    <w:next w:val="1"/>
    <w:qFormat/>
    <w:uiPriority w:val="0"/>
    <w:pPr>
      <w:keepNext/>
      <w:keepLines/>
      <w:spacing w:before="260" w:after="260" w:line="416" w:lineRule="atLeast"/>
      <w:outlineLvl w:val="1"/>
    </w:pPr>
    <w:rPr>
      <w:rFonts w:ascii="Arial" w:hAnsi="Arial" w:eastAsia="黑体"/>
      <w:b/>
      <w:bCs/>
      <w:sz w:val="32"/>
      <w:szCs w:val="32"/>
    </w:rPr>
  </w:style>
  <w:style w:type="paragraph" w:styleId="6">
    <w:name w:val="heading 4"/>
    <w:basedOn w:val="1"/>
    <w:next w:val="1"/>
    <w:link w:val="33"/>
    <w:qFormat/>
    <w:uiPriority w:val="0"/>
    <w:pPr>
      <w:keepNext/>
      <w:keepLines/>
      <w:adjustRightInd/>
      <w:spacing w:line="480" w:lineRule="auto"/>
      <w:jc w:val="both"/>
      <w:textAlignment w:val="auto"/>
      <w:outlineLvl w:val="3"/>
    </w:pPr>
    <w:rPr>
      <w:rFonts w:ascii="Arial" w:hAnsi="Arial" w:cs="Arial"/>
      <w:bCs/>
      <w:kern w:val="2"/>
      <w:sz w:val="28"/>
      <w:szCs w:val="28"/>
    </w:rPr>
  </w:style>
  <w:style w:type="paragraph" w:styleId="7">
    <w:name w:val="heading 6"/>
    <w:basedOn w:val="1"/>
    <w:next w:val="1"/>
    <w:qFormat/>
    <w:uiPriority w:val="0"/>
    <w:pPr>
      <w:keepNext/>
      <w:keepLines/>
      <w:spacing w:before="240" w:after="64" w:line="320" w:lineRule="auto"/>
      <w:outlineLvl w:val="5"/>
    </w:pPr>
    <w:rPr>
      <w:rFonts w:ascii="Cambria" w:hAnsi="Cambria"/>
      <w:b/>
      <w:bCs/>
      <w:szCs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spacing w:after="120"/>
      <w:ind w:left="420" w:leftChars="200" w:firstLine="420" w:firstLineChars="200"/>
      <w:jc w:val="both"/>
    </w:pPr>
    <w:rPr>
      <w:kern w:val="2"/>
      <w:sz w:val="21"/>
      <w:szCs w:val="24"/>
    </w:rPr>
  </w:style>
  <w:style w:type="paragraph" w:styleId="3">
    <w:name w:val="Body Text Indent"/>
    <w:basedOn w:val="1"/>
    <w:next w:val="1"/>
    <w:qFormat/>
    <w:uiPriority w:val="0"/>
    <w:pPr>
      <w:spacing w:line="400" w:lineRule="atLeast"/>
      <w:ind w:firstLine="510"/>
    </w:pPr>
  </w:style>
  <w:style w:type="paragraph" w:styleId="8">
    <w:name w:val="Normal Indent"/>
    <w:basedOn w:val="1"/>
    <w:qFormat/>
    <w:uiPriority w:val="0"/>
    <w:pPr>
      <w:adjustRightInd/>
      <w:spacing w:line="240" w:lineRule="auto"/>
      <w:ind w:firstLine="420" w:firstLineChars="200"/>
      <w:jc w:val="both"/>
      <w:textAlignment w:val="auto"/>
    </w:pPr>
    <w:rPr>
      <w:kern w:val="2"/>
      <w:sz w:val="21"/>
      <w:szCs w:val="24"/>
    </w:rPr>
  </w:style>
  <w:style w:type="paragraph" w:styleId="9">
    <w:name w:val="caption"/>
    <w:basedOn w:val="1"/>
    <w:next w:val="1"/>
    <w:unhideWhenUsed/>
    <w:qFormat/>
    <w:uiPriority w:val="0"/>
    <w:pPr>
      <w:keepLines/>
      <w:spacing w:before="100" w:beforeAutospacing="1" w:after="100" w:afterAutospacing="1" w:line="400" w:lineRule="exact"/>
      <w:jc w:val="center"/>
    </w:pPr>
    <w:rPr>
      <w:b/>
    </w:rPr>
  </w:style>
  <w:style w:type="paragraph" w:styleId="10">
    <w:name w:val="Document Map"/>
    <w:basedOn w:val="1"/>
    <w:semiHidden/>
    <w:qFormat/>
    <w:uiPriority w:val="0"/>
    <w:pPr>
      <w:shd w:val="clear" w:color="auto" w:fill="000080"/>
    </w:pPr>
  </w:style>
  <w:style w:type="paragraph" w:styleId="11">
    <w:name w:val="annotation text"/>
    <w:basedOn w:val="1"/>
    <w:link w:val="34"/>
    <w:qFormat/>
    <w:uiPriority w:val="0"/>
  </w:style>
  <w:style w:type="paragraph" w:styleId="12">
    <w:name w:val="Body Text"/>
    <w:basedOn w:val="1"/>
    <w:next w:val="1"/>
    <w:qFormat/>
    <w:uiPriority w:val="0"/>
    <w:pPr>
      <w:spacing w:after="12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cs="Courier New"/>
      <w:szCs w:val="21"/>
    </w:rPr>
  </w:style>
  <w:style w:type="paragraph" w:styleId="15">
    <w:name w:val="Body Text Indent 2"/>
    <w:basedOn w:val="1"/>
    <w:unhideWhenUsed/>
    <w:qFormat/>
    <w:uiPriority w:val="0"/>
    <w:pPr>
      <w:spacing w:line="800" w:lineRule="exact"/>
      <w:ind w:firstLine="598" w:firstLineChars="187"/>
    </w:pPr>
    <w:rPr>
      <w:rFonts w:eastAsia="方正仿宋简体"/>
      <w:sz w:val="32"/>
    </w:rPr>
  </w:style>
  <w:style w:type="paragraph" w:styleId="16">
    <w:name w:val="Balloon Text"/>
    <w:basedOn w:val="1"/>
    <w:link w:val="35"/>
    <w:qFormat/>
    <w:uiPriority w:val="0"/>
    <w:pPr>
      <w:spacing w:line="240" w:lineRule="auto"/>
    </w:pPr>
    <w:rPr>
      <w:sz w:val="18"/>
      <w:szCs w:val="18"/>
    </w:rPr>
  </w:style>
  <w:style w:type="paragraph" w:styleId="17">
    <w:name w:val="footer"/>
    <w:basedOn w:val="1"/>
    <w:link w:val="36"/>
    <w:qFormat/>
    <w:uiPriority w:val="99"/>
    <w:pPr>
      <w:tabs>
        <w:tab w:val="center" w:pos="4153"/>
        <w:tab w:val="right" w:pos="8306"/>
      </w:tabs>
      <w:snapToGrid w:val="0"/>
      <w:spacing w:line="240" w:lineRule="atLeast"/>
    </w:pPr>
    <w:rPr>
      <w:sz w:val="18"/>
      <w:szCs w:val="18"/>
    </w:rPr>
  </w:style>
  <w:style w:type="paragraph" w:styleId="18">
    <w:name w:val="header"/>
    <w:basedOn w:val="1"/>
    <w:link w:val="37"/>
    <w:qFormat/>
    <w:uiPriority w:val="0"/>
    <w:pPr>
      <w:pBdr>
        <w:bottom w:val="thinThickSmallGap" w:color="auto" w:sz="24" w:space="1"/>
      </w:pBdr>
      <w:tabs>
        <w:tab w:val="center" w:pos="4153"/>
        <w:tab w:val="right" w:pos="8306"/>
      </w:tabs>
      <w:spacing w:line="240" w:lineRule="atLeast"/>
      <w:jc w:val="center"/>
    </w:pPr>
    <w:rPr>
      <w:sz w:val="18"/>
    </w:rPr>
  </w:style>
  <w:style w:type="paragraph" w:styleId="19">
    <w:name w:val="toc 1"/>
    <w:basedOn w:val="1"/>
    <w:next w:val="1"/>
    <w:qFormat/>
    <w:uiPriority w:val="0"/>
    <w:pPr>
      <w:spacing w:before="120" w:after="120"/>
    </w:pPr>
    <w:rPr>
      <w:b/>
      <w:caps/>
      <w:sz w:val="20"/>
    </w:rPr>
  </w:style>
  <w:style w:type="paragraph" w:styleId="20">
    <w:name w:val="toc 2"/>
    <w:basedOn w:val="1"/>
    <w:next w:val="1"/>
    <w:semiHidden/>
    <w:qFormat/>
    <w:uiPriority w:val="0"/>
    <w:pPr>
      <w:ind w:left="420" w:leftChars="200"/>
    </w:pPr>
  </w:style>
  <w:style w:type="paragraph" w:styleId="21">
    <w:name w:val="Normal (Web)"/>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paragraph" w:styleId="22">
    <w:name w:val="annotation subject"/>
    <w:basedOn w:val="11"/>
    <w:next w:val="11"/>
    <w:link w:val="38"/>
    <w:qFormat/>
    <w:uiPriority w:val="0"/>
    <w:rPr>
      <w:b/>
      <w:bCs/>
    </w:rPr>
  </w:style>
  <w:style w:type="paragraph" w:styleId="23">
    <w:name w:val="Body Text First Indent"/>
    <w:basedOn w:val="12"/>
    <w:link w:val="39"/>
    <w:qFormat/>
    <w:uiPriority w:val="0"/>
    <w:pPr>
      <w:adjustRightInd/>
      <w:spacing w:line="360" w:lineRule="auto"/>
      <w:ind w:firstLine="420" w:firstLineChars="100"/>
      <w:jc w:val="both"/>
      <w:textAlignment w:val="auto"/>
    </w:pPr>
    <w:rPr>
      <w:rFonts w:ascii="Arial" w:hAnsi="Arial" w:cs="Arial"/>
      <w:kern w:val="2"/>
      <w:sz w:val="28"/>
      <w:szCs w:val="28"/>
    </w:rPr>
  </w:style>
  <w:style w:type="table" w:styleId="25">
    <w:name w:val="Table Grid"/>
    <w:basedOn w:val="24"/>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bCs/>
    </w:rPr>
  </w:style>
  <w:style w:type="character" w:styleId="28">
    <w:name w:val="page number"/>
    <w:basedOn w:val="26"/>
    <w:qFormat/>
    <w:uiPriority w:val="0"/>
  </w:style>
  <w:style w:type="character" w:styleId="29">
    <w:name w:val="Hyperlink"/>
    <w:qFormat/>
    <w:uiPriority w:val="0"/>
    <w:rPr>
      <w:color w:val="0000FF"/>
      <w:u w:val="single"/>
    </w:rPr>
  </w:style>
  <w:style w:type="character" w:styleId="30">
    <w:name w:val="annotation reference"/>
    <w:qFormat/>
    <w:uiPriority w:val="0"/>
    <w:rPr>
      <w:sz w:val="21"/>
      <w:szCs w:val="21"/>
    </w:rPr>
  </w:style>
  <w:style w:type="paragraph" w:customStyle="1" w:styleId="31">
    <w:name w:val="样式 正文11 + 首行缩进:  2 字符"/>
    <w:basedOn w:val="1"/>
    <w:qFormat/>
    <w:uiPriority w:val="0"/>
    <w:pPr>
      <w:spacing w:line="500" w:lineRule="exact"/>
      <w:ind w:firstLine="560" w:firstLineChars="200"/>
    </w:pPr>
    <w:rPr>
      <w:rFonts w:ascii="宋体" w:hAnsi="宋体" w:cs="宋体"/>
      <w:color w:val="FF0000"/>
      <w:sz w:val="28"/>
    </w:rPr>
  </w:style>
  <w:style w:type="character" w:customStyle="1" w:styleId="32">
    <w:name w:val="标题 1 Char"/>
    <w:link w:val="4"/>
    <w:qFormat/>
    <w:uiPriority w:val="0"/>
    <w:rPr>
      <w:rFonts w:eastAsia="宋体"/>
      <w:b/>
      <w:bCs/>
      <w:kern w:val="44"/>
      <w:sz w:val="44"/>
      <w:szCs w:val="44"/>
      <w:lang w:val="en-US" w:eastAsia="zh-CN" w:bidi="ar-SA"/>
    </w:rPr>
  </w:style>
  <w:style w:type="character" w:customStyle="1" w:styleId="33">
    <w:name w:val="标题 4 Char"/>
    <w:link w:val="6"/>
    <w:qFormat/>
    <w:uiPriority w:val="0"/>
    <w:rPr>
      <w:rFonts w:ascii="Arial" w:hAnsi="Arial" w:eastAsia="宋体" w:cs="Arial"/>
      <w:bCs/>
      <w:kern w:val="2"/>
      <w:sz w:val="28"/>
      <w:szCs w:val="28"/>
      <w:lang w:val="en-US" w:eastAsia="zh-CN" w:bidi="ar-SA"/>
    </w:rPr>
  </w:style>
  <w:style w:type="character" w:customStyle="1" w:styleId="34">
    <w:name w:val="批注文字 Char"/>
    <w:link w:val="11"/>
    <w:qFormat/>
    <w:uiPriority w:val="0"/>
    <w:rPr>
      <w:sz w:val="24"/>
    </w:rPr>
  </w:style>
  <w:style w:type="character" w:customStyle="1" w:styleId="35">
    <w:name w:val="批注框文本 Char"/>
    <w:link w:val="16"/>
    <w:qFormat/>
    <w:uiPriority w:val="0"/>
    <w:rPr>
      <w:sz w:val="18"/>
      <w:szCs w:val="18"/>
    </w:rPr>
  </w:style>
  <w:style w:type="character" w:customStyle="1" w:styleId="36">
    <w:name w:val="页脚 Char"/>
    <w:link w:val="17"/>
    <w:qFormat/>
    <w:uiPriority w:val="99"/>
    <w:rPr>
      <w:sz w:val="18"/>
      <w:szCs w:val="18"/>
    </w:rPr>
  </w:style>
  <w:style w:type="character" w:customStyle="1" w:styleId="37">
    <w:name w:val="页眉 Char"/>
    <w:link w:val="18"/>
    <w:qFormat/>
    <w:uiPriority w:val="0"/>
    <w:rPr>
      <w:rFonts w:eastAsia="宋体"/>
      <w:sz w:val="18"/>
      <w:lang w:val="en-US" w:eastAsia="zh-CN" w:bidi="ar-SA"/>
    </w:rPr>
  </w:style>
  <w:style w:type="character" w:customStyle="1" w:styleId="38">
    <w:name w:val="批注主题 Char"/>
    <w:link w:val="22"/>
    <w:qFormat/>
    <w:uiPriority w:val="0"/>
    <w:rPr>
      <w:b/>
      <w:bCs/>
      <w:sz w:val="24"/>
    </w:rPr>
  </w:style>
  <w:style w:type="character" w:customStyle="1" w:styleId="39">
    <w:name w:val="正文首行缩进 Char"/>
    <w:link w:val="23"/>
    <w:qFormat/>
    <w:uiPriority w:val="0"/>
    <w:rPr>
      <w:rFonts w:ascii="Arial" w:hAnsi="Arial" w:eastAsia="宋体" w:cs="Arial"/>
      <w:kern w:val="2"/>
      <w:sz w:val="28"/>
      <w:szCs w:val="28"/>
      <w:lang w:val="en-US" w:eastAsia="zh-CN" w:bidi="ar-SA"/>
    </w:rPr>
  </w:style>
  <w:style w:type="character" w:customStyle="1" w:styleId="40">
    <w:name w:val="正文(首行缩进2字） Char"/>
    <w:link w:val="41"/>
    <w:qFormat/>
    <w:uiPriority w:val="0"/>
    <w:rPr>
      <w:rFonts w:ascii="Arial" w:hAnsi="Arial" w:eastAsia="宋体" w:cs="Arial"/>
      <w:kern w:val="2"/>
      <w:sz w:val="24"/>
      <w:szCs w:val="28"/>
      <w:lang w:val="en-US" w:eastAsia="zh-CN" w:bidi="ar-SA"/>
    </w:rPr>
  </w:style>
  <w:style w:type="paragraph" w:customStyle="1" w:styleId="41">
    <w:name w:val="正文(首行缩进2字）"/>
    <w:basedOn w:val="1"/>
    <w:link w:val="40"/>
    <w:qFormat/>
    <w:uiPriority w:val="0"/>
    <w:pPr>
      <w:adjustRightInd/>
      <w:spacing w:line="480" w:lineRule="exact"/>
      <w:ind w:firstLine="200" w:firstLineChars="200"/>
      <w:jc w:val="both"/>
      <w:textAlignment w:val="auto"/>
    </w:pPr>
    <w:rPr>
      <w:rFonts w:ascii="Arial" w:hAnsi="Arial" w:cs="Arial"/>
      <w:kern w:val="2"/>
      <w:szCs w:val="28"/>
    </w:rPr>
  </w:style>
  <w:style w:type="character" w:customStyle="1" w:styleId="42">
    <w:name w:val="A4页眉 Char1"/>
    <w:qFormat/>
    <w:uiPriority w:val="0"/>
    <w:rPr>
      <w:kern w:val="2"/>
      <w:sz w:val="18"/>
      <w:szCs w:val="18"/>
    </w:rPr>
  </w:style>
  <w:style w:type="character" w:customStyle="1" w:styleId="43">
    <w:name w:val="Char正文 Char"/>
    <w:link w:val="44"/>
    <w:qFormat/>
    <w:uiPriority w:val="0"/>
    <w:rPr>
      <w:rFonts w:eastAsia="宋体"/>
      <w:kern w:val="2"/>
      <w:sz w:val="24"/>
      <w:szCs w:val="24"/>
      <w:lang w:val="en-US" w:eastAsia="zh-CN" w:bidi="ar-SA"/>
    </w:rPr>
  </w:style>
  <w:style w:type="paragraph" w:customStyle="1" w:styleId="44">
    <w:name w:val="Char正文"/>
    <w:basedOn w:val="1"/>
    <w:link w:val="43"/>
    <w:qFormat/>
    <w:uiPriority w:val="0"/>
    <w:pPr>
      <w:adjustRightInd/>
      <w:spacing w:line="400" w:lineRule="exact"/>
      <w:ind w:firstLine="200" w:firstLineChars="200"/>
      <w:jc w:val="both"/>
      <w:textAlignment w:val="auto"/>
    </w:pPr>
    <w:rPr>
      <w:kern w:val="2"/>
      <w:szCs w:val="24"/>
    </w:rPr>
  </w:style>
  <w:style w:type="character" w:customStyle="1" w:styleId="45">
    <w:name w:val="font51"/>
    <w:qFormat/>
    <w:uiPriority w:val="0"/>
    <w:rPr>
      <w:rFonts w:hint="eastAsia" w:ascii="宋体" w:hAnsi="宋体" w:eastAsia="宋体" w:cs="宋体"/>
      <w:color w:val="auto"/>
      <w:sz w:val="22"/>
      <w:szCs w:val="22"/>
      <w:u w:val="none"/>
    </w:rPr>
  </w:style>
  <w:style w:type="character" w:customStyle="1" w:styleId="46">
    <w:name w:val="px14"/>
    <w:basedOn w:val="26"/>
    <w:qFormat/>
    <w:uiPriority w:val="0"/>
  </w:style>
  <w:style w:type="character" w:customStyle="1" w:styleId="47">
    <w:name w:val="样式 正文段落宋体 Char"/>
    <w:link w:val="48"/>
    <w:qFormat/>
    <w:uiPriority w:val="0"/>
    <w:rPr>
      <w:rFonts w:ascii="宋体" w:hAnsi="宋体" w:eastAsia="宋体" w:cs="Arial"/>
      <w:kern w:val="2"/>
      <w:sz w:val="28"/>
      <w:lang w:val="en-US" w:eastAsia="zh-CN" w:bidi="ar-SA"/>
    </w:rPr>
  </w:style>
  <w:style w:type="paragraph" w:customStyle="1" w:styleId="48">
    <w:name w:val="样式 正文段落宋体"/>
    <w:basedOn w:val="1"/>
    <w:link w:val="47"/>
    <w:qFormat/>
    <w:uiPriority w:val="0"/>
    <w:pPr>
      <w:adjustRightInd/>
      <w:spacing w:line="360" w:lineRule="auto"/>
      <w:ind w:firstLine="200" w:firstLineChars="200"/>
      <w:jc w:val="both"/>
      <w:textAlignment w:val="auto"/>
    </w:pPr>
    <w:rPr>
      <w:rFonts w:ascii="宋体" w:hAnsi="宋体" w:cs="Arial"/>
      <w:kern w:val="2"/>
      <w:sz w:val="28"/>
    </w:rPr>
  </w:style>
  <w:style w:type="character" w:customStyle="1" w:styleId="49">
    <w:name w:val="font01"/>
    <w:qFormat/>
    <w:uiPriority w:val="0"/>
    <w:rPr>
      <w:rFonts w:hint="eastAsia" w:ascii="宋体" w:hAnsi="宋体" w:eastAsia="宋体" w:cs="宋体"/>
      <w:color w:val="000000"/>
      <w:sz w:val="20"/>
      <w:szCs w:val="20"/>
      <w:u w:val="none"/>
    </w:rPr>
  </w:style>
  <w:style w:type="character" w:customStyle="1" w:styleId="50">
    <w:name w:val="font61"/>
    <w:qFormat/>
    <w:uiPriority w:val="0"/>
    <w:rPr>
      <w:rFonts w:hint="default" w:ascii="Times New Roman" w:hAnsi="Times New Roman" w:cs="Times New Roman"/>
      <w:color w:val="000000"/>
      <w:sz w:val="21"/>
      <w:szCs w:val="21"/>
      <w:u w:val="none"/>
      <w:vertAlign w:val="superscript"/>
    </w:rPr>
  </w:style>
  <w:style w:type="character" w:customStyle="1" w:styleId="51">
    <w:name w:val="font21"/>
    <w:qFormat/>
    <w:uiPriority w:val="0"/>
    <w:rPr>
      <w:rFonts w:hint="default" w:ascii="Times New Roman" w:hAnsi="Times New Roman" w:cs="Times New Roman"/>
      <w:color w:val="000000"/>
      <w:sz w:val="21"/>
      <w:szCs w:val="21"/>
      <w:u w:val="none"/>
    </w:rPr>
  </w:style>
  <w:style w:type="character" w:customStyle="1" w:styleId="52">
    <w:name w:val="long正文 Char"/>
    <w:link w:val="53"/>
    <w:qFormat/>
    <w:uiPriority w:val="0"/>
    <w:rPr>
      <w:rFonts w:eastAsia="宋体"/>
      <w:snapToGrid w:val="0"/>
      <w:sz w:val="24"/>
      <w:szCs w:val="24"/>
      <w:lang w:val="en-GB" w:eastAsia="zh-CN" w:bidi="ar-SA"/>
    </w:rPr>
  </w:style>
  <w:style w:type="paragraph" w:customStyle="1" w:styleId="53">
    <w:name w:val="long正文"/>
    <w:basedOn w:val="1"/>
    <w:link w:val="52"/>
    <w:qFormat/>
    <w:uiPriority w:val="0"/>
    <w:pPr>
      <w:overflowPunct w:val="0"/>
      <w:adjustRightInd/>
      <w:spacing w:line="360" w:lineRule="auto"/>
      <w:ind w:firstLine="480" w:firstLineChars="200"/>
      <w:jc w:val="both"/>
      <w:textAlignment w:val="auto"/>
    </w:pPr>
    <w:rPr>
      <w:snapToGrid w:val="0"/>
      <w:szCs w:val="24"/>
      <w:lang w:val="en-GB"/>
    </w:rPr>
  </w:style>
  <w:style w:type="character" w:customStyle="1" w:styleId="54">
    <w:name w:val="表格 宋体 五号 Char"/>
    <w:link w:val="55"/>
    <w:qFormat/>
    <w:uiPriority w:val="0"/>
    <w:rPr>
      <w:rFonts w:ascii="宋体" w:hAnsi="宋体" w:eastAsia="宋体"/>
      <w:sz w:val="21"/>
      <w:szCs w:val="21"/>
      <w:lang w:bidi="ar-SA"/>
    </w:rPr>
  </w:style>
  <w:style w:type="paragraph" w:customStyle="1" w:styleId="55">
    <w:name w:val="表格 宋体 五号"/>
    <w:basedOn w:val="1"/>
    <w:link w:val="54"/>
    <w:qFormat/>
    <w:uiPriority w:val="0"/>
    <w:pPr>
      <w:adjustRightInd/>
      <w:spacing w:line="240" w:lineRule="auto"/>
      <w:jc w:val="center"/>
      <w:textAlignment w:val="auto"/>
    </w:pPr>
    <w:rPr>
      <w:rFonts w:ascii="宋体" w:hAnsi="宋体"/>
      <w:sz w:val="21"/>
      <w:szCs w:val="21"/>
    </w:rPr>
  </w:style>
  <w:style w:type="character" w:customStyle="1" w:styleId="56">
    <w:name w:val="font31"/>
    <w:qFormat/>
    <w:uiPriority w:val="0"/>
    <w:rPr>
      <w:rFonts w:hint="eastAsia" w:ascii="宋体" w:hAnsi="宋体" w:eastAsia="宋体" w:cs="宋体"/>
      <w:color w:val="000000"/>
      <w:sz w:val="21"/>
      <w:szCs w:val="21"/>
      <w:u w:val="none"/>
    </w:rPr>
  </w:style>
  <w:style w:type="character" w:customStyle="1" w:styleId="57">
    <w:name w:val="方案正文 Char"/>
    <w:link w:val="58"/>
    <w:qFormat/>
    <w:uiPriority w:val="0"/>
    <w:rPr>
      <w:sz w:val="28"/>
      <w:szCs w:val="24"/>
      <w:lang w:bidi="ar-SA"/>
    </w:rPr>
  </w:style>
  <w:style w:type="paragraph" w:customStyle="1" w:styleId="58">
    <w:name w:val="方案正文"/>
    <w:basedOn w:val="1"/>
    <w:link w:val="57"/>
    <w:qFormat/>
    <w:uiPriority w:val="0"/>
    <w:pPr>
      <w:adjustRightInd/>
      <w:spacing w:line="240" w:lineRule="auto"/>
      <w:ind w:firstLine="560" w:firstLineChars="200"/>
      <w:jc w:val="both"/>
      <w:textAlignment w:val="auto"/>
    </w:pPr>
    <w:rPr>
      <w:sz w:val="28"/>
      <w:szCs w:val="24"/>
    </w:rPr>
  </w:style>
  <w:style w:type="character" w:customStyle="1" w:styleId="59">
    <w:name w:val="表头 Char Char"/>
    <w:link w:val="60"/>
    <w:qFormat/>
    <w:uiPriority w:val="0"/>
    <w:rPr>
      <w:rFonts w:ascii="Arial" w:hAnsi="Arial" w:eastAsia="Times New Roman"/>
      <w:b/>
      <w:sz w:val="24"/>
      <w:lang w:val="en-US" w:eastAsia="zh-CN" w:bidi="ar-SA"/>
    </w:rPr>
  </w:style>
  <w:style w:type="paragraph" w:customStyle="1" w:styleId="60">
    <w:name w:val="表头"/>
    <w:next w:val="1"/>
    <w:link w:val="59"/>
    <w:qFormat/>
    <w:uiPriority w:val="0"/>
    <w:pPr>
      <w:spacing w:line="480" w:lineRule="exact"/>
      <w:jc w:val="center"/>
    </w:pPr>
    <w:rPr>
      <w:rFonts w:ascii="Arial" w:hAnsi="Arial" w:eastAsia="Times New Roman" w:cs="Times New Roman"/>
      <w:b/>
      <w:sz w:val="24"/>
      <w:lang w:val="en-US" w:eastAsia="zh-CN" w:bidi="ar-SA"/>
    </w:rPr>
  </w:style>
  <w:style w:type="character" w:customStyle="1" w:styleId="61">
    <w:name w:val="Char Char13"/>
    <w:qFormat/>
    <w:uiPriority w:val="0"/>
    <w:rPr>
      <w:kern w:val="2"/>
      <w:sz w:val="18"/>
      <w:szCs w:val="18"/>
    </w:rPr>
  </w:style>
  <w:style w:type="character" w:customStyle="1" w:styleId="62">
    <w:name w:val="表号 Char1"/>
    <w:link w:val="63"/>
    <w:qFormat/>
    <w:uiPriority w:val="0"/>
    <w:rPr>
      <w:rFonts w:ascii="Arial" w:hAnsi="Arial" w:eastAsia="Times New Roman"/>
      <w:sz w:val="23"/>
      <w:lang w:val="en-US" w:eastAsia="zh-CN" w:bidi="ar-SA"/>
    </w:rPr>
  </w:style>
  <w:style w:type="paragraph" w:customStyle="1" w:styleId="63">
    <w:name w:val="表号"/>
    <w:link w:val="62"/>
    <w:qFormat/>
    <w:uiPriority w:val="0"/>
    <w:pPr>
      <w:adjustRightInd w:val="0"/>
      <w:snapToGrid w:val="0"/>
      <w:spacing w:line="480" w:lineRule="exact"/>
      <w:jc w:val="right"/>
    </w:pPr>
    <w:rPr>
      <w:rFonts w:ascii="Arial" w:hAnsi="Arial" w:eastAsia="Times New Roman" w:cs="Times New Roman"/>
      <w:sz w:val="23"/>
      <w:lang w:val="en-US" w:eastAsia="zh-CN" w:bidi="ar-SA"/>
    </w:rPr>
  </w:style>
  <w:style w:type="character" w:customStyle="1" w:styleId="64">
    <w:name w:val="表标题2 Char"/>
    <w:link w:val="65"/>
    <w:qFormat/>
    <w:uiPriority w:val="0"/>
    <w:rPr>
      <w:rFonts w:ascii="Arial" w:hAnsi="Arial" w:eastAsia="宋体" w:cs="Arial"/>
      <w:b/>
      <w:kern w:val="2"/>
      <w:sz w:val="24"/>
      <w:szCs w:val="22"/>
      <w:lang w:val="en-US" w:eastAsia="zh-CN" w:bidi="ar-SA"/>
    </w:rPr>
  </w:style>
  <w:style w:type="paragraph" w:customStyle="1" w:styleId="65">
    <w:name w:val="表标题2"/>
    <w:basedOn w:val="1"/>
    <w:link w:val="64"/>
    <w:qFormat/>
    <w:uiPriority w:val="0"/>
    <w:pPr>
      <w:widowControl/>
      <w:adjustRightInd/>
      <w:spacing w:line="360" w:lineRule="auto"/>
      <w:ind w:firstLine="200" w:firstLineChars="200"/>
      <w:jc w:val="both"/>
      <w:textAlignment w:val="auto"/>
    </w:pPr>
    <w:rPr>
      <w:rFonts w:ascii="Arial" w:hAnsi="Arial" w:cs="Arial"/>
      <w:b/>
      <w:kern w:val="2"/>
      <w:szCs w:val="22"/>
    </w:rPr>
  </w:style>
  <w:style w:type="character" w:customStyle="1" w:styleId="66">
    <w:name w:val="正文000 Char"/>
    <w:link w:val="67"/>
    <w:qFormat/>
    <w:uiPriority w:val="0"/>
    <w:rPr>
      <w:rFonts w:eastAsia="宋体"/>
      <w:kern w:val="2"/>
      <w:sz w:val="24"/>
      <w:szCs w:val="22"/>
      <w:lang w:val="en-US" w:eastAsia="zh-CN" w:bidi="ar-SA"/>
    </w:rPr>
  </w:style>
  <w:style w:type="paragraph" w:customStyle="1" w:styleId="67">
    <w:name w:val="正文000"/>
    <w:basedOn w:val="68"/>
    <w:next w:val="1"/>
    <w:link w:val="66"/>
    <w:qFormat/>
    <w:uiPriority w:val="0"/>
    <w:pPr>
      <w:widowControl/>
    </w:pPr>
    <w:rPr>
      <w:szCs w:val="22"/>
    </w:rPr>
  </w:style>
  <w:style w:type="paragraph" w:customStyle="1" w:styleId="68">
    <w:name w:val="正文1"/>
    <w:basedOn w:val="1"/>
    <w:link w:val="69"/>
    <w:qFormat/>
    <w:uiPriority w:val="0"/>
    <w:pPr>
      <w:adjustRightInd/>
      <w:spacing w:line="360" w:lineRule="auto"/>
      <w:ind w:firstLine="480" w:firstLineChars="200"/>
      <w:jc w:val="both"/>
      <w:textAlignment w:val="auto"/>
    </w:pPr>
    <w:rPr>
      <w:kern w:val="2"/>
      <w:szCs w:val="24"/>
    </w:rPr>
  </w:style>
  <w:style w:type="character" w:customStyle="1" w:styleId="69">
    <w:name w:val="正文1 Char"/>
    <w:link w:val="68"/>
    <w:qFormat/>
    <w:uiPriority w:val="0"/>
    <w:rPr>
      <w:rFonts w:eastAsia="宋体"/>
      <w:kern w:val="2"/>
      <w:sz w:val="24"/>
      <w:szCs w:val="24"/>
      <w:lang w:bidi="ar-SA"/>
    </w:rPr>
  </w:style>
  <w:style w:type="character" w:customStyle="1" w:styleId="70">
    <w:name w:val="表格字体 Char"/>
    <w:link w:val="71"/>
    <w:qFormat/>
    <w:uiPriority w:val="0"/>
    <w:rPr>
      <w:rFonts w:ascii="Arial" w:hAnsi="Arial"/>
      <w:kern w:val="2"/>
      <w:sz w:val="21"/>
      <w:szCs w:val="21"/>
      <w:lang w:val="en-US" w:eastAsia="zh-CN" w:bidi="ar-SA"/>
    </w:rPr>
  </w:style>
  <w:style w:type="paragraph" w:customStyle="1" w:styleId="71">
    <w:name w:val="表格字体"/>
    <w:next w:val="1"/>
    <w:link w:val="70"/>
    <w:qFormat/>
    <w:uiPriority w:val="0"/>
    <w:pPr>
      <w:jc w:val="center"/>
    </w:pPr>
    <w:rPr>
      <w:rFonts w:ascii="Arial" w:hAnsi="Arial" w:eastAsia="宋体" w:cs="Times New Roman"/>
      <w:kern w:val="2"/>
      <w:sz w:val="21"/>
      <w:szCs w:val="21"/>
      <w:lang w:val="en-US" w:eastAsia="zh-CN" w:bidi="ar-SA"/>
    </w:rPr>
  </w:style>
  <w:style w:type="character" w:customStyle="1" w:styleId="72">
    <w:name w:val="font41"/>
    <w:qFormat/>
    <w:uiPriority w:val="0"/>
    <w:rPr>
      <w:rFonts w:hint="eastAsia" w:ascii="宋体" w:hAnsi="宋体" w:eastAsia="宋体" w:cs="宋体"/>
      <w:color w:val="000000"/>
      <w:sz w:val="21"/>
      <w:szCs w:val="21"/>
      <w:u w:val="none"/>
    </w:rPr>
  </w:style>
  <w:style w:type="character" w:customStyle="1" w:styleId="73">
    <w:name w:val="表（或图）标题 样式 宋体 五号 居中 SL CON Char"/>
    <w:link w:val="74"/>
    <w:qFormat/>
    <w:locked/>
    <w:uiPriority w:val="0"/>
    <w:rPr>
      <w:rFonts w:ascii="宋体" w:hAnsi="宋体" w:eastAsia="宋体" w:cs="宋体"/>
      <w:b/>
      <w:sz w:val="21"/>
      <w:lang w:val="en-US" w:eastAsia="zh-CN" w:bidi="ar-SA"/>
    </w:rPr>
  </w:style>
  <w:style w:type="paragraph" w:customStyle="1" w:styleId="74">
    <w:name w:val="表（或图）标题 样式 宋体 五号 居中 SL CON"/>
    <w:basedOn w:val="1"/>
    <w:link w:val="73"/>
    <w:qFormat/>
    <w:uiPriority w:val="0"/>
    <w:pPr>
      <w:widowControl/>
      <w:tabs>
        <w:tab w:val="left" w:pos="377"/>
      </w:tabs>
      <w:adjustRightInd/>
      <w:spacing w:before="100" w:beforeAutospacing="1" w:line="360" w:lineRule="auto"/>
      <w:jc w:val="center"/>
      <w:textAlignment w:val="auto"/>
    </w:pPr>
    <w:rPr>
      <w:rFonts w:ascii="宋体" w:hAnsi="宋体" w:cs="宋体"/>
      <w:b/>
      <w:sz w:val="21"/>
    </w:rPr>
  </w:style>
  <w:style w:type="character" w:customStyle="1" w:styleId="75">
    <w:name w:val="正文（首行缩进） Char"/>
    <w:link w:val="76"/>
    <w:qFormat/>
    <w:uiPriority w:val="0"/>
    <w:rPr>
      <w:rFonts w:eastAsia="宋体"/>
      <w:kern w:val="2"/>
      <w:sz w:val="28"/>
      <w:szCs w:val="24"/>
      <w:lang w:val="zh-CN" w:eastAsia="zh-CN" w:bidi="ar-SA"/>
    </w:rPr>
  </w:style>
  <w:style w:type="paragraph" w:customStyle="1" w:styleId="76">
    <w:name w:val="正文（首行缩进）"/>
    <w:basedOn w:val="23"/>
    <w:link w:val="75"/>
    <w:qFormat/>
    <w:uiPriority w:val="0"/>
    <w:pPr>
      <w:ind w:firstLine="560" w:firstLineChars="200"/>
      <w:jc w:val="left"/>
    </w:pPr>
    <w:rPr>
      <w:rFonts w:ascii="Times New Roman" w:hAnsi="Times New Roman" w:cs="Times New Roman"/>
      <w:szCs w:val="24"/>
      <w:lang w:val="zh-CN"/>
    </w:rPr>
  </w:style>
  <w:style w:type="character" w:customStyle="1" w:styleId="77">
    <w:name w:val="font71"/>
    <w:qFormat/>
    <w:uiPriority w:val="0"/>
    <w:rPr>
      <w:rFonts w:ascii="仿宋" w:hAnsi="仿宋" w:eastAsia="仿宋" w:cs="仿宋"/>
      <w:color w:val="000000"/>
      <w:sz w:val="20"/>
      <w:szCs w:val="20"/>
      <w:u w:val="none"/>
    </w:rPr>
  </w:style>
  <w:style w:type="character" w:customStyle="1" w:styleId="78">
    <w:name w:val="font11"/>
    <w:qFormat/>
    <w:uiPriority w:val="0"/>
    <w:rPr>
      <w:rFonts w:hint="default" w:ascii="Times New Roman" w:hAnsi="Times New Roman" w:cs="Times New Roman"/>
      <w:color w:val="000000"/>
      <w:sz w:val="21"/>
      <w:szCs w:val="21"/>
      <w:u w:val="none"/>
    </w:rPr>
  </w:style>
  <w:style w:type="paragraph" w:customStyle="1" w:styleId="79">
    <w:name w:val="Char"/>
    <w:basedOn w:val="1"/>
    <w:qFormat/>
    <w:uiPriority w:val="0"/>
    <w:pPr>
      <w:adjustRightInd/>
      <w:spacing w:line="240" w:lineRule="auto"/>
      <w:jc w:val="both"/>
      <w:textAlignment w:val="auto"/>
    </w:pPr>
    <w:rPr>
      <w:kern w:val="2"/>
      <w:sz w:val="21"/>
      <w:szCs w:val="24"/>
    </w:rPr>
  </w:style>
  <w:style w:type="paragraph" w:customStyle="1" w:styleId="80">
    <w:name w:val="Char Char Char Char"/>
    <w:basedOn w:val="1"/>
    <w:qFormat/>
    <w:uiPriority w:val="0"/>
    <w:pPr>
      <w:adjustRightInd/>
      <w:spacing w:line="240" w:lineRule="auto"/>
      <w:jc w:val="both"/>
      <w:textAlignment w:val="auto"/>
    </w:pPr>
    <w:rPr>
      <w:kern w:val="2"/>
      <w:sz w:val="21"/>
    </w:rPr>
  </w:style>
  <w:style w:type="paragraph" w:customStyle="1" w:styleId="81">
    <w:name w:val="表格"/>
    <w:basedOn w:val="1"/>
    <w:qFormat/>
    <w:uiPriority w:val="0"/>
    <w:pPr>
      <w:widowControl/>
      <w:spacing w:line="240" w:lineRule="auto"/>
      <w:jc w:val="center"/>
    </w:pPr>
    <w:rPr>
      <w:color w:val="000000"/>
      <w:sz w:val="21"/>
      <w:szCs w:val="24"/>
    </w:rPr>
  </w:style>
  <w:style w:type="paragraph" w:customStyle="1" w:styleId="82">
    <w:name w:val="样式 首行缩进:  2 字符"/>
    <w:basedOn w:val="1"/>
    <w:qFormat/>
    <w:uiPriority w:val="0"/>
    <w:pPr>
      <w:spacing w:line="460" w:lineRule="exact"/>
      <w:ind w:firstLine="200" w:firstLineChars="200"/>
    </w:pPr>
    <w:rPr>
      <w:rFonts w:cs="宋体"/>
      <w:spacing w:val="8"/>
      <w:szCs w:val="24"/>
    </w:rPr>
  </w:style>
  <w:style w:type="paragraph" w:customStyle="1" w:styleId="83">
    <w:name w:val="LL-表格"/>
    <w:basedOn w:val="3"/>
    <w:qFormat/>
    <w:uiPriority w:val="0"/>
    <w:pPr>
      <w:snapToGrid w:val="0"/>
      <w:spacing w:line="400" w:lineRule="exact"/>
      <w:ind w:firstLine="0"/>
      <w:jc w:val="center"/>
      <w:textAlignment w:val="auto"/>
    </w:pPr>
    <w:rPr>
      <w:rFonts w:ascii="宋体" w:hAnsi="宋体"/>
      <w:kern w:val="2"/>
      <w:sz w:val="21"/>
      <w:szCs w:val="21"/>
    </w:rPr>
  </w:style>
  <w:style w:type="paragraph" w:customStyle="1" w:styleId="84">
    <w:name w:val="水保"/>
    <w:basedOn w:val="1"/>
    <w:qFormat/>
    <w:uiPriority w:val="0"/>
    <w:pPr>
      <w:spacing w:line="400" w:lineRule="exact"/>
      <w:ind w:firstLine="200" w:firstLineChars="200"/>
    </w:pPr>
  </w:style>
  <w:style w:type="paragraph" w:customStyle="1" w:styleId="85">
    <w:name w:val="表格文字内容"/>
    <w:basedOn w:val="1"/>
    <w:qFormat/>
    <w:uiPriority w:val="0"/>
    <w:pPr>
      <w:keepNext/>
      <w:keepLines/>
      <w:tabs>
        <w:tab w:val="left" w:pos="1404"/>
      </w:tabs>
      <w:snapToGrid w:val="0"/>
      <w:spacing w:line="240" w:lineRule="auto"/>
      <w:jc w:val="center"/>
      <w:textAlignment w:val="auto"/>
      <w:outlineLvl w:val="5"/>
    </w:pPr>
    <w:rPr>
      <w:bCs/>
      <w:kern w:val="2"/>
      <w:sz w:val="21"/>
      <w:szCs w:val="28"/>
    </w:rPr>
  </w:style>
  <w:style w:type="paragraph" w:customStyle="1" w:styleId="86">
    <w:name w:val="表格标题"/>
    <w:basedOn w:val="9"/>
    <w:qFormat/>
    <w:uiPriority w:val="0"/>
    <w:rPr>
      <w:szCs w:val="21"/>
    </w:rPr>
  </w:style>
  <w:style w:type="paragraph" w:customStyle="1" w:styleId="87">
    <w:name w:val="样式3"/>
    <w:basedOn w:val="1"/>
    <w:qFormat/>
    <w:uiPriority w:val="0"/>
    <w:pPr>
      <w:spacing w:line="360" w:lineRule="auto"/>
      <w:ind w:firstLine="200" w:firstLineChars="200"/>
    </w:pPr>
  </w:style>
  <w:style w:type="paragraph" w:customStyle="1" w:styleId="88">
    <w:name w:val="样式 标题 3 SL CON + 段前: 0.5 行"/>
    <w:basedOn w:val="1"/>
    <w:qFormat/>
    <w:uiPriority w:val="0"/>
    <w:pPr>
      <w:keepNext/>
      <w:keepLines/>
      <w:widowControl/>
      <w:tabs>
        <w:tab w:val="left" w:pos="377"/>
        <w:tab w:val="left" w:pos="1034"/>
      </w:tabs>
      <w:adjustRightInd/>
      <w:spacing w:before="100" w:beforeAutospacing="1" w:line="360" w:lineRule="auto"/>
      <w:ind w:left="1034" w:hanging="794"/>
      <w:jc w:val="both"/>
      <w:textAlignment w:val="auto"/>
      <w:outlineLvl w:val="2"/>
    </w:pPr>
    <w:rPr>
      <w:rFonts w:ascii="黑体" w:eastAsia="黑体" w:cs="宋体"/>
      <w:bCs/>
      <w:sz w:val="28"/>
    </w:rPr>
  </w:style>
  <w:style w:type="paragraph" w:customStyle="1" w:styleId="89">
    <w:name w:val="表文字"/>
    <w:qFormat/>
    <w:uiPriority w:val="0"/>
    <w:pPr>
      <w:spacing w:line="440" w:lineRule="exact"/>
      <w:jc w:val="center"/>
    </w:pPr>
    <w:rPr>
      <w:rFonts w:ascii="Arial" w:hAnsi="Arial" w:eastAsia="宋体" w:cs="Arial"/>
      <w:sz w:val="23"/>
      <w:lang w:val="en-US" w:eastAsia="zh-CN" w:bidi="ar-SA"/>
    </w:rPr>
  </w:style>
  <w:style w:type="paragraph" w:customStyle="1" w:styleId="90">
    <w:name w:val="默认段落字体 Para Char"/>
    <w:basedOn w:val="1"/>
    <w:next w:val="1"/>
    <w:qFormat/>
    <w:uiPriority w:val="0"/>
    <w:pPr>
      <w:adjustRightInd/>
      <w:spacing w:line="360" w:lineRule="auto"/>
      <w:ind w:firstLine="200" w:firstLineChars="200"/>
      <w:jc w:val="both"/>
      <w:textAlignment w:val="auto"/>
    </w:pPr>
    <w:rPr>
      <w:rFonts w:ascii="宋体" w:hAnsi="宋体" w:cs="宋体"/>
      <w:kern w:val="2"/>
      <w:szCs w:val="24"/>
    </w:rPr>
  </w:style>
  <w:style w:type="paragraph" w:customStyle="1" w:styleId="91">
    <w:name w:val="地质报告正文"/>
    <w:basedOn w:val="1"/>
    <w:qFormat/>
    <w:uiPriority w:val="0"/>
    <w:pPr>
      <w:adjustRightInd/>
      <w:spacing w:line="240" w:lineRule="auto"/>
      <w:ind w:firstLine="200" w:firstLineChars="200"/>
      <w:jc w:val="both"/>
      <w:textAlignment w:val="auto"/>
    </w:pPr>
    <w:rPr>
      <w:kern w:val="2"/>
      <w:sz w:val="28"/>
      <w:szCs w:val="24"/>
    </w:rPr>
  </w:style>
  <w:style w:type="paragraph" w:customStyle="1" w:styleId="92">
    <w:name w:val="Table Paragraph"/>
    <w:basedOn w:val="1"/>
    <w:qFormat/>
    <w:uiPriority w:val="1"/>
    <w:pPr>
      <w:jc w:val="center"/>
    </w:pPr>
    <w:rPr>
      <w:rFonts w:ascii="Noto Sans Mono CJK JP Regular" w:hAnsi="Noto Sans Mono CJK JP Regular" w:eastAsia="Noto Sans Mono CJK JP Regular" w:cs="Noto Sans Mono CJK JP Regular"/>
    </w:rPr>
  </w:style>
  <w:style w:type="paragraph" w:customStyle="1" w:styleId="93">
    <w:name w:val="表格（居中）"/>
    <w:next w:val="1"/>
    <w:semiHidden/>
    <w:qFormat/>
    <w:uiPriority w:val="0"/>
    <w:pPr>
      <w:spacing w:line="0" w:lineRule="atLeast"/>
      <w:jc w:val="center"/>
    </w:pPr>
    <w:rPr>
      <w:rFonts w:ascii="Times New Roman" w:hAnsi="Times New Roman" w:eastAsia="仿宋_GB2312" w:cs="宋体"/>
      <w:kern w:val="2"/>
      <w:sz w:val="21"/>
      <w:lang w:val="en-US" w:eastAsia="zh-CN" w:bidi="ar-SA"/>
    </w:rPr>
  </w:style>
  <w:style w:type="paragraph" w:customStyle="1" w:styleId="94">
    <w:name w:val="报告正文"/>
    <w:basedOn w:val="1"/>
    <w:qFormat/>
    <w:uiPriority w:val="99"/>
    <w:pPr>
      <w:spacing w:line="520" w:lineRule="atLeast"/>
      <w:ind w:firstLine="200" w:firstLineChars="200"/>
      <w:jc w:val="both"/>
    </w:pPr>
    <w:rPr>
      <w:rFonts w:ascii="Arial" w:hAnsi="Arial"/>
      <w:sz w:val="28"/>
      <w:szCs w:val="28"/>
    </w:rPr>
  </w:style>
  <w:style w:type="paragraph" w:customStyle="1" w:styleId="95">
    <w:name w:val="样式1"/>
    <w:basedOn w:val="12"/>
    <w:next w:val="1"/>
    <w:qFormat/>
    <w:uiPriority w:val="0"/>
    <w:pPr>
      <w:tabs>
        <w:tab w:val="center" w:pos="4153"/>
        <w:tab w:val="right" w:pos="8306"/>
      </w:tabs>
      <w:spacing w:line="360" w:lineRule="auto"/>
      <w:jc w:val="center"/>
    </w:pPr>
    <w:rPr>
      <w:rFonts w:ascii="宋体" w:hAnsi="宋体"/>
      <w:sz w:val="18"/>
      <w:szCs w:val="18"/>
    </w:rPr>
  </w:style>
  <w:style w:type="paragraph" w:customStyle="1" w:styleId="96">
    <w:name w:val="表格内容"/>
    <w:basedOn w:val="1"/>
    <w:qFormat/>
    <w:uiPriority w:val="0"/>
    <w:pPr>
      <w:jc w:val="center"/>
    </w:pPr>
    <w:rPr>
      <w:sz w:val="21"/>
    </w:rPr>
  </w:style>
  <w:style w:type="paragraph" w:customStyle="1" w:styleId="97">
    <w:name w:val="样式 四号 行距: 1.5 倍行距"/>
    <w:basedOn w:val="1"/>
    <w:qFormat/>
    <w:uiPriority w:val="0"/>
    <w:pPr>
      <w:spacing w:line="360" w:lineRule="auto"/>
      <w:ind w:firstLine="560" w:firstLineChars="200"/>
    </w:pPr>
    <w:rPr>
      <w:rFonts w:cs="宋体"/>
    </w:rPr>
  </w:style>
  <w:style w:type="paragraph" w:customStyle="1" w:styleId="98">
    <w:name w:val="Char Char Char2 Char Char Char Char Char Char Char Char Char Char Char Char Char"/>
    <w:basedOn w:val="1"/>
    <w:qFormat/>
    <w:uiPriority w:val="0"/>
    <w:pPr>
      <w:adjustRightInd/>
      <w:spacing w:line="240" w:lineRule="auto"/>
      <w:jc w:val="both"/>
      <w:textAlignment w:val="auto"/>
    </w:pPr>
    <w:rPr>
      <w:kern w:val="2"/>
      <w:sz w:val="28"/>
      <w:szCs w:val="28"/>
    </w:rPr>
  </w:style>
  <w:style w:type="paragraph" w:customStyle="1" w:styleId="99">
    <w:name w:val="LL-正文"/>
    <w:qFormat/>
    <w:uiPriority w:val="0"/>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0">
    <w:name w:val="标题三"/>
    <w:basedOn w:val="1"/>
    <w:next w:val="1"/>
    <w:qFormat/>
    <w:uiPriority w:val="0"/>
    <w:pPr>
      <w:numPr>
        <w:ilvl w:val="0"/>
        <w:numId w:val="1"/>
      </w:numPr>
      <w:spacing w:line="360" w:lineRule="auto"/>
      <w:jc w:val="left"/>
      <w:outlineLvl w:val="2"/>
    </w:pPr>
    <w:rPr>
      <w:b/>
      <w:sz w:val="28"/>
      <w:szCs w:val="30"/>
    </w:rPr>
  </w:style>
  <w:style w:type="paragraph" w:customStyle="1" w:styleId="101">
    <w:name w:val="标题二"/>
    <w:basedOn w:val="1"/>
    <w:next w:val="1"/>
    <w:qFormat/>
    <w:uiPriority w:val="0"/>
    <w:pPr>
      <w:spacing w:line="360" w:lineRule="auto"/>
      <w:jc w:val="left"/>
      <w:outlineLvl w:val="1"/>
    </w:pPr>
    <w:rPr>
      <w:b/>
      <w:sz w:val="30"/>
      <w:szCs w:val="30"/>
    </w:rPr>
  </w:style>
  <w:style w:type="paragraph" w:customStyle="1" w:styleId="102">
    <w:name w:val="p0"/>
    <w:basedOn w:val="1"/>
    <w:qFormat/>
    <w:uiPriority w:val="0"/>
    <w:pPr>
      <w:widowControl/>
    </w:pPr>
    <w:rPr>
      <w:kern w:val="0"/>
      <w:szCs w:val="21"/>
    </w:rPr>
  </w:style>
  <w:style w:type="paragraph" w:customStyle="1" w:styleId="103">
    <w:name w:val="王勇"/>
    <w:basedOn w:val="1"/>
    <w:qFormat/>
    <w:uiPriority w:val="0"/>
    <w:pPr>
      <w:spacing w:line="360" w:lineRule="auto"/>
      <w:ind w:firstLine="200" w:firstLineChars="200"/>
    </w:pPr>
    <w:rPr>
      <w:rFonts w:ascii="Times New Roman" w:hAnsi="Times New Roman" w:eastAsia="宋体" w:cs="Times New Roman"/>
      <w:kern w:val="24"/>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4.png"/><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endnotes" Target="endnotes.xml"/><Relationship Id="rId39" Type="http://schemas.openxmlformats.org/officeDocument/2006/relationships/image" Target="media/image6.png"/><Relationship Id="rId38" Type="http://schemas.openxmlformats.org/officeDocument/2006/relationships/image" Target="media/image5.emf"/><Relationship Id="rId37" Type="http://schemas.openxmlformats.org/officeDocument/2006/relationships/oleObject" Target="embeddings/oleObject3.bin"/><Relationship Id="rId36" Type="http://schemas.openxmlformats.org/officeDocument/2006/relationships/chart" Target="charts/chart1.xml"/><Relationship Id="rId35" Type="http://schemas.openxmlformats.org/officeDocument/2006/relationships/image" Target="media/image4.wmf"/><Relationship Id="rId34" Type="http://schemas.openxmlformats.org/officeDocument/2006/relationships/oleObject" Target="embeddings/oleObject2.bin"/><Relationship Id="rId33" Type="http://schemas.openxmlformats.org/officeDocument/2006/relationships/image" Target="media/image3.wmf"/><Relationship Id="rId32" Type="http://schemas.openxmlformats.org/officeDocument/2006/relationships/oleObject" Target="embeddings/oleObject1.bin"/><Relationship Id="rId31" Type="http://schemas.openxmlformats.org/officeDocument/2006/relationships/image" Target="media/image2.jpeg"/><Relationship Id="rId30" Type="http://schemas.openxmlformats.org/officeDocument/2006/relationships/image" Target="media/image1.jpe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BaiduSyncdisk\&#21516;&#27493;&#25991;&#20214;\@@&#24037;&#20316;&#20869;&#23481;@@\11-&#27700;&#20445;&#30456;&#20851;&#25991;&#20214;\&#27700;&#20445;&#35745;&#31639;&#20844;&#24335;\&#24037;&#31243;&#21333;&#20215;&#35745;&#31639;&#349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222222222222"/>
          <c:y val="0.0474537037037037"/>
          <c:w val="0.849222222222222"/>
          <c:h val="0.7412962962962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'[工程单价计算表(1).xlsx]Sheet2'!$E$113:$E$114</c:f>
              <c:strCache>
                <c:ptCount val="2"/>
                <c:pt idx="0">
                  <c:v>建筑物区域施工期</c:v>
                </c:pt>
                <c:pt idx="1">
                  <c:v>道路及硬化区域施工期</c:v>
                </c:pt>
              </c:strCache>
            </c:strRef>
          </c:cat>
          <c:val>
            <c:numRef>
              <c:f>'[工程单价计算表(1).xlsx]Sheet2'!$F$113:$F$114</c:f>
              <c:numCache>
                <c:formatCode>General</c:formatCode>
                <c:ptCount val="2"/>
                <c:pt idx="0">
                  <c:v>2.28</c:v>
                </c:pt>
                <c:pt idx="1">
                  <c:v>19.8</c:v>
                </c:pt>
              </c:numCache>
            </c:numRef>
          </c:val>
        </c:ser>
        <c:dLbls>
          <c:showLegendKey val="0"/>
          <c:showVal val="1"/>
          <c:showCatName val="0"/>
          <c:showSerName val="0"/>
          <c:showPercent val="0"/>
          <c:showBubbleSize val="0"/>
        </c:dLbls>
        <c:gapWidth val="219"/>
        <c:overlap val="-27"/>
        <c:axId val="390892137"/>
        <c:axId val="931981336"/>
      </c:barChart>
      <c:catAx>
        <c:axId val="390892137"/>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工程建设区</a:t>
                </a:r>
              </a:p>
            </c:rich>
          </c:tx>
          <c:layout/>
          <c:overlay val="0"/>
          <c:spPr>
            <a:noFill/>
            <a:ln>
              <a:noFill/>
            </a:ln>
            <a:effectLst/>
          </c:sp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1981336"/>
        <c:crosses val="autoZero"/>
        <c:auto val="1"/>
        <c:lblAlgn val="ctr"/>
        <c:lblOffset val="100"/>
        <c:noMultiLvlLbl val="0"/>
      </c:catAx>
      <c:valAx>
        <c:axId val="931981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新增水土流失量，单位：</a:t>
                </a:r>
                <a:r>
                  <a:rPr lang="en-US" altLang="zh-CN"/>
                  <a:t>t</a:t>
                </a:r>
                <a:endParaRPr lang="en-US" altLang="zh-CN"/>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089213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33176</Words>
  <Characters>36720</Characters>
  <Lines>407</Lines>
  <Paragraphs>114</Paragraphs>
  <TotalTime>47</TotalTime>
  <ScaleCrop>false</ScaleCrop>
  <LinksUpToDate>false</LinksUpToDate>
  <CharactersWithSpaces>37859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2019-04-10T13:08:00Z</dcterms:created>
  <dc:creator>Administrator</dc:creator>
  <cp:lastModifiedBy>沐柚</cp:lastModifiedBy>
  <cp:lastPrinted>2019-04-17T05:12:00Z</cp:lastPrinted>
  <dcterms:modified xsi:type="dcterms:W3CDTF">2023-06-02T08:11:59Z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5E54E2BA2DA2484C9D079A70E3206792_13</vt:lpwstr>
  </property>
</Properties>
</file>