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ind w:left="-324" w:leftChars="-135" w:right="-552" w:rightChars="-230"/>
        <w:jc w:val="center"/>
        <w:rPr>
          <w:b/>
          <w:bCs/>
          <w:color w:val="000000" w:themeColor="text1"/>
          <w:sz w:val="44"/>
          <w:szCs w:val="44"/>
        </w:rPr>
      </w:pPr>
    </w:p>
    <w:p>
      <w:pPr>
        <w:spacing w:after="120" w:afterLines="50"/>
        <w:ind w:left="-324" w:leftChars="-135" w:right="-552" w:rightChars="-230"/>
        <w:jc w:val="center"/>
        <w:rPr>
          <w:b/>
          <w:bCs/>
          <w:color w:val="000000" w:themeColor="text1"/>
          <w:sz w:val="44"/>
          <w:szCs w:val="44"/>
        </w:rPr>
      </w:pPr>
    </w:p>
    <w:p>
      <w:pPr>
        <w:spacing w:after="120" w:afterLines="50"/>
        <w:ind w:right="-552" w:rightChars="-230"/>
        <w:jc w:val="both"/>
        <w:rPr>
          <w:b/>
          <w:bCs/>
          <w:color w:val="000000" w:themeColor="text1"/>
          <w:sz w:val="44"/>
          <w:szCs w:val="44"/>
        </w:rPr>
      </w:pPr>
    </w:p>
    <w:p>
      <w:pPr>
        <w:spacing w:before="120" w:beforeLines="50" w:line="360" w:lineRule="auto"/>
        <w:jc w:val="center"/>
        <w:rPr>
          <w:rFonts w:hint="eastAsia" w:ascii="宋体" w:hAnsi="宋体" w:eastAsia="宋体" w:cs="宋体"/>
          <w:b/>
          <w:bCs w:val="0"/>
          <w:color w:val="000000" w:themeColor="text1"/>
          <w:sz w:val="44"/>
          <w:szCs w:val="44"/>
          <w:lang w:eastAsia="zh-CN"/>
        </w:rPr>
      </w:pPr>
      <w:r>
        <w:rPr>
          <w:rFonts w:hint="eastAsia" w:ascii="宋体" w:hAnsi="宋体" w:cs="宋体"/>
          <w:b/>
          <w:bCs w:val="0"/>
          <w:color w:val="000000" w:themeColor="text1"/>
          <w:sz w:val="44"/>
          <w:szCs w:val="44"/>
          <w:lang w:eastAsia="zh-CN"/>
        </w:rPr>
        <w:t>农安县东兴实业有限公司蒸压加气泥凝块年产40万立方项目</w:t>
      </w:r>
    </w:p>
    <w:p>
      <w:pPr>
        <w:spacing w:after="120" w:afterLines="50"/>
        <w:ind w:left="-324" w:leftChars="-135" w:right="-552" w:rightChars="-230"/>
        <w:jc w:val="center"/>
        <w:rPr>
          <w:rFonts w:eastAsia="黑体"/>
          <w:color w:val="000000" w:themeColor="text1"/>
          <w:sz w:val="84"/>
        </w:rPr>
      </w:pPr>
      <w:r>
        <w:rPr>
          <w:rFonts w:eastAsia="黑体"/>
          <w:b/>
          <w:bCs/>
          <w:color w:val="000000" w:themeColor="text1"/>
          <w:sz w:val="84"/>
          <w:szCs w:val="84"/>
        </w:rPr>
        <w:t>水土保持方案报告</w:t>
      </w:r>
      <w:r>
        <w:rPr>
          <w:rFonts w:hint="eastAsia" w:eastAsia="黑体"/>
          <w:b/>
          <w:bCs/>
          <w:color w:val="000000" w:themeColor="text1"/>
          <w:sz w:val="84"/>
          <w:szCs w:val="84"/>
        </w:rPr>
        <w:t>表</w:t>
      </w:r>
    </w:p>
    <w:p>
      <w:pPr>
        <w:spacing w:after="120" w:afterLines="50"/>
        <w:ind w:left="-324" w:leftChars="-135" w:right="-552" w:rightChars="-230"/>
        <w:jc w:val="center"/>
        <w:rPr>
          <w:b/>
          <w:bCs/>
          <w:color w:val="000000" w:themeColor="text1"/>
          <w:sz w:val="44"/>
          <w:szCs w:val="44"/>
        </w:rPr>
      </w:pPr>
    </w:p>
    <w:p>
      <w:pPr>
        <w:spacing w:after="120" w:afterLines="50"/>
        <w:ind w:left="-324" w:leftChars="-135" w:right="-552" w:rightChars="-230"/>
        <w:jc w:val="center"/>
        <w:rPr>
          <w:b/>
          <w:bCs/>
          <w:color w:val="000000" w:themeColor="text1"/>
          <w:sz w:val="44"/>
          <w:szCs w:val="44"/>
        </w:rPr>
      </w:pPr>
    </w:p>
    <w:p>
      <w:pPr>
        <w:spacing w:after="120" w:afterLines="50"/>
        <w:ind w:left="-324" w:leftChars="-135" w:right="-552" w:rightChars="-230"/>
        <w:jc w:val="center"/>
        <w:rPr>
          <w:b/>
          <w:bCs/>
          <w:color w:val="000000" w:themeColor="text1"/>
          <w:sz w:val="44"/>
          <w:szCs w:val="44"/>
        </w:rPr>
      </w:pPr>
    </w:p>
    <w:p>
      <w:pPr>
        <w:spacing w:after="120" w:afterLines="50"/>
        <w:ind w:left="-324" w:leftChars="-135" w:right="-552" w:rightChars="-230"/>
        <w:jc w:val="center"/>
        <w:rPr>
          <w:b/>
          <w:bCs/>
          <w:color w:val="000000" w:themeColor="text1"/>
          <w:sz w:val="44"/>
          <w:szCs w:val="44"/>
        </w:rPr>
      </w:pPr>
    </w:p>
    <w:p>
      <w:pPr>
        <w:spacing w:after="120" w:afterLines="50"/>
        <w:ind w:left="-324" w:leftChars="-135" w:right="-552" w:rightChars="-230"/>
        <w:jc w:val="center"/>
        <w:rPr>
          <w:b/>
          <w:bCs/>
          <w:color w:val="000000" w:themeColor="text1"/>
          <w:sz w:val="44"/>
          <w:szCs w:val="44"/>
        </w:rPr>
      </w:pPr>
    </w:p>
    <w:p>
      <w:pPr>
        <w:spacing w:after="120" w:afterLines="50"/>
        <w:ind w:left="-324" w:leftChars="-135" w:right="-552" w:rightChars="-230"/>
        <w:jc w:val="center"/>
        <w:rPr>
          <w:b/>
          <w:bCs/>
          <w:color w:val="000000" w:themeColor="text1"/>
          <w:sz w:val="44"/>
          <w:szCs w:val="44"/>
        </w:rPr>
      </w:pPr>
    </w:p>
    <w:p>
      <w:pPr>
        <w:spacing w:after="120" w:afterLines="50"/>
        <w:ind w:left="-324" w:leftChars="-135" w:right="-552" w:rightChars="-230"/>
        <w:jc w:val="center"/>
        <w:rPr>
          <w:b/>
          <w:bCs/>
          <w:color w:val="000000" w:themeColor="text1"/>
          <w:sz w:val="44"/>
          <w:szCs w:val="44"/>
        </w:rPr>
      </w:pPr>
    </w:p>
    <w:p>
      <w:pPr>
        <w:spacing w:after="120" w:afterLines="50"/>
        <w:ind w:left="-324" w:leftChars="-135" w:right="-552" w:rightChars="-230"/>
        <w:jc w:val="center"/>
        <w:rPr>
          <w:b/>
          <w:bCs/>
          <w:color w:val="000000" w:themeColor="text1"/>
          <w:sz w:val="44"/>
          <w:szCs w:val="44"/>
        </w:rPr>
      </w:pPr>
    </w:p>
    <w:p>
      <w:pPr>
        <w:spacing w:after="120" w:afterLines="50"/>
        <w:ind w:left="-324" w:leftChars="-135" w:right="-552" w:rightChars="-230"/>
        <w:jc w:val="center"/>
        <w:rPr>
          <w:b/>
          <w:bCs/>
          <w:color w:val="000000" w:themeColor="text1"/>
          <w:sz w:val="44"/>
          <w:szCs w:val="44"/>
        </w:rPr>
      </w:pPr>
    </w:p>
    <w:p>
      <w:pPr>
        <w:spacing w:after="120" w:afterLines="50"/>
        <w:ind w:left="-324" w:leftChars="-135" w:right="-552" w:rightChars="-230"/>
        <w:jc w:val="center"/>
        <w:rPr>
          <w:b/>
          <w:bCs/>
          <w:color w:val="000000" w:themeColor="text1"/>
          <w:sz w:val="44"/>
          <w:szCs w:val="44"/>
        </w:rPr>
      </w:pPr>
    </w:p>
    <w:tbl>
      <w:tblPr>
        <w:tblStyle w:val="23"/>
        <w:tblW w:w="0" w:type="auto"/>
        <w:jc w:val="center"/>
        <w:tblLayout w:type="fixed"/>
        <w:tblCellMar>
          <w:top w:w="0" w:type="dxa"/>
          <w:left w:w="108" w:type="dxa"/>
          <w:bottom w:w="0" w:type="dxa"/>
          <w:right w:w="0" w:type="dxa"/>
        </w:tblCellMar>
      </w:tblPr>
      <w:tblGrid>
        <w:gridCol w:w="2091"/>
        <w:gridCol w:w="6999"/>
      </w:tblGrid>
      <w:tr>
        <w:tblPrEx>
          <w:tblCellMar>
            <w:top w:w="0" w:type="dxa"/>
            <w:left w:w="108" w:type="dxa"/>
            <w:bottom w:w="0" w:type="dxa"/>
            <w:right w:w="0" w:type="dxa"/>
          </w:tblCellMar>
        </w:tblPrEx>
        <w:trPr>
          <w:trHeight w:val="508" w:hRule="atLeast"/>
          <w:jc w:val="center"/>
        </w:trPr>
        <w:tc>
          <w:tcPr>
            <w:tcW w:w="2091" w:type="dxa"/>
            <w:vAlign w:val="center"/>
          </w:tcPr>
          <w:p>
            <w:pPr>
              <w:spacing w:line="240" w:lineRule="auto"/>
              <w:ind w:left="-112" w:leftChars="-163" w:hanging="279" w:hangingChars="87"/>
              <w:jc w:val="center"/>
              <w:rPr>
                <w:b/>
                <w:color w:val="000000" w:themeColor="text1"/>
                <w:sz w:val="32"/>
                <w:szCs w:val="32"/>
              </w:rPr>
            </w:pPr>
            <w:r>
              <w:rPr>
                <w:rFonts w:hint="eastAsia"/>
                <w:b/>
                <w:color w:val="000000" w:themeColor="text1"/>
                <w:sz w:val="32"/>
                <w:szCs w:val="32"/>
              </w:rPr>
              <w:t xml:space="preserve">   </w:t>
            </w:r>
            <w:r>
              <w:rPr>
                <w:b/>
                <w:color w:val="000000" w:themeColor="text1"/>
                <w:sz w:val="32"/>
                <w:szCs w:val="32"/>
              </w:rPr>
              <w:t>建设单位：</w:t>
            </w:r>
          </w:p>
        </w:tc>
        <w:tc>
          <w:tcPr>
            <w:tcW w:w="6999" w:type="dxa"/>
          </w:tcPr>
          <w:p>
            <w:pPr>
              <w:spacing w:line="240" w:lineRule="auto"/>
              <w:ind w:right="280"/>
              <w:jc w:val="distribute"/>
              <w:rPr>
                <w:rFonts w:hint="eastAsia" w:eastAsia="宋体"/>
                <w:b/>
                <w:color w:val="000000" w:themeColor="text1"/>
                <w:sz w:val="32"/>
                <w:szCs w:val="32"/>
                <w:lang w:eastAsia="zh-CN"/>
              </w:rPr>
            </w:pPr>
            <w:r>
              <w:rPr>
                <w:rFonts w:hint="eastAsia"/>
                <w:b/>
                <w:color w:val="000000" w:themeColor="text1"/>
                <w:sz w:val="32"/>
                <w:szCs w:val="32"/>
                <w:lang w:eastAsia="zh-CN"/>
              </w:rPr>
              <w:t>农安县东兴实业有限公司</w:t>
            </w:r>
          </w:p>
        </w:tc>
      </w:tr>
      <w:tr>
        <w:tblPrEx>
          <w:tblCellMar>
            <w:top w:w="0" w:type="dxa"/>
            <w:left w:w="108" w:type="dxa"/>
            <w:bottom w:w="0" w:type="dxa"/>
            <w:right w:w="0" w:type="dxa"/>
          </w:tblCellMar>
        </w:tblPrEx>
        <w:trPr>
          <w:trHeight w:val="558" w:hRule="atLeast"/>
          <w:jc w:val="center"/>
        </w:trPr>
        <w:tc>
          <w:tcPr>
            <w:tcW w:w="2091" w:type="dxa"/>
          </w:tcPr>
          <w:p>
            <w:pPr>
              <w:spacing w:line="240" w:lineRule="auto"/>
              <w:ind w:left="41" w:leftChars="-99" w:right="160" w:hanging="279" w:hangingChars="87"/>
              <w:jc w:val="right"/>
              <w:rPr>
                <w:b/>
                <w:color w:val="000000" w:themeColor="text1"/>
                <w:sz w:val="32"/>
                <w:szCs w:val="32"/>
              </w:rPr>
            </w:pPr>
            <w:r>
              <w:rPr>
                <w:b/>
                <w:color w:val="000000" w:themeColor="text1"/>
                <w:sz w:val="32"/>
                <w:szCs w:val="32"/>
              </w:rPr>
              <w:t>编制单位：</w:t>
            </w:r>
          </w:p>
        </w:tc>
        <w:tc>
          <w:tcPr>
            <w:tcW w:w="6999" w:type="dxa"/>
          </w:tcPr>
          <w:p>
            <w:pPr>
              <w:spacing w:line="240" w:lineRule="auto"/>
              <w:ind w:left="279" w:right="280" w:hanging="279" w:hangingChars="87"/>
              <w:jc w:val="distribute"/>
              <w:rPr>
                <w:b/>
                <w:color w:val="000000" w:themeColor="text1"/>
                <w:sz w:val="32"/>
                <w:szCs w:val="32"/>
              </w:rPr>
            </w:pPr>
            <w:r>
              <w:rPr>
                <w:b/>
                <w:color w:val="000000" w:themeColor="text1"/>
                <w:sz w:val="32"/>
                <w:szCs w:val="32"/>
              </w:rPr>
              <w:t>吉林省玖伏环境科技有限公司</w:t>
            </w:r>
          </w:p>
        </w:tc>
      </w:tr>
      <w:tr>
        <w:tblPrEx>
          <w:tblCellMar>
            <w:top w:w="0" w:type="dxa"/>
            <w:left w:w="108" w:type="dxa"/>
            <w:bottom w:w="0" w:type="dxa"/>
            <w:right w:w="0" w:type="dxa"/>
          </w:tblCellMar>
        </w:tblPrEx>
        <w:trPr>
          <w:trHeight w:val="557" w:hRule="atLeast"/>
          <w:jc w:val="center"/>
        </w:trPr>
        <w:tc>
          <w:tcPr>
            <w:tcW w:w="9090" w:type="dxa"/>
            <w:gridSpan w:val="2"/>
          </w:tcPr>
          <w:p>
            <w:pPr>
              <w:spacing w:line="240" w:lineRule="auto"/>
              <w:ind w:left="280" w:right="280"/>
              <w:jc w:val="center"/>
              <w:rPr>
                <w:color w:val="000000" w:themeColor="text1"/>
                <w:sz w:val="32"/>
                <w:szCs w:val="32"/>
              </w:rPr>
            </w:pPr>
            <w:r>
              <w:rPr>
                <w:b/>
                <w:bCs/>
                <w:color w:val="000000" w:themeColor="text1"/>
                <w:sz w:val="32"/>
                <w:szCs w:val="32"/>
              </w:rPr>
              <w:t>202</w:t>
            </w:r>
            <w:r>
              <w:rPr>
                <w:rFonts w:hint="eastAsia"/>
                <w:b/>
                <w:bCs/>
                <w:color w:val="000000" w:themeColor="text1"/>
                <w:sz w:val="32"/>
                <w:szCs w:val="32"/>
                <w:lang w:val="en-US" w:eastAsia="zh-CN"/>
              </w:rPr>
              <w:t>3</w:t>
            </w:r>
            <w:r>
              <w:rPr>
                <w:b/>
                <w:bCs/>
                <w:color w:val="000000" w:themeColor="text1"/>
                <w:sz w:val="32"/>
                <w:szCs w:val="32"/>
              </w:rPr>
              <w:t>年</w:t>
            </w:r>
            <w:r>
              <w:rPr>
                <w:rFonts w:hint="eastAsia"/>
                <w:b/>
                <w:bCs/>
                <w:color w:val="000000" w:themeColor="text1"/>
                <w:sz w:val="32"/>
                <w:szCs w:val="32"/>
                <w:lang w:val="en-US" w:eastAsia="zh-CN"/>
              </w:rPr>
              <w:t>1</w:t>
            </w:r>
            <w:r>
              <w:rPr>
                <w:b/>
                <w:bCs/>
                <w:color w:val="000000" w:themeColor="text1"/>
                <w:sz w:val="32"/>
                <w:szCs w:val="32"/>
              </w:rPr>
              <w:t>月</w:t>
            </w:r>
          </w:p>
        </w:tc>
      </w:tr>
    </w:tbl>
    <w:p>
      <w:pPr>
        <w:rPr>
          <w:rFonts w:eastAsia="黑体"/>
          <w:bCs/>
          <w:color w:val="000000" w:themeColor="text1"/>
          <w:sz w:val="32"/>
          <w:szCs w:val="32"/>
        </w:rPr>
      </w:pPr>
      <w:r>
        <w:rPr>
          <w:rFonts w:hint="eastAsia" w:eastAsia="黑体"/>
          <w:bCs/>
          <w:color w:val="000000" w:themeColor="text1"/>
          <w:sz w:val="32"/>
          <w:szCs w:val="32"/>
        </w:rPr>
        <w:br w:type="page"/>
      </w:r>
    </w:p>
    <w:p>
      <w:pPr>
        <w:spacing w:before="120" w:beforeLines="50" w:line="360" w:lineRule="auto"/>
        <w:jc w:val="center"/>
        <w:rPr>
          <w:rFonts w:hint="eastAsia" w:eastAsia="黑体"/>
          <w:bCs/>
          <w:color w:val="000000" w:themeColor="text1"/>
          <w:sz w:val="32"/>
          <w:szCs w:val="32"/>
          <w:lang w:eastAsia="zh-CN"/>
        </w:rPr>
      </w:pPr>
      <w:r>
        <w:rPr>
          <w:rFonts w:hint="eastAsia" w:eastAsia="黑体"/>
          <w:bCs/>
          <w:color w:val="000000" w:themeColor="text1"/>
          <w:sz w:val="32"/>
          <w:szCs w:val="32"/>
          <w:lang w:eastAsia="zh-CN"/>
        </w:rPr>
        <w:t>农安县东兴实业有限公司蒸压加气泥凝块年产40万立方项目</w:t>
      </w:r>
    </w:p>
    <w:p>
      <w:pPr>
        <w:spacing w:before="120" w:beforeLines="50" w:line="360" w:lineRule="auto"/>
        <w:jc w:val="center"/>
        <w:rPr>
          <w:rFonts w:eastAsia="黑体"/>
          <w:bCs/>
          <w:color w:val="000000" w:themeColor="text1"/>
          <w:sz w:val="32"/>
          <w:szCs w:val="32"/>
        </w:rPr>
      </w:pPr>
      <w:r>
        <w:rPr>
          <w:rFonts w:eastAsia="黑体"/>
          <w:bCs/>
          <w:color w:val="000000" w:themeColor="text1"/>
          <w:sz w:val="32"/>
          <w:szCs w:val="32"/>
        </w:rPr>
        <w:t>水土保持方案报告</w:t>
      </w:r>
      <w:r>
        <w:rPr>
          <w:rFonts w:hint="eastAsia" w:eastAsia="黑体"/>
          <w:bCs/>
          <w:color w:val="000000" w:themeColor="text1"/>
          <w:sz w:val="32"/>
          <w:szCs w:val="32"/>
        </w:rPr>
        <w:t>表</w:t>
      </w:r>
    </w:p>
    <w:p>
      <w:pPr>
        <w:spacing w:before="120" w:beforeLines="50" w:line="360" w:lineRule="auto"/>
        <w:jc w:val="center"/>
        <w:rPr>
          <w:rFonts w:eastAsia="黑体"/>
          <w:bCs/>
          <w:color w:val="000000" w:themeColor="text1"/>
          <w:sz w:val="32"/>
          <w:szCs w:val="32"/>
        </w:rPr>
      </w:pPr>
      <w:r>
        <w:rPr>
          <w:rFonts w:eastAsia="黑体"/>
          <w:bCs/>
          <w:color w:val="000000" w:themeColor="text1"/>
          <w:sz w:val="32"/>
          <w:szCs w:val="32"/>
        </w:rPr>
        <w:t>责任页</w:t>
      </w:r>
    </w:p>
    <w:p>
      <w:pPr>
        <w:spacing w:before="120" w:beforeLines="50" w:line="360" w:lineRule="auto"/>
        <w:jc w:val="center"/>
        <w:rPr>
          <w:rFonts w:eastAsia="黑体"/>
          <w:bCs/>
          <w:color w:val="000000" w:themeColor="text1"/>
          <w:sz w:val="32"/>
          <w:szCs w:val="32"/>
        </w:rPr>
      </w:pPr>
      <w:r>
        <w:rPr>
          <w:bCs/>
          <w:color w:val="000000" w:themeColor="text1"/>
          <w:sz w:val="32"/>
          <w:szCs w:val="32"/>
        </w:rPr>
        <w:t>（吉林省玖伏环境科技有限公司）</w:t>
      </w:r>
    </w:p>
    <w:p>
      <w:pPr>
        <w:spacing w:before="120" w:beforeLines="50" w:line="360" w:lineRule="auto"/>
        <w:jc w:val="center"/>
        <w:rPr>
          <w:rFonts w:eastAsia="黑体"/>
          <w:bCs/>
          <w:color w:val="000000" w:themeColor="text1"/>
          <w:sz w:val="32"/>
          <w:szCs w:val="32"/>
        </w:rPr>
      </w:pPr>
    </w:p>
    <w:p>
      <w:pPr>
        <w:spacing w:line="720" w:lineRule="auto"/>
        <w:rPr>
          <w:rFonts w:eastAsia="黑体"/>
          <w:color w:val="000000" w:themeColor="text1"/>
          <w:sz w:val="32"/>
          <w:szCs w:val="32"/>
        </w:rPr>
      </w:pPr>
      <w:r>
        <w:rPr>
          <w:rFonts w:eastAsia="黑体"/>
          <w:color w:val="000000" w:themeColor="text1"/>
          <w:sz w:val="32"/>
          <w:szCs w:val="32"/>
        </w:rPr>
        <w:t>批准：吴百多</w:t>
      </w:r>
      <w:r>
        <w:rPr>
          <w:color w:val="000000" w:themeColor="text1"/>
          <w:sz w:val="32"/>
          <w:szCs w:val="32"/>
        </w:rPr>
        <w:t>（总经理）</w:t>
      </w:r>
    </w:p>
    <w:p>
      <w:pPr>
        <w:spacing w:line="720" w:lineRule="auto"/>
        <w:rPr>
          <w:rFonts w:eastAsia="黑体"/>
          <w:color w:val="000000" w:themeColor="text1"/>
          <w:sz w:val="32"/>
          <w:szCs w:val="32"/>
        </w:rPr>
      </w:pPr>
      <w:r>
        <w:rPr>
          <w:rFonts w:eastAsia="黑体"/>
          <w:color w:val="000000" w:themeColor="text1"/>
          <w:sz w:val="32"/>
          <w:szCs w:val="32"/>
        </w:rPr>
        <w:t>核定：赵  鑫</w:t>
      </w:r>
      <w:r>
        <w:rPr>
          <w:color w:val="000000" w:themeColor="text1"/>
          <w:sz w:val="32"/>
          <w:szCs w:val="32"/>
        </w:rPr>
        <w:t>（工程师）</w:t>
      </w:r>
    </w:p>
    <w:p>
      <w:pPr>
        <w:spacing w:line="720" w:lineRule="auto"/>
        <w:rPr>
          <w:rFonts w:eastAsia="黑体"/>
          <w:color w:val="000000" w:themeColor="text1"/>
          <w:sz w:val="32"/>
          <w:szCs w:val="32"/>
        </w:rPr>
      </w:pPr>
      <w:r>
        <w:rPr>
          <w:rFonts w:eastAsia="黑体"/>
          <w:color w:val="000000" w:themeColor="text1"/>
          <w:sz w:val="32"/>
          <w:szCs w:val="32"/>
        </w:rPr>
        <w:t>审查：张  磊</w:t>
      </w:r>
      <w:r>
        <w:rPr>
          <w:color w:val="000000" w:themeColor="text1"/>
          <w:sz w:val="32"/>
          <w:szCs w:val="32"/>
        </w:rPr>
        <w:t>（工程师）</w:t>
      </w:r>
    </w:p>
    <w:p>
      <w:pPr>
        <w:spacing w:line="720" w:lineRule="auto"/>
        <w:rPr>
          <w:color w:val="000000" w:themeColor="text1"/>
          <w:sz w:val="32"/>
          <w:szCs w:val="32"/>
        </w:rPr>
      </w:pPr>
      <w:r>
        <w:rPr>
          <w:rFonts w:eastAsia="黑体"/>
          <w:color w:val="000000" w:themeColor="text1"/>
          <w:sz w:val="32"/>
          <w:szCs w:val="32"/>
        </w:rPr>
        <w:t>校核：陈  涛</w:t>
      </w:r>
      <w:r>
        <w:rPr>
          <w:color w:val="000000" w:themeColor="text1"/>
          <w:sz w:val="32"/>
          <w:szCs w:val="32"/>
        </w:rPr>
        <w:t>（工程师）</w:t>
      </w:r>
    </w:p>
    <w:p>
      <w:pPr>
        <w:spacing w:line="720" w:lineRule="auto"/>
        <w:rPr>
          <w:color w:val="000000" w:themeColor="text1"/>
          <w:sz w:val="32"/>
          <w:szCs w:val="32"/>
        </w:rPr>
      </w:pPr>
      <w:r>
        <w:rPr>
          <w:rFonts w:eastAsia="黑体"/>
          <w:color w:val="000000" w:themeColor="text1"/>
          <w:sz w:val="32"/>
          <w:szCs w:val="32"/>
        </w:rPr>
        <w:t>项目负责人</w:t>
      </w:r>
      <w:r>
        <w:rPr>
          <w:color w:val="000000" w:themeColor="text1"/>
          <w:sz w:val="32"/>
          <w:szCs w:val="32"/>
        </w:rPr>
        <w:t>：</w:t>
      </w:r>
      <w:r>
        <w:rPr>
          <w:rFonts w:eastAsia="黑体"/>
          <w:color w:val="000000" w:themeColor="text1"/>
          <w:sz w:val="32"/>
          <w:szCs w:val="32"/>
        </w:rPr>
        <w:t>吴同晶</w:t>
      </w:r>
      <w:r>
        <w:rPr>
          <w:color w:val="000000" w:themeColor="text1"/>
          <w:sz w:val="32"/>
          <w:szCs w:val="32"/>
        </w:rPr>
        <w:t>（项目经理）</w:t>
      </w:r>
    </w:p>
    <w:p>
      <w:pPr>
        <w:spacing w:line="720" w:lineRule="auto"/>
        <w:rPr>
          <w:color w:val="000000" w:themeColor="text1"/>
          <w:sz w:val="32"/>
          <w:szCs w:val="32"/>
        </w:rPr>
      </w:pPr>
      <w:r>
        <w:rPr>
          <w:rFonts w:eastAsia="黑体"/>
          <w:color w:val="000000" w:themeColor="text1"/>
          <w:sz w:val="32"/>
          <w:szCs w:val="32"/>
        </w:rPr>
        <w:t>编写：陈  雪</w:t>
      </w:r>
      <w:r>
        <w:rPr>
          <w:color w:val="000000" w:themeColor="text1"/>
          <w:sz w:val="32"/>
          <w:szCs w:val="32"/>
        </w:rPr>
        <w:t>（助理工程师）（参编1章、8章）</w:t>
      </w:r>
    </w:p>
    <w:p>
      <w:pPr>
        <w:spacing w:line="720" w:lineRule="auto"/>
        <w:ind w:firstLine="960" w:firstLineChars="300"/>
        <w:rPr>
          <w:color w:val="000000" w:themeColor="text1"/>
          <w:sz w:val="32"/>
          <w:szCs w:val="32"/>
        </w:rPr>
      </w:pPr>
      <w:r>
        <w:rPr>
          <w:rFonts w:eastAsia="黑体"/>
          <w:color w:val="000000" w:themeColor="text1"/>
          <w:sz w:val="32"/>
          <w:szCs w:val="32"/>
        </w:rPr>
        <w:t>孙语遥</w:t>
      </w:r>
      <w:r>
        <w:rPr>
          <w:color w:val="000000" w:themeColor="text1"/>
          <w:sz w:val="32"/>
          <w:szCs w:val="32"/>
        </w:rPr>
        <w:t>（助理工程师）（参编2章、3章、5章、7章）</w:t>
      </w:r>
    </w:p>
    <w:p>
      <w:pPr>
        <w:spacing w:before="240" w:beforeLines="100" w:after="240" w:afterLines="100" w:line="400" w:lineRule="atLeast"/>
        <w:jc w:val="center"/>
        <w:rPr>
          <w:color w:val="000000" w:themeColor="text1"/>
          <w:sz w:val="32"/>
          <w:szCs w:val="32"/>
        </w:rPr>
      </w:pPr>
      <w:r>
        <w:rPr>
          <w:rFonts w:hint="eastAsia" w:eastAsia="黑体"/>
          <w:color w:val="000000" w:themeColor="text1"/>
          <w:sz w:val="32"/>
          <w:szCs w:val="32"/>
        </w:rPr>
        <w:t xml:space="preserve"> </w:t>
      </w:r>
      <w:r>
        <w:rPr>
          <w:rFonts w:eastAsia="黑体"/>
          <w:color w:val="000000" w:themeColor="text1"/>
          <w:sz w:val="32"/>
          <w:szCs w:val="32"/>
        </w:rPr>
        <w:t>许  蒙</w:t>
      </w:r>
      <w:r>
        <w:rPr>
          <w:color w:val="000000" w:themeColor="text1"/>
          <w:sz w:val="32"/>
          <w:szCs w:val="32"/>
        </w:rPr>
        <w:t>（助理工程师）（参编4章、6章、附图）</w:t>
      </w:r>
    </w:p>
    <w:p>
      <w:pPr>
        <w:jc w:val="center"/>
        <w:rPr>
          <w:rFonts w:eastAsia="黑体"/>
          <w:bCs/>
          <w:color w:val="000000" w:themeColor="text1"/>
          <w:sz w:val="32"/>
          <w:szCs w:val="32"/>
          <w:highlight w:val="cyan"/>
        </w:rPr>
      </w:pPr>
    </w:p>
    <w:p>
      <w:pPr>
        <w:jc w:val="center"/>
        <w:rPr>
          <w:rFonts w:eastAsia="黑体"/>
          <w:bCs/>
          <w:color w:val="000000" w:themeColor="text1"/>
          <w:sz w:val="32"/>
          <w:szCs w:val="32"/>
          <w:highlight w:val="cyan"/>
        </w:rPr>
      </w:pPr>
    </w:p>
    <w:p>
      <w:pPr>
        <w:pStyle w:val="3"/>
        <w:spacing w:before="0" w:after="0" w:line="360" w:lineRule="auto"/>
        <w:jc w:val="center"/>
        <w:rPr>
          <w:rFonts w:eastAsia="仿宋_GB2312"/>
          <w:b w:val="0"/>
          <w:bCs w:val="0"/>
          <w:color w:val="000000" w:themeColor="text1"/>
          <w:sz w:val="28"/>
          <w:szCs w:val="28"/>
        </w:rPr>
      </w:pPr>
      <w:bookmarkStart w:id="0" w:name="_Toc2626"/>
      <w:r>
        <w:rPr>
          <w:rFonts w:eastAsia="黑体"/>
          <w:color w:val="000000" w:themeColor="text1"/>
          <w:sz w:val="32"/>
          <w:szCs w:val="32"/>
        </w:rPr>
        <w:t>目 录</w:t>
      </w:r>
      <w:bookmarkEnd w:id="0"/>
    </w:p>
    <w:p>
      <w:pPr>
        <w:pStyle w:val="18"/>
        <w:tabs>
          <w:tab w:val="right" w:leader="dot" w:pos="8731"/>
        </w:tabs>
        <w:rPr>
          <w:color w:val="000000" w:themeColor="text1"/>
          <w:sz w:val="28"/>
          <w:szCs w:val="28"/>
        </w:rPr>
      </w:pPr>
      <w:r>
        <w:rPr>
          <w:rFonts w:eastAsia="仿宋_GB2312"/>
          <w:b w:val="0"/>
          <w:color w:val="000000" w:themeColor="text1"/>
          <w:sz w:val="28"/>
          <w:szCs w:val="28"/>
        </w:rPr>
        <w:fldChar w:fldCharType="begin"/>
      </w:r>
      <w:r>
        <w:rPr>
          <w:rFonts w:eastAsia="仿宋_GB2312"/>
          <w:b w:val="0"/>
          <w:color w:val="000000" w:themeColor="text1"/>
          <w:sz w:val="28"/>
          <w:szCs w:val="28"/>
        </w:rPr>
        <w:instrText xml:space="preserve"> TOC \o "1-3" \h \z \u </w:instrText>
      </w:r>
      <w:r>
        <w:rPr>
          <w:rFonts w:eastAsia="仿宋_GB2312"/>
          <w:b w:val="0"/>
          <w:color w:val="000000" w:themeColor="text1"/>
          <w:sz w:val="28"/>
          <w:szCs w:val="28"/>
        </w:rPr>
        <w:fldChar w:fldCharType="separate"/>
      </w:r>
      <w:r>
        <w:rPr>
          <w:color w:val="000000" w:themeColor="text1"/>
        </w:rPr>
        <w:fldChar w:fldCharType="begin"/>
      </w:r>
      <w:r>
        <w:rPr>
          <w:color w:val="000000" w:themeColor="text1"/>
        </w:rPr>
        <w:instrText xml:space="preserve"> HYPERLINK \l "_Toc2626" </w:instrText>
      </w:r>
      <w:r>
        <w:rPr>
          <w:color w:val="000000" w:themeColor="text1"/>
        </w:rPr>
        <w:fldChar w:fldCharType="separate"/>
      </w:r>
      <w:r>
        <w:rPr>
          <w:rFonts w:eastAsia="黑体"/>
          <w:bCs/>
          <w:color w:val="000000" w:themeColor="text1"/>
          <w:sz w:val="28"/>
          <w:szCs w:val="28"/>
        </w:rPr>
        <w:t>目 录</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_Toc2626 \h </w:instrText>
      </w:r>
      <w:r>
        <w:rPr>
          <w:color w:val="000000" w:themeColor="text1"/>
          <w:sz w:val="28"/>
          <w:szCs w:val="28"/>
        </w:rPr>
        <w:fldChar w:fldCharType="separate"/>
      </w:r>
      <w:r>
        <w:rPr>
          <w:color w:val="000000" w:themeColor="text1"/>
          <w:sz w:val="28"/>
          <w:szCs w:val="28"/>
        </w:rPr>
        <w:t>3</w:t>
      </w:r>
      <w:r>
        <w:rPr>
          <w:color w:val="000000" w:themeColor="text1"/>
          <w:sz w:val="28"/>
          <w:szCs w:val="28"/>
        </w:rPr>
        <w:fldChar w:fldCharType="end"/>
      </w:r>
      <w:r>
        <w:rPr>
          <w:color w:val="000000" w:themeColor="text1"/>
          <w:sz w:val="28"/>
          <w:szCs w:val="28"/>
        </w:rPr>
        <w:fldChar w:fldCharType="end"/>
      </w:r>
    </w:p>
    <w:p>
      <w:pPr>
        <w:pStyle w:val="18"/>
        <w:tabs>
          <w:tab w:val="right" w:leader="dot" w:pos="8731"/>
        </w:tabs>
        <w:rPr>
          <w:color w:val="000000" w:themeColor="text1"/>
          <w:sz w:val="28"/>
          <w:szCs w:val="28"/>
        </w:rPr>
      </w:pPr>
      <w:r>
        <w:rPr>
          <w:color w:val="000000" w:themeColor="text1"/>
        </w:rPr>
        <w:fldChar w:fldCharType="begin"/>
      </w:r>
      <w:r>
        <w:rPr>
          <w:color w:val="000000" w:themeColor="text1"/>
        </w:rPr>
        <w:instrText xml:space="preserve"> HYPERLINK \l "_Toc2784" </w:instrText>
      </w:r>
      <w:r>
        <w:rPr>
          <w:color w:val="000000" w:themeColor="text1"/>
        </w:rPr>
        <w:fldChar w:fldCharType="separate"/>
      </w:r>
      <w:r>
        <w:rPr>
          <w:rFonts w:eastAsia="仿宋_GB2312"/>
          <w:color w:val="000000" w:themeColor="text1"/>
          <w:sz w:val="28"/>
          <w:szCs w:val="28"/>
        </w:rPr>
        <w:t>1.综合说明</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_Toc2784 \h </w:instrText>
      </w:r>
      <w:r>
        <w:rPr>
          <w:color w:val="000000" w:themeColor="text1"/>
          <w:sz w:val="28"/>
          <w:szCs w:val="28"/>
        </w:rPr>
        <w:fldChar w:fldCharType="separate"/>
      </w:r>
      <w:r>
        <w:rPr>
          <w:color w:val="000000" w:themeColor="text1"/>
          <w:sz w:val="28"/>
          <w:szCs w:val="28"/>
        </w:rPr>
        <w:t>5</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"_Toc29156" </w:instrText>
      </w:r>
      <w:r>
        <w:rPr>
          <w:color w:val="000000" w:themeColor="text1"/>
        </w:rPr>
        <w:fldChar w:fldCharType="separate"/>
      </w:r>
      <w:r>
        <w:rPr>
          <w:rFonts w:eastAsia="仿宋_GB2312"/>
          <w:color w:val="000000" w:themeColor="text1"/>
          <w:sz w:val="28"/>
          <w:szCs w:val="28"/>
        </w:rPr>
        <w:t>1.1项目简况</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_Toc29156 \h </w:instrText>
      </w:r>
      <w:r>
        <w:rPr>
          <w:color w:val="000000" w:themeColor="text1"/>
          <w:sz w:val="28"/>
          <w:szCs w:val="28"/>
        </w:rPr>
        <w:fldChar w:fldCharType="separate"/>
      </w:r>
      <w:r>
        <w:rPr>
          <w:color w:val="000000" w:themeColor="text1"/>
          <w:sz w:val="28"/>
          <w:szCs w:val="28"/>
        </w:rPr>
        <w:t>5</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"_Toc27307" </w:instrText>
      </w:r>
      <w:r>
        <w:rPr>
          <w:color w:val="000000" w:themeColor="text1"/>
        </w:rPr>
        <w:fldChar w:fldCharType="separate"/>
      </w:r>
      <w:r>
        <w:rPr>
          <w:rFonts w:eastAsia="仿宋_GB2312"/>
          <w:color w:val="000000" w:themeColor="text1"/>
          <w:sz w:val="28"/>
          <w:szCs w:val="28"/>
        </w:rPr>
        <w:t>1.2编制依据</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_Toc27307 \h </w:instrText>
      </w:r>
      <w:r>
        <w:rPr>
          <w:color w:val="000000" w:themeColor="text1"/>
          <w:sz w:val="28"/>
          <w:szCs w:val="28"/>
        </w:rPr>
        <w:fldChar w:fldCharType="separate"/>
      </w:r>
      <w:r>
        <w:rPr>
          <w:color w:val="000000" w:themeColor="text1"/>
          <w:sz w:val="28"/>
          <w:szCs w:val="28"/>
        </w:rPr>
        <w:t>6</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"_Toc32144" </w:instrText>
      </w:r>
      <w:r>
        <w:rPr>
          <w:color w:val="000000" w:themeColor="text1"/>
        </w:rPr>
        <w:fldChar w:fldCharType="separate"/>
      </w:r>
      <w:r>
        <w:rPr>
          <w:rFonts w:eastAsia="仿宋_GB2312"/>
          <w:color w:val="000000" w:themeColor="text1"/>
          <w:sz w:val="28"/>
          <w:szCs w:val="28"/>
        </w:rPr>
        <w:t>1.3设计水平年</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_Toc32144 \h </w:instrText>
      </w:r>
      <w:r>
        <w:rPr>
          <w:color w:val="000000" w:themeColor="text1"/>
          <w:sz w:val="28"/>
          <w:szCs w:val="28"/>
        </w:rPr>
        <w:fldChar w:fldCharType="separate"/>
      </w:r>
      <w:r>
        <w:rPr>
          <w:color w:val="000000" w:themeColor="text1"/>
          <w:sz w:val="28"/>
          <w:szCs w:val="28"/>
        </w:rPr>
        <w:t>7</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"_Toc31011" </w:instrText>
      </w:r>
      <w:r>
        <w:rPr>
          <w:color w:val="000000" w:themeColor="text1"/>
        </w:rPr>
        <w:fldChar w:fldCharType="separate"/>
      </w:r>
      <w:r>
        <w:rPr>
          <w:rFonts w:eastAsia="仿宋_GB2312"/>
          <w:color w:val="000000" w:themeColor="text1"/>
          <w:sz w:val="28"/>
          <w:szCs w:val="28"/>
        </w:rPr>
        <w:t>1.4水土流失防治责任范围</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_Toc31011 \h </w:instrText>
      </w:r>
      <w:r>
        <w:rPr>
          <w:color w:val="000000" w:themeColor="text1"/>
          <w:sz w:val="28"/>
          <w:szCs w:val="28"/>
        </w:rPr>
        <w:fldChar w:fldCharType="separate"/>
      </w:r>
      <w:r>
        <w:rPr>
          <w:color w:val="000000" w:themeColor="text1"/>
          <w:sz w:val="28"/>
          <w:szCs w:val="28"/>
        </w:rPr>
        <w:t>7</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"_Toc9685" </w:instrText>
      </w:r>
      <w:r>
        <w:rPr>
          <w:color w:val="000000" w:themeColor="text1"/>
        </w:rPr>
        <w:fldChar w:fldCharType="separate"/>
      </w:r>
      <w:r>
        <w:rPr>
          <w:rFonts w:eastAsia="仿宋_GB2312"/>
          <w:color w:val="000000" w:themeColor="text1"/>
          <w:sz w:val="28"/>
          <w:szCs w:val="28"/>
        </w:rPr>
        <w:t>1.5水土流失防治目标</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_Toc9685 \h </w:instrText>
      </w:r>
      <w:r>
        <w:rPr>
          <w:color w:val="000000" w:themeColor="text1"/>
          <w:sz w:val="28"/>
          <w:szCs w:val="28"/>
        </w:rPr>
        <w:fldChar w:fldCharType="separate"/>
      </w:r>
      <w:r>
        <w:rPr>
          <w:color w:val="000000" w:themeColor="text1"/>
          <w:sz w:val="28"/>
          <w:szCs w:val="28"/>
        </w:rPr>
        <w:t>7</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"_Toc19691" </w:instrText>
      </w:r>
      <w:r>
        <w:rPr>
          <w:color w:val="000000" w:themeColor="text1"/>
        </w:rPr>
        <w:fldChar w:fldCharType="separate"/>
      </w:r>
      <w:r>
        <w:rPr>
          <w:rFonts w:eastAsia="仿宋_GB2312"/>
          <w:color w:val="000000" w:themeColor="text1"/>
          <w:sz w:val="28"/>
          <w:szCs w:val="28"/>
        </w:rPr>
        <w:t>1.6项目水土保持评价结论</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_Toc19691 \h </w:instrText>
      </w:r>
      <w:r>
        <w:rPr>
          <w:color w:val="000000" w:themeColor="text1"/>
          <w:sz w:val="28"/>
          <w:szCs w:val="28"/>
        </w:rPr>
        <w:fldChar w:fldCharType="separate"/>
      </w:r>
      <w:r>
        <w:rPr>
          <w:color w:val="000000" w:themeColor="text1"/>
          <w:sz w:val="28"/>
          <w:szCs w:val="28"/>
        </w:rPr>
        <w:t>8</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"_Toc28120" </w:instrText>
      </w:r>
      <w:r>
        <w:rPr>
          <w:color w:val="000000" w:themeColor="text1"/>
        </w:rPr>
        <w:fldChar w:fldCharType="separate"/>
      </w:r>
      <w:r>
        <w:rPr>
          <w:rFonts w:eastAsia="仿宋_GB2312"/>
          <w:color w:val="000000" w:themeColor="text1"/>
          <w:sz w:val="28"/>
          <w:szCs w:val="28"/>
        </w:rPr>
        <w:t>1.7水土流失预测结果</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_Toc28120 \h </w:instrText>
      </w:r>
      <w:r>
        <w:rPr>
          <w:color w:val="000000" w:themeColor="text1"/>
          <w:sz w:val="28"/>
          <w:szCs w:val="28"/>
        </w:rPr>
        <w:fldChar w:fldCharType="separate"/>
      </w:r>
      <w:r>
        <w:rPr>
          <w:color w:val="000000" w:themeColor="text1"/>
          <w:sz w:val="28"/>
          <w:szCs w:val="28"/>
        </w:rPr>
        <w:t>9</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"_Toc12154" </w:instrText>
      </w:r>
      <w:r>
        <w:rPr>
          <w:color w:val="000000" w:themeColor="text1"/>
        </w:rPr>
        <w:fldChar w:fldCharType="separate"/>
      </w:r>
      <w:r>
        <w:rPr>
          <w:rFonts w:eastAsia="仿宋_GB2312"/>
          <w:color w:val="000000" w:themeColor="text1"/>
          <w:sz w:val="28"/>
          <w:szCs w:val="28"/>
        </w:rPr>
        <w:t>1.8水土保持措施布设成果</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_Toc12154 \h </w:instrText>
      </w:r>
      <w:r>
        <w:rPr>
          <w:color w:val="000000" w:themeColor="text1"/>
          <w:sz w:val="28"/>
          <w:szCs w:val="28"/>
        </w:rPr>
        <w:fldChar w:fldCharType="separate"/>
      </w:r>
      <w:r>
        <w:rPr>
          <w:color w:val="000000" w:themeColor="text1"/>
          <w:sz w:val="28"/>
          <w:szCs w:val="28"/>
        </w:rPr>
        <w:t>9</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"_Toc2185" </w:instrText>
      </w:r>
      <w:r>
        <w:rPr>
          <w:color w:val="000000" w:themeColor="text1"/>
        </w:rPr>
        <w:fldChar w:fldCharType="separate"/>
      </w:r>
      <w:r>
        <w:rPr>
          <w:rFonts w:eastAsia="仿宋_GB2312"/>
          <w:color w:val="000000" w:themeColor="text1"/>
          <w:sz w:val="28"/>
          <w:szCs w:val="28"/>
        </w:rPr>
        <w:t>1.9水土保持监测方案</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_Toc2185 \h </w:instrText>
      </w:r>
      <w:r>
        <w:rPr>
          <w:color w:val="000000" w:themeColor="text1"/>
          <w:sz w:val="28"/>
          <w:szCs w:val="28"/>
        </w:rPr>
        <w:fldChar w:fldCharType="separate"/>
      </w:r>
      <w:r>
        <w:rPr>
          <w:color w:val="000000" w:themeColor="text1"/>
          <w:sz w:val="28"/>
          <w:szCs w:val="28"/>
        </w:rPr>
        <w:t>10</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"_Toc16876" </w:instrText>
      </w:r>
      <w:r>
        <w:rPr>
          <w:color w:val="000000" w:themeColor="text1"/>
        </w:rPr>
        <w:fldChar w:fldCharType="separate"/>
      </w:r>
      <w:r>
        <w:rPr>
          <w:rFonts w:eastAsia="仿宋_GB2312"/>
          <w:color w:val="000000" w:themeColor="text1"/>
          <w:sz w:val="28"/>
          <w:szCs w:val="28"/>
        </w:rPr>
        <w:t>1.10水土保持投资及效益分析成果</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_Toc16876 \h </w:instrText>
      </w:r>
      <w:r>
        <w:rPr>
          <w:color w:val="000000" w:themeColor="text1"/>
          <w:sz w:val="28"/>
          <w:szCs w:val="28"/>
        </w:rPr>
        <w:fldChar w:fldCharType="separate"/>
      </w:r>
      <w:r>
        <w:rPr>
          <w:color w:val="000000" w:themeColor="text1"/>
          <w:sz w:val="28"/>
          <w:szCs w:val="28"/>
        </w:rPr>
        <w:t>10</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"_Toc11453" </w:instrText>
      </w:r>
      <w:r>
        <w:rPr>
          <w:color w:val="000000" w:themeColor="text1"/>
        </w:rPr>
        <w:fldChar w:fldCharType="separate"/>
      </w:r>
      <w:r>
        <w:rPr>
          <w:rFonts w:eastAsia="仿宋_GB2312"/>
          <w:color w:val="000000" w:themeColor="text1"/>
          <w:sz w:val="28"/>
          <w:szCs w:val="28"/>
        </w:rPr>
        <w:t>1.11结论</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_Toc11453 \h </w:instrText>
      </w:r>
      <w:r>
        <w:rPr>
          <w:color w:val="000000" w:themeColor="text1"/>
          <w:sz w:val="28"/>
          <w:szCs w:val="28"/>
        </w:rPr>
        <w:fldChar w:fldCharType="separate"/>
      </w:r>
      <w:r>
        <w:rPr>
          <w:color w:val="000000" w:themeColor="text1"/>
          <w:sz w:val="28"/>
          <w:szCs w:val="28"/>
        </w:rPr>
        <w:t>10</w:t>
      </w:r>
      <w:r>
        <w:rPr>
          <w:color w:val="000000" w:themeColor="text1"/>
          <w:sz w:val="28"/>
          <w:szCs w:val="28"/>
        </w:rPr>
        <w:fldChar w:fldCharType="end"/>
      </w:r>
      <w:r>
        <w:rPr>
          <w:color w:val="000000" w:themeColor="text1"/>
          <w:sz w:val="28"/>
          <w:szCs w:val="28"/>
        </w:rPr>
        <w:fldChar w:fldCharType="end"/>
      </w:r>
    </w:p>
    <w:p>
      <w:pPr>
        <w:pStyle w:val="18"/>
        <w:tabs>
          <w:tab w:val="right" w:leader="dot" w:pos="8731"/>
        </w:tabs>
        <w:rPr>
          <w:color w:val="000000" w:themeColor="text1"/>
          <w:sz w:val="28"/>
          <w:szCs w:val="28"/>
        </w:rPr>
      </w:pPr>
      <w:r>
        <w:rPr>
          <w:color w:val="000000" w:themeColor="text1"/>
        </w:rPr>
        <w:fldChar w:fldCharType="begin"/>
      </w:r>
      <w:r>
        <w:rPr>
          <w:color w:val="000000" w:themeColor="text1"/>
        </w:rPr>
        <w:instrText xml:space="preserve"> HYPERLINK \l "_Toc14664" </w:instrText>
      </w:r>
      <w:r>
        <w:rPr>
          <w:color w:val="000000" w:themeColor="text1"/>
        </w:rPr>
        <w:fldChar w:fldCharType="separate"/>
      </w:r>
      <w:r>
        <w:rPr>
          <w:rFonts w:eastAsia="仿宋_GB2312"/>
          <w:color w:val="000000" w:themeColor="text1"/>
          <w:sz w:val="28"/>
          <w:szCs w:val="28"/>
        </w:rPr>
        <w:t>2.项目概况</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_Toc14664 \h </w:instrText>
      </w:r>
      <w:r>
        <w:rPr>
          <w:color w:val="000000" w:themeColor="text1"/>
          <w:sz w:val="28"/>
          <w:szCs w:val="28"/>
        </w:rPr>
        <w:fldChar w:fldCharType="separate"/>
      </w:r>
      <w:r>
        <w:rPr>
          <w:color w:val="000000" w:themeColor="text1"/>
          <w:sz w:val="28"/>
          <w:szCs w:val="28"/>
        </w:rPr>
        <w:t>13</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"_Toc14049" </w:instrText>
      </w:r>
      <w:r>
        <w:rPr>
          <w:color w:val="000000" w:themeColor="text1"/>
        </w:rPr>
        <w:fldChar w:fldCharType="separate"/>
      </w:r>
      <w:r>
        <w:rPr>
          <w:rFonts w:eastAsia="仿宋_GB2312"/>
          <w:color w:val="000000" w:themeColor="text1"/>
          <w:sz w:val="28"/>
          <w:szCs w:val="28"/>
        </w:rPr>
        <w:t>2.1项目组成及工程布置</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_Toc14049 \h </w:instrText>
      </w:r>
      <w:r>
        <w:rPr>
          <w:color w:val="000000" w:themeColor="text1"/>
          <w:sz w:val="28"/>
          <w:szCs w:val="28"/>
        </w:rPr>
        <w:fldChar w:fldCharType="separate"/>
      </w:r>
      <w:r>
        <w:rPr>
          <w:color w:val="000000" w:themeColor="text1"/>
          <w:sz w:val="28"/>
          <w:szCs w:val="28"/>
        </w:rPr>
        <w:t>13</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"_Toc30169" </w:instrText>
      </w:r>
      <w:r>
        <w:rPr>
          <w:color w:val="000000" w:themeColor="text1"/>
        </w:rPr>
        <w:fldChar w:fldCharType="separate"/>
      </w:r>
      <w:r>
        <w:rPr>
          <w:rFonts w:eastAsia="仿宋_GB2312"/>
          <w:color w:val="000000" w:themeColor="text1"/>
          <w:sz w:val="28"/>
          <w:szCs w:val="28"/>
        </w:rPr>
        <w:t>2.2施工组织</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_Toc30169 \h </w:instrText>
      </w:r>
      <w:r>
        <w:rPr>
          <w:color w:val="000000" w:themeColor="text1"/>
          <w:sz w:val="28"/>
          <w:szCs w:val="28"/>
        </w:rPr>
        <w:fldChar w:fldCharType="separate"/>
      </w:r>
      <w:r>
        <w:rPr>
          <w:color w:val="000000" w:themeColor="text1"/>
          <w:sz w:val="28"/>
          <w:szCs w:val="28"/>
        </w:rPr>
        <w:t>17</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"_Toc27990" </w:instrText>
      </w:r>
      <w:r>
        <w:rPr>
          <w:color w:val="000000" w:themeColor="text1"/>
        </w:rPr>
        <w:fldChar w:fldCharType="separate"/>
      </w:r>
      <w:r>
        <w:rPr>
          <w:rFonts w:eastAsia="仿宋_GB2312"/>
          <w:color w:val="000000" w:themeColor="text1"/>
          <w:sz w:val="28"/>
          <w:szCs w:val="28"/>
        </w:rPr>
        <w:t>2.3工程占地</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_Toc27990 \h </w:instrText>
      </w:r>
      <w:r>
        <w:rPr>
          <w:color w:val="000000" w:themeColor="text1"/>
          <w:sz w:val="28"/>
          <w:szCs w:val="28"/>
        </w:rPr>
        <w:fldChar w:fldCharType="separate"/>
      </w:r>
      <w:r>
        <w:rPr>
          <w:color w:val="000000" w:themeColor="text1"/>
          <w:sz w:val="28"/>
          <w:szCs w:val="28"/>
        </w:rPr>
        <w:t>19</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"_Toc5788" </w:instrText>
      </w:r>
      <w:r>
        <w:rPr>
          <w:color w:val="000000" w:themeColor="text1"/>
        </w:rPr>
        <w:fldChar w:fldCharType="separate"/>
      </w:r>
      <w:r>
        <w:rPr>
          <w:rFonts w:eastAsia="仿宋_GB2312"/>
          <w:color w:val="000000" w:themeColor="text1"/>
          <w:sz w:val="28"/>
          <w:szCs w:val="28"/>
        </w:rPr>
        <w:t>2.4土石方平衡</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_Toc5788 \h </w:instrText>
      </w:r>
      <w:r>
        <w:rPr>
          <w:color w:val="000000" w:themeColor="text1"/>
          <w:sz w:val="28"/>
          <w:szCs w:val="28"/>
        </w:rPr>
        <w:fldChar w:fldCharType="separate"/>
      </w:r>
      <w:r>
        <w:rPr>
          <w:color w:val="000000" w:themeColor="text1"/>
          <w:sz w:val="28"/>
          <w:szCs w:val="28"/>
        </w:rPr>
        <w:t>19</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"_Toc9412" </w:instrText>
      </w:r>
      <w:r>
        <w:rPr>
          <w:color w:val="000000" w:themeColor="text1"/>
        </w:rPr>
        <w:fldChar w:fldCharType="separate"/>
      </w:r>
      <w:r>
        <w:rPr>
          <w:rFonts w:eastAsia="仿宋_GB2312"/>
          <w:color w:val="000000" w:themeColor="text1"/>
          <w:sz w:val="28"/>
          <w:szCs w:val="28"/>
        </w:rPr>
        <w:t>2.5拆迁（移民）安置与专项设施改（迁）建</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_Toc9412 \h </w:instrText>
      </w:r>
      <w:r>
        <w:rPr>
          <w:color w:val="000000" w:themeColor="text1"/>
          <w:sz w:val="28"/>
          <w:szCs w:val="28"/>
        </w:rPr>
        <w:fldChar w:fldCharType="separate"/>
      </w:r>
      <w:r>
        <w:rPr>
          <w:color w:val="000000" w:themeColor="text1"/>
          <w:sz w:val="28"/>
          <w:szCs w:val="28"/>
        </w:rPr>
        <w:t>21</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"_Toc28877" </w:instrText>
      </w:r>
      <w:r>
        <w:rPr>
          <w:color w:val="000000" w:themeColor="text1"/>
        </w:rPr>
        <w:fldChar w:fldCharType="separate"/>
      </w:r>
      <w:r>
        <w:rPr>
          <w:rFonts w:eastAsia="仿宋_GB2312"/>
          <w:color w:val="000000" w:themeColor="text1"/>
          <w:sz w:val="28"/>
          <w:szCs w:val="28"/>
        </w:rPr>
        <w:t>2.6施工进度</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_Toc28877 \h </w:instrText>
      </w:r>
      <w:r>
        <w:rPr>
          <w:color w:val="000000" w:themeColor="text1"/>
          <w:sz w:val="28"/>
          <w:szCs w:val="28"/>
        </w:rPr>
        <w:fldChar w:fldCharType="separate"/>
      </w:r>
      <w:r>
        <w:rPr>
          <w:color w:val="000000" w:themeColor="text1"/>
          <w:sz w:val="28"/>
          <w:szCs w:val="28"/>
        </w:rPr>
        <w:t>21</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"_Toc11231" </w:instrText>
      </w:r>
      <w:r>
        <w:rPr>
          <w:color w:val="000000" w:themeColor="text1"/>
        </w:rPr>
        <w:fldChar w:fldCharType="separate"/>
      </w:r>
      <w:r>
        <w:rPr>
          <w:rFonts w:eastAsia="仿宋_GB2312"/>
          <w:color w:val="000000" w:themeColor="text1"/>
          <w:sz w:val="28"/>
          <w:szCs w:val="28"/>
        </w:rPr>
        <w:t>2.7自然概况</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_Toc11231 \h </w:instrText>
      </w:r>
      <w:r>
        <w:rPr>
          <w:color w:val="000000" w:themeColor="text1"/>
          <w:sz w:val="28"/>
          <w:szCs w:val="28"/>
        </w:rPr>
        <w:fldChar w:fldCharType="separate"/>
      </w:r>
      <w:r>
        <w:rPr>
          <w:color w:val="000000" w:themeColor="text1"/>
          <w:sz w:val="28"/>
          <w:szCs w:val="28"/>
        </w:rPr>
        <w:t>23</w:t>
      </w:r>
      <w:r>
        <w:rPr>
          <w:color w:val="000000" w:themeColor="text1"/>
          <w:sz w:val="28"/>
          <w:szCs w:val="28"/>
        </w:rPr>
        <w:fldChar w:fldCharType="end"/>
      </w:r>
      <w:r>
        <w:rPr>
          <w:color w:val="000000" w:themeColor="text1"/>
          <w:sz w:val="28"/>
          <w:szCs w:val="28"/>
        </w:rPr>
        <w:fldChar w:fldCharType="end"/>
      </w:r>
    </w:p>
    <w:p>
      <w:pPr>
        <w:pStyle w:val="18"/>
        <w:tabs>
          <w:tab w:val="right" w:leader="dot" w:pos="8731"/>
        </w:tabs>
        <w:rPr>
          <w:color w:val="000000" w:themeColor="text1"/>
          <w:sz w:val="28"/>
          <w:szCs w:val="28"/>
        </w:rPr>
      </w:pPr>
      <w:r>
        <w:rPr>
          <w:color w:val="000000" w:themeColor="text1"/>
        </w:rPr>
        <w:fldChar w:fldCharType="begin"/>
      </w:r>
      <w:r>
        <w:rPr>
          <w:color w:val="000000" w:themeColor="text1"/>
        </w:rPr>
        <w:instrText xml:space="preserve"> HYPERLINK \l "_Toc21778" </w:instrText>
      </w:r>
      <w:r>
        <w:rPr>
          <w:color w:val="000000" w:themeColor="text1"/>
        </w:rPr>
        <w:fldChar w:fldCharType="separate"/>
      </w:r>
      <w:r>
        <w:rPr>
          <w:rFonts w:eastAsia="仿宋_GB2312"/>
          <w:color w:val="000000" w:themeColor="text1"/>
          <w:sz w:val="28"/>
          <w:szCs w:val="28"/>
        </w:rPr>
        <w:t>3.项目水土保持评价</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_Toc21778 \h </w:instrText>
      </w:r>
      <w:r>
        <w:rPr>
          <w:color w:val="000000" w:themeColor="text1"/>
          <w:sz w:val="28"/>
          <w:szCs w:val="28"/>
        </w:rPr>
        <w:fldChar w:fldCharType="separate"/>
      </w:r>
      <w:r>
        <w:rPr>
          <w:color w:val="000000" w:themeColor="text1"/>
          <w:sz w:val="28"/>
          <w:szCs w:val="28"/>
        </w:rPr>
        <w:t>26</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"_Toc25202" </w:instrText>
      </w:r>
      <w:r>
        <w:rPr>
          <w:color w:val="000000" w:themeColor="text1"/>
        </w:rPr>
        <w:fldChar w:fldCharType="separate"/>
      </w:r>
      <w:r>
        <w:rPr>
          <w:rFonts w:eastAsia="仿宋_GB2312"/>
          <w:color w:val="000000" w:themeColor="text1"/>
          <w:sz w:val="28"/>
          <w:szCs w:val="28"/>
        </w:rPr>
        <w:t>3.1主体工程选址水土保持评价</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_Toc25202 \h </w:instrText>
      </w:r>
      <w:r>
        <w:rPr>
          <w:color w:val="000000" w:themeColor="text1"/>
          <w:sz w:val="28"/>
          <w:szCs w:val="28"/>
        </w:rPr>
        <w:fldChar w:fldCharType="separate"/>
      </w:r>
      <w:r>
        <w:rPr>
          <w:color w:val="000000" w:themeColor="text1"/>
          <w:sz w:val="28"/>
          <w:szCs w:val="28"/>
        </w:rPr>
        <w:t>26</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"_Toc5852" </w:instrText>
      </w:r>
      <w:r>
        <w:rPr>
          <w:color w:val="000000" w:themeColor="text1"/>
        </w:rPr>
        <w:fldChar w:fldCharType="separate"/>
      </w:r>
      <w:r>
        <w:rPr>
          <w:rFonts w:eastAsia="仿宋_GB2312"/>
          <w:color w:val="000000" w:themeColor="text1"/>
          <w:sz w:val="28"/>
          <w:szCs w:val="28"/>
        </w:rPr>
        <w:t>3.2建设方案与布局水土保持评价</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_Toc5852 \h </w:instrText>
      </w:r>
      <w:r>
        <w:rPr>
          <w:color w:val="000000" w:themeColor="text1"/>
          <w:sz w:val="28"/>
          <w:szCs w:val="28"/>
        </w:rPr>
        <w:fldChar w:fldCharType="separate"/>
      </w:r>
      <w:r>
        <w:rPr>
          <w:color w:val="000000" w:themeColor="text1"/>
          <w:sz w:val="28"/>
          <w:szCs w:val="28"/>
        </w:rPr>
        <w:t>27</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"_Toc15791" </w:instrText>
      </w:r>
      <w:r>
        <w:rPr>
          <w:color w:val="000000" w:themeColor="text1"/>
        </w:rPr>
        <w:fldChar w:fldCharType="separate"/>
      </w:r>
      <w:r>
        <w:rPr>
          <w:rFonts w:eastAsia="仿宋_GB2312"/>
          <w:color w:val="000000" w:themeColor="text1"/>
          <w:sz w:val="28"/>
          <w:szCs w:val="28"/>
        </w:rPr>
        <w:t>3.3主体工程设计中水土保持措施界定</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_Toc15791 \h </w:instrText>
      </w:r>
      <w:r>
        <w:rPr>
          <w:color w:val="000000" w:themeColor="text1"/>
          <w:sz w:val="28"/>
          <w:szCs w:val="28"/>
        </w:rPr>
        <w:fldChar w:fldCharType="separate"/>
      </w:r>
      <w:r>
        <w:rPr>
          <w:color w:val="000000" w:themeColor="text1"/>
          <w:sz w:val="28"/>
          <w:szCs w:val="28"/>
        </w:rPr>
        <w:t>30</w:t>
      </w:r>
      <w:r>
        <w:rPr>
          <w:color w:val="000000" w:themeColor="text1"/>
          <w:sz w:val="28"/>
          <w:szCs w:val="28"/>
        </w:rPr>
        <w:fldChar w:fldCharType="end"/>
      </w:r>
      <w:r>
        <w:rPr>
          <w:color w:val="000000" w:themeColor="text1"/>
          <w:sz w:val="28"/>
          <w:szCs w:val="28"/>
        </w:rPr>
        <w:fldChar w:fldCharType="end"/>
      </w:r>
    </w:p>
    <w:p>
      <w:pPr>
        <w:pStyle w:val="18"/>
        <w:tabs>
          <w:tab w:val="right" w:leader="dot" w:pos="8731"/>
        </w:tabs>
        <w:rPr>
          <w:color w:val="000000" w:themeColor="text1"/>
          <w:sz w:val="28"/>
          <w:szCs w:val="28"/>
        </w:rPr>
      </w:pPr>
      <w:r>
        <w:rPr>
          <w:color w:val="000000" w:themeColor="text1"/>
        </w:rPr>
        <w:fldChar w:fldCharType="begin"/>
      </w:r>
      <w:r>
        <w:rPr>
          <w:color w:val="000000" w:themeColor="text1"/>
        </w:rPr>
        <w:instrText xml:space="preserve"> HYPERLINK \l "_Toc12276" </w:instrText>
      </w:r>
      <w:r>
        <w:rPr>
          <w:color w:val="000000" w:themeColor="text1"/>
        </w:rPr>
        <w:fldChar w:fldCharType="separate"/>
      </w:r>
      <w:r>
        <w:rPr>
          <w:rFonts w:eastAsia="仿宋_GB2312"/>
          <w:color w:val="000000" w:themeColor="text1"/>
          <w:sz w:val="28"/>
          <w:szCs w:val="28"/>
        </w:rPr>
        <w:t>4.水土流失分析与预测</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_Toc12276 \h </w:instrText>
      </w:r>
      <w:r>
        <w:rPr>
          <w:color w:val="000000" w:themeColor="text1"/>
          <w:sz w:val="28"/>
          <w:szCs w:val="28"/>
        </w:rPr>
        <w:fldChar w:fldCharType="separate"/>
      </w:r>
      <w:r>
        <w:rPr>
          <w:color w:val="000000" w:themeColor="text1"/>
          <w:sz w:val="28"/>
          <w:szCs w:val="28"/>
        </w:rPr>
        <w:t>32</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"_Toc19477" </w:instrText>
      </w:r>
      <w:r>
        <w:rPr>
          <w:color w:val="000000" w:themeColor="text1"/>
        </w:rPr>
        <w:fldChar w:fldCharType="separate"/>
      </w:r>
      <w:r>
        <w:rPr>
          <w:rFonts w:eastAsia="仿宋_GB2312"/>
          <w:color w:val="000000" w:themeColor="text1"/>
          <w:sz w:val="28"/>
          <w:szCs w:val="28"/>
        </w:rPr>
        <w:t>4.1水土流失现状</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_Toc19477 \h </w:instrText>
      </w:r>
      <w:r>
        <w:rPr>
          <w:color w:val="000000" w:themeColor="text1"/>
          <w:sz w:val="28"/>
          <w:szCs w:val="28"/>
        </w:rPr>
        <w:fldChar w:fldCharType="separate"/>
      </w:r>
      <w:r>
        <w:rPr>
          <w:color w:val="000000" w:themeColor="text1"/>
          <w:sz w:val="28"/>
          <w:szCs w:val="28"/>
        </w:rPr>
        <w:t>32</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"_Toc26962" </w:instrText>
      </w:r>
      <w:r>
        <w:rPr>
          <w:color w:val="000000" w:themeColor="text1"/>
        </w:rPr>
        <w:fldChar w:fldCharType="separate"/>
      </w:r>
      <w:r>
        <w:rPr>
          <w:rFonts w:eastAsia="仿宋_GB2312"/>
          <w:color w:val="000000" w:themeColor="text1"/>
          <w:sz w:val="28"/>
          <w:szCs w:val="28"/>
        </w:rPr>
        <w:t>4.2水土流失自然影响因素分析</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_Toc26962 \h </w:instrText>
      </w:r>
      <w:r>
        <w:rPr>
          <w:color w:val="000000" w:themeColor="text1"/>
          <w:sz w:val="28"/>
          <w:szCs w:val="28"/>
        </w:rPr>
        <w:fldChar w:fldCharType="separate"/>
      </w:r>
      <w:r>
        <w:rPr>
          <w:color w:val="000000" w:themeColor="text1"/>
          <w:sz w:val="28"/>
          <w:szCs w:val="28"/>
        </w:rPr>
        <w:t>32</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"_Toc7530" </w:instrText>
      </w:r>
      <w:r>
        <w:rPr>
          <w:color w:val="000000" w:themeColor="text1"/>
        </w:rPr>
        <w:fldChar w:fldCharType="separate"/>
      </w:r>
      <w:r>
        <w:rPr>
          <w:rFonts w:eastAsia="仿宋_GB2312"/>
          <w:color w:val="000000" w:themeColor="text1"/>
          <w:sz w:val="28"/>
          <w:szCs w:val="28"/>
        </w:rPr>
        <w:t>4.3土壤流失量预测</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_Toc7530 \h </w:instrText>
      </w:r>
      <w:r>
        <w:rPr>
          <w:color w:val="000000" w:themeColor="text1"/>
          <w:sz w:val="28"/>
          <w:szCs w:val="28"/>
        </w:rPr>
        <w:fldChar w:fldCharType="separate"/>
      </w:r>
      <w:r>
        <w:rPr>
          <w:color w:val="000000" w:themeColor="text1"/>
          <w:sz w:val="28"/>
          <w:szCs w:val="28"/>
        </w:rPr>
        <w:t>33</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"_Toc31653" </w:instrText>
      </w:r>
      <w:r>
        <w:rPr>
          <w:color w:val="000000" w:themeColor="text1"/>
        </w:rPr>
        <w:fldChar w:fldCharType="separate"/>
      </w:r>
      <w:r>
        <w:rPr>
          <w:rFonts w:eastAsia="仿宋_GB2312"/>
          <w:color w:val="000000" w:themeColor="text1"/>
          <w:sz w:val="28"/>
          <w:szCs w:val="28"/>
        </w:rPr>
        <w:t>4.4水土流失危害分析</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_Toc31653 \h </w:instrText>
      </w:r>
      <w:r>
        <w:rPr>
          <w:color w:val="000000" w:themeColor="text1"/>
          <w:sz w:val="28"/>
          <w:szCs w:val="28"/>
        </w:rPr>
        <w:fldChar w:fldCharType="separate"/>
      </w:r>
      <w:r>
        <w:rPr>
          <w:color w:val="000000" w:themeColor="text1"/>
          <w:sz w:val="28"/>
          <w:szCs w:val="28"/>
        </w:rPr>
        <w:t>35</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"_Toc22426" </w:instrText>
      </w:r>
      <w:r>
        <w:rPr>
          <w:color w:val="000000" w:themeColor="text1"/>
        </w:rPr>
        <w:fldChar w:fldCharType="separate"/>
      </w:r>
      <w:r>
        <w:rPr>
          <w:rFonts w:eastAsia="仿宋_GB2312"/>
          <w:color w:val="000000" w:themeColor="text1"/>
          <w:sz w:val="28"/>
          <w:szCs w:val="28"/>
        </w:rPr>
        <w:t>4.5指导性意见</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_Toc22426 \h </w:instrText>
      </w:r>
      <w:r>
        <w:rPr>
          <w:color w:val="000000" w:themeColor="text1"/>
          <w:sz w:val="28"/>
          <w:szCs w:val="28"/>
        </w:rPr>
        <w:fldChar w:fldCharType="separate"/>
      </w:r>
      <w:r>
        <w:rPr>
          <w:color w:val="000000" w:themeColor="text1"/>
          <w:sz w:val="28"/>
          <w:szCs w:val="28"/>
        </w:rPr>
        <w:t>35</w:t>
      </w:r>
      <w:r>
        <w:rPr>
          <w:color w:val="000000" w:themeColor="text1"/>
          <w:sz w:val="28"/>
          <w:szCs w:val="28"/>
        </w:rPr>
        <w:fldChar w:fldCharType="end"/>
      </w:r>
      <w:r>
        <w:rPr>
          <w:color w:val="000000" w:themeColor="text1"/>
          <w:sz w:val="28"/>
          <w:szCs w:val="28"/>
        </w:rPr>
        <w:fldChar w:fldCharType="end"/>
      </w:r>
    </w:p>
    <w:p>
      <w:pPr>
        <w:pStyle w:val="18"/>
        <w:tabs>
          <w:tab w:val="right" w:leader="dot" w:pos="8731"/>
        </w:tabs>
        <w:rPr>
          <w:color w:val="000000" w:themeColor="text1"/>
          <w:sz w:val="28"/>
          <w:szCs w:val="28"/>
        </w:rPr>
      </w:pPr>
      <w:r>
        <w:rPr>
          <w:color w:val="000000" w:themeColor="text1"/>
        </w:rPr>
        <w:fldChar w:fldCharType="begin"/>
      </w:r>
      <w:r>
        <w:rPr>
          <w:color w:val="000000" w:themeColor="text1"/>
        </w:rPr>
        <w:instrText xml:space="preserve"> HYPERLINK \l "_Toc27967" </w:instrText>
      </w:r>
      <w:r>
        <w:rPr>
          <w:color w:val="000000" w:themeColor="text1"/>
        </w:rPr>
        <w:fldChar w:fldCharType="separate"/>
      </w:r>
      <w:r>
        <w:rPr>
          <w:rFonts w:eastAsia="仿宋_GB2312"/>
          <w:color w:val="000000" w:themeColor="text1"/>
          <w:sz w:val="28"/>
          <w:szCs w:val="28"/>
        </w:rPr>
        <w:t>5.水土保持措施</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_Toc27967 \h </w:instrText>
      </w:r>
      <w:r>
        <w:rPr>
          <w:color w:val="000000" w:themeColor="text1"/>
          <w:sz w:val="28"/>
          <w:szCs w:val="28"/>
        </w:rPr>
        <w:fldChar w:fldCharType="separate"/>
      </w:r>
      <w:r>
        <w:rPr>
          <w:color w:val="000000" w:themeColor="text1"/>
          <w:sz w:val="28"/>
          <w:szCs w:val="28"/>
        </w:rPr>
        <w:t>39</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"_Toc18296" </w:instrText>
      </w:r>
      <w:r>
        <w:rPr>
          <w:color w:val="000000" w:themeColor="text1"/>
        </w:rPr>
        <w:fldChar w:fldCharType="separate"/>
      </w:r>
      <w:r>
        <w:rPr>
          <w:rFonts w:eastAsia="仿宋_GB2312"/>
          <w:color w:val="000000" w:themeColor="text1"/>
          <w:sz w:val="28"/>
          <w:szCs w:val="28"/>
        </w:rPr>
        <w:t>5.1防治区划分</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_Toc18296 \h </w:instrText>
      </w:r>
      <w:r>
        <w:rPr>
          <w:color w:val="000000" w:themeColor="text1"/>
          <w:sz w:val="28"/>
          <w:szCs w:val="28"/>
        </w:rPr>
        <w:fldChar w:fldCharType="separate"/>
      </w:r>
      <w:r>
        <w:rPr>
          <w:color w:val="000000" w:themeColor="text1"/>
          <w:sz w:val="28"/>
          <w:szCs w:val="28"/>
        </w:rPr>
        <w:t>39</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"_Toc24640" </w:instrText>
      </w:r>
      <w:r>
        <w:rPr>
          <w:color w:val="000000" w:themeColor="text1"/>
        </w:rPr>
        <w:fldChar w:fldCharType="separate"/>
      </w:r>
      <w:r>
        <w:rPr>
          <w:rFonts w:eastAsia="仿宋_GB2312"/>
          <w:color w:val="000000" w:themeColor="text1"/>
          <w:sz w:val="28"/>
          <w:szCs w:val="28"/>
        </w:rPr>
        <w:t>5.2措施总体布局</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_Toc24640 \h </w:instrText>
      </w:r>
      <w:r>
        <w:rPr>
          <w:color w:val="000000" w:themeColor="text1"/>
          <w:sz w:val="28"/>
          <w:szCs w:val="28"/>
        </w:rPr>
        <w:fldChar w:fldCharType="separate"/>
      </w:r>
      <w:r>
        <w:rPr>
          <w:color w:val="000000" w:themeColor="text1"/>
          <w:sz w:val="28"/>
          <w:szCs w:val="28"/>
        </w:rPr>
        <w:t>39</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"_Toc29886" </w:instrText>
      </w:r>
      <w:r>
        <w:rPr>
          <w:color w:val="000000" w:themeColor="text1"/>
        </w:rPr>
        <w:fldChar w:fldCharType="separate"/>
      </w:r>
      <w:r>
        <w:rPr>
          <w:rFonts w:eastAsia="仿宋_GB2312"/>
          <w:color w:val="000000" w:themeColor="text1"/>
          <w:sz w:val="28"/>
          <w:szCs w:val="28"/>
        </w:rPr>
        <w:t>5.3分区措施布设</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_Toc29886 \h </w:instrText>
      </w:r>
      <w:r>
        <w:rPr>
          <w:color w:val="000000" w:themeColor="text1"/>
          <w:sz w:val="28"/>
          <w:szCs w:val="28"/>
        </w:rPr>
        <w:fldChar w:fldCharType="separate"/>
      </w:r>
      <w:r>
        <w:rPr>
          <w:color w:val="000000" w:themeColor="text1"/>
          <w:sz w:val="28"/>
          <w:szCs w:val="28"/>
        </w:rPr>
        <w:t>40</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"_Toc23347" </w:instrText>
      </w:r>
      <w:r>
        <w:rPr>
          <w:color w:val="000000" w:themeColor="text1"/>
        </w:rPr>
        <w:fldChar w:fldCharType="separate"/>
      </w:r>
      <w:r>
        <w:rPr>
          <w:rFonts w:eastAsia="仿宋_GB2312"/>
          <w:color w:val="000000" w:themeColor="text1"/>
          <w:sz w:val="28"/>
          <w:szCs w:val="28"/>
        </w:rPr>
        <w:t>5.4施工要求</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_Toc23347 \h </w:instrText>
      </w:r>
      <w:r>
        <w:rPr>
          <w:color w:val="000000" w:themeColor="text1"/>
          <w:sz w:val="28"/>
          <w:szCs w:val="28"/>
        </w:rPr>
        <w:fldChar w:fldCharType="separate"/>
      </w:r>
      <w:r>
        <w:rPr>
          <w:color w:val="000000" w:themeColor="text1"/>
          <w:sz w:val="28"/>
          <w:szCs w:val="28"/>
        </w:rPr>
        <w:t>42</w:t>
      </w:r>
      <w:r>
        <w:rPr>
          <w:color w:val="000000" w:themeColor="text1"/>
          <w:sz w:val="28"/>
          <w:szCs w:val="28"/>
        </w:rPr>
        <w:fldChar w:fldCharType="end"/>
      </w:r>
      <w:r>
        <w:rPr>
          <w:color w:val="000000" w:themeColor="text1"/>
          <w:sz w:val="28"/>
          <w:szCs w:val="28"/>
        </w:rPr>
        <w:fldChar w:fldCharType="end"/>
      </w:r>
    </w:p>
    <w:p>
      <w:pPr>
        <w:pStyle w:val="18"/>
        <w:tabs>
          <w:tab w:val="right" w:leader="dot" w:pos="8731"/>
        </w:tabs>
        <w:rPr>
          <w:color w:val="000000" w:themeColor="text1"/>
          <w:sz w:val="28"/>
          <w:szCs w:val="28"/>
        </w:rPr>
      </w:pPr>
      <w:r>
        <w:rPr>
          <w:color w:val="000000" w:themeColor="text1"/>
        </w:rPr>
        <w:fldChar w:fldCharType="begin"/>
      </w:r>
      <w:r>
        <w:rPr>
          <w:color w:val="000000" w:themeColor="text1"/>
        </w:rPr>
        <w:instrText xml:space="preserve"> HYPERLINK \l "_Toc15030" </w:instrText>
      </w:r>
      <w:r>
        <w:rPr>
          <w:color w:val="000000" w:themeColor="text1"/>
        </w:rPr>
        <w:fldChar w:fldCharType="separate"/>
      </w:r>
      <w:r>
        <w:rPr>
          <w:rFonts w:eastAsia="仿宋_GB2312"/>
          <w:color w:val="000000" w:themeColor="text1"/>
          <w:sz w:val="28"/>
          <w:szCs w:val="28"/>
        </w:rPr>
        <w:t>6.水土保持监测</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_Toc15030 \h </w:instrText>
      </w:r>
      <w:r>
        <w:rPr>
          <w:color w:val="000000" w:themeColor="text1"/>
          <w:sz w:val="28"/>
          <w:szCs w:val="28"/>
        </w:rPr>
        <w:fldChar w:fldCharType="separate"/>
      </w:r>
      <w:r>
        <w:rPr>
          <w:color w:val="000000" w:themeColor="text1"/>
          <w:sz w:val="28"/>
          <w:szCs w:val="28"/>
        </w:rPr>
        <w:t>46</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"_Toc10108" </w:instrText>
      </w:r>
      <w:r>
        <w:rPr>
          <w:color w:val="000000" w:themeColor="text1"/>
        </w:rPr>
        <w:fldChar w:fldCharType="separate"/>
      </w:r>
      <w:r>
        <w:rPr>
          <w:rFonts w:eastAsia="仿宋_GB2312"/>
          <w:color w:val="000000" w:themeColor="text1"/>
          <w:sz w:val="28"/>
          <w:szCs w:val="28"/>
        </w:rPr>
        <w:t>6.1范围和时段</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_Toc10108 \h </w:instrText>
      </w:r>
      <w:r>
        <w:rPr>
          <w:color w:val="000000" w:themeColor="text1"/>
          <w:sz w:val="28"/>
          <w:szCs w:val="28"/>
        </w:rPr>
        <w:fldChar w:fldCharType="separate"/>
      </w:r>
      <w:r>
        <w:rPr>
          <w:color w:val="000000" w:themeColor="text1"/>
          <w:sz w:val="28"/>
          <w:szCs w:val="28"/>
        </w:rPr>
        <w:t>46</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"_Toc13164" </w:instrText>
      </w:r>
      <w:r>
        <w:rPr>
          <w:color w:val="000000" w:themeColor="text1"/>
        </w:rPr>
        <w:fldChar w:fldCharType="separate"/>
      </w:r>
      <w:r>
        <w:rPr>
          <w:rFonts w:eastAsia="仿宋_GB2312"/>
          <w:color w:val="000000" w:themeColor="text1"/>
          <w:sz w:val="28"/>
          <w:szCs w:val="28"/>
        </w:rPr>
        <w:t>6.2内容和方法</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_Toc13164 \h </w:instrText>
      </w:r>
      <w:r>
        <w:rPr>
          <w:color w:val="000000" w:themeColor="text1"/>
          <w:sz w:val="28"/>
          <w:szCs w:val="28"/>
        </w:rPr>
        <w:fldChar w:fldCharType="separate"/>
      </w:r>
      <w:r>
        <w:rPr>
          <w:color w:val="000000" w:themeColor="text1"/>
          <w:sz w:val="28"/>
          <w:szCs w:val="28"/>
        </w:rPr>
        <w:t>46</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"_Toc31814" </w:instrText>
      </w:r>
      <w:r>
        <w:rPr>
          <w:color w:val="000000" w:themeColor="text1"/>
        </w:rPr>
        <w:fldChar w:fldCharType="separate"/>
      </w:r>
      <w:r>
        <w:rPr>
          <w:rFonts w:eastAsia="仿宋_GB2312"/>
          <w:color w:val="000000" w:themeColor="text1"/>
          <w:sz w:val="28"/>
          <w:szCs w:val="28"/>
        </w:rPr>
        <w:t>6.3点位布设</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_Toc31814 \h </w:instrText>
      </w:r>
      <w:r>
        <w:rPr>
          <w:color w:val="000000" w:themeColor="text1"/>
          <w:sz w:val="28"/>
          <w:szCs w:val="28"/>
        </w:rPr>
        <w:fldChar w:fldCharType="separate"/>
      </w:r>
      <w:r>
        <w:rPr>
          <w:color w:val="000000" w:themeColor="text1"/>
          <w:sz w:val="28"/>
          <w:szCs w:val="28"/>
        </w:rPr>
        <w:t>48</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"_Toc29035" </w:instrText>
      </w:r>
      <w:r>
        <w:rPr>
          <w:color w:val="000000" w:themeColor="text1"/>
        </w:rPr>
        <w:fldChar w:fldCharType="separate"/>
      </w:r>
      <w:r>
        <w:rPr>
          <w:rFonts w:eastAsia="仿宋_GB2312"/>
          <w:color w:val="000000" w:themeColor="text1"/>
          <w:sz w:val="28"/>
          <w:szCs w:val="28"/>
        </w:rPr>
        <w:t>6.4实施条件和成果</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_Toc29035 \h </w:instrText>
      </w:r>
      <w:r>
        <w:rPr>
          <w:color w:val="000000" w:themeColor="text1"/>
          <w:sz w:val="28"/>
          <w:szCs w:val="28"/>
        </w:rPr>
        <w:fldChar w:fldCharType="separate"/>
      </w:r>
      <w:r>
        <w:rPr>
          <w:color w:val="000000" w:themeColor="text1"/>
          <w:sz w:val="28"/>
          <w:szCs w:val="28"/>
        </w:rPr>
        <w:t>49</w:t>
      </w:r>
      <w:r>
        <w:rPr>
          <w:color w:val="000000" w:themeColor="text1"/>
          <w:sz w:val="28"/>
          <w:szCs w:val="28"/>
        </w:rPr>
        <w:fldChar w:fldCharType="end"/>
      </w:r>
      <w:r>
        <w:rPr>
          <w:color w:val="000000" w:themeColor="text1"/>
          <w:sz w:val="28"/>
          <w:szCs w:val="28"/>
        </w:rPr>
        <w:fldChar w:fldCharType="end"/>
      </w:r>
    </w:p>
    <w:p>
      <w:pPr>
        <w:pStyle w:val="18"/>
        <w:tabs>
          <w:tab w:val="right" w:leader="dot" w:pos="8731"/>
        </w:tabs>
        <w:rPr>
          <w:color w:val="000000" w:themeColor="text1"/>
          <w:sz w:val="28"/>
          <w:szCs w:val="28"/>
        </w:rPr>
      </w:pPr>
      <w:r>
        <w:rPr>
          <w:color w:val="000000" w:themeColor="text1"/>
        </w:rPr>
        <w:fldChar w:fldCharType="begin"/>
      </w:r>
      <w:r>
        <w:rPr>
          <w:color w:val="000000" w:themeColor="text1"/>
        </w:rPr>
        <w:instrText xml:space="preserve"> HYPERLINK \l "_Toc8659" </w:instrText>
      </w:r>
      <w:r>
        <w:rPr>
          <w:color w:val="000000" w:themeColor="text1"/>
        </w:rPr>
        <w:fldChar w:fldCharType="separate"/>
      </w:r>
      <w:r>
        <w:rPr>
          <w:rFonts w:eastAsia="仿宋_GB2312"/>
          <w:color w:val="000000" w:themeColor="text1"/>
          <w:sz w:val="28"/>
          <w:szCs w:val="28"/>
        </w:rPr>
        <w:t>7.</w:t>
      </w:r>
      <w:r>
        <w:rPr>
          <w:rFonts w:hint="eastAsia" w:eastAsia="仿宋_GB2312"/>
          <w:color w:val="000000" w:themeColor="text1"/>
          <w:sz w:val="28"/>
          <w:szCs w:val="28"/>
        </w:rPr>
        <w:t>2</w:t>
      </w:r>
      <w:r>
        <w:rPr>
          <w:rFonts w:eastAsia="仿宋_GB2312"/>
          <w:color w:val="000000" w:themeColor="text1"/>
          <w:sz w:val="28"/>
          <w:szCs w:val="28"/>
        </w:rPr>
        <w:t>水土保持投资估算及效益分析</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_Toc8659 \h </w:instrText>
      </w:r>
      <w:r>
        <w:rPr>
          <w:color w:val="000000" w:themeColor="text1"/>
          <w:sz w:val="28"/>
          <w:szCs w:val="28"/>
        </w:rPr>
        <w:fldChar w:fldCharType="separate"/>
      </w:r>
      <w:r>
        <w:rPr>
          <w:color w:val="000000" w:themeColor="text1"/>
          <w:sz w:val="28"/>
          <w:szCs w:val="28"/>
        </w:rPr>
        <w:t>52</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"_Toc9286" </w:instrText>
      </w:r>
      <w:r>
        <w:rPr>
          <w:color w:val="000000" w:themeColor="text1"/>
        </w:rPr>
        <w:fldChar w:fldCharType="separate"/>
      </w:r>
      <w:r>
        <w:rPr>
          <w:rFonts w:eastAsia="仿宋_GB2312"/>
          <w:color w:val="000000" w:themeColor="text1"/>
          <w:sz w:val="28"/>
          <w:szCs w:val="28"/>
        </w:rPr>
        <w:t>7.1投资估算</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_Toc9286 \h </w:instrText>
      </w:r>
      <w:r>
        <w:rPr>
          <w:color w:val="000000" w:themeColor="text1"/>
          <w:sz w:val="28"/>
          <w:szCs w:val="28"/>
        </w:rPr>
        <w:fldChar w:fldCharType="separate"/>
      </w:r>
      <w:r>
        <w:rPr>
          <w:color w:val="000000" w:themeColor="text1"/>
          <w:sz w:val="28"/>
          <w:szCs w:val="28"/>
        </w:rPr>
        <w:t>52</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"_Toc22619" </w:instrText>
      </w:r>
      <w:r>
        <w:rPr>
          <w:color w:val="000000" w:themeColor="text1"/>
        </w:rPr>
        <w:fldChar w:fldCharType="separate"/>
      </w:r>
      <w:r>
        <w:rPr>
          <w:rFonts w:eastAsia="仿宋_GB2312"/>
          <w:color w:val="000000" w:themeColor="text1"/>
          <w:sz w:val="28"/>
          <w:szCs w:val="28"/>
        </w:rPr>
        <w:t>7.2 效益分析</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_Toc22619 \h </w:instrText>
      </w:r>
      <w:r>
        <w:rPr>
          <w:color w:val="000000" w:themeColor="text1"/>
          <w:sz w:val="28"/>
          <w:szCs w:val="28"/>
        </w:rPr>
        <w:fldChar w:fldCharType="separate"/>
      </w:r>
      <w:r>
        <w:rPr>
          <w:color w:val="000000" w:themeColor="text1"/>
          <w:sz w:val="28"/>
          <w:szCs w:val="28"/>
        </w:rPr>
        <w:t>60</w:t>
      </w:r>
      <w:r>
        <w:rPr>
          <w:color w:val="000000" w:themeColor="text1"/>
          <w:sz w:val="28"/>
          <w:szCs w:val="28"/>
        </w:rPr>
        <w:fldChar w:fldCharType="end"/>
      </w:r>
      <w:r>
        <w:rPr>
          <w:color w:val="000000" w:themeColor="text1"/>
          <w:sz w:val="28"/>
          <w:szCs w:val="28"/>
        </w:rPr>
        <w:fldChar w:fldCharType="end"/>
      </w:r>
    </w:p>
    <w:p>
      <w:pPr>
        <w:pStyle w:val="18"/>
        <w:tabs>
          <w:tab w:val="right" w:leader="dot" w:pos="8731"/>
        </w:tabs>
        <w:rPr>
          <w:color w:val="000000" w:themeColor="text1"/>
          <w:sz w:val="28"/>
          <w:szCs w:val="28"/>
        </w:rPr>
      </w:pPr>
      <w:r>
        <w:rPr>
          <w:color w:val="000000" w:themeColor="text1"/>
        </w:rPr>
        <w:fldChar w:fldCharType="begin"/>
      </w:r>
      <w:r>
        <w:rPr>
          <w:color w:val="000000" w:themeColor="text1"/>
        </w:rPr>
        <w:instrText xml:space="preserve"> HYPERLINK \l "_Toc26237" </w:instrText>
      </w:r>
      <w:r>
        <w:rPr>
          <w:color w:val="000000" w:themeColor="text1"/>
        </w:rPr>
        <w:fldChar w:fldCharType="separate"/>
      </w:r>
      <w:r>
        <w:rPr>
          <w:rFonts w:eastAsia="仿宋_GB2312"/>
          <w:color w:val="000000" w:themeColor="text1"/>
          <w:sz w:val="28"/>
          <w:szCs w:val="28"/>
        </w:rPr>
        <w:t>8.水土保持管理</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_Toc26237 \h </w:instrText>
      </w:r>
      <w:r>
        <w:rPr>
          <w:color w:val="000000" w:themeColor="text1"/>
          <w:sz w:val="28"/>
          <w:szCs w:val="28"/>
        </w:rPr>
        <w:fldChar w:fldCharType="separate"/>
      </w:r>
      <w:r>
        <w:rPr>
          <w:color w:val="000000" w:themeColor="text1"/>
          <w:sz w:val="28"/>
          <w:szCs w:val="28"/>
        </w:rPr>
        <w:t>61</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"_Toc26339" </w:instrText>
      </w:r>
      <w:r>
        <w:rPr>
          <w:color w:val="000000" w:themeColor="text1"/>
        </w:rPr>
        <w:fldChar w:fldCharType="separate"/>
      </w:r>
      <w:r>
        <w:rPr>
          <w:rFonts w:eastAsia="仿宋_GB2312"/>
          <w:color w:val="000000" w:themeColor="text1"/>
          <w:sz w:val="28"/>
          <w:szCs w:val="28"/>
        </w:rPr>
        <w:t>8.1组织管理</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_Toc26339 \h </w:instrText>
      </w:r>
      <w:r>
        <w:rPr>
          <w:color w:val="000000" w:themeColor="text1"/>
          <w:sz w:val="28"/>
          <w:szCs w:val="28"/>
        </w:rPr>
        <w:fldChar w:fldCharType="separate"/>
      </w:r>
      <w:r>
        <w:rPr>
          <w:color w:val="000000" w:themeColor="text1"/>
          <w:sz w:val="28"/>
          <w:szCs w:val="28"/>
        </w:rPr>
        <w:t>61</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"_Toc10114" </w:instrText>
      </w:r>
      <w:r>
        <w:rPr>
          <w:color w:val="000000" w:themeColor="text1"/>
        </w:rPr>
        <w:fldChar w:fldCharType="separate"/>
      </w:r>
      <w:r>
        <w:rPr>
          <w:rFonts w:eastAsia="仿宋_GB2312"/>
          <w:color w:val="000000" w:themeColor="text1"/>
          <w:sz w:val="28"/>
          <w:szCs w:val="28"/>
        </w:rPr>
        <w:t>8.2后续设计</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_Toc10114 \h </w:instrText>
      </w:r>
      <w:r>
        <w:rPr>
          <w:color w:val="000000" w:themeColor="text1"/>
          <w:sz w:val="28"/>
          <w:szCs w:val="28"/>
        </w:rPr>
        <w:fldChar w:fldCharType="separate"/>
      </w:r>
      <w:r>
        <w:rPr>
          <w:color w:val="000000" w:themeColor="text1"/>
          <w:sz w:val="28"/>
          <w:szCs w:val="28"/>
        </w:rPr>
        <w:t>61</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"_Toc6566" </w:instrText>
      </w:r>
      <w:r>
        <w:rPr>
          <w:color w:val="000000" w:themeColor="text1"/>
        </w:rPr>
        <w:fldChar w:fldCharType="separate"/>
      </w:r>
      <w:r>
        <w:rPr>
          <w:rFonts w:eastAsia="仿宋_GB2312"/>
          <w:color w:val="000000" w:themeColor="text1"/>
          <w:sz w:val="28"/>
          <w:szCs w:val="28"/>
        </w:rPr>
        <w:t>8.3水土保持监测</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_Toc6566 \h </w:instrText>
      </w:r>
      <w:r>
        <w:rPr>
          <w:color w:val="000000" w:themeColor="text1"/>
          <w:sz w:val="28"/>
          <w:szCs w:val="28"/>
        </w:rPr>
        <w:fldChar w:fldCharType="separate"/>
      </w:r>
      <w:r>
        <w:rPr>
          <w:color w:val="000000" w:themeColor="text1"/>
          <w:sz w:val="28"/>
          <w:szCs w:val="28"/>
        </w:rPr>
        <w:t>62</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"_Toc31461" </w:instrText>
      </w:r>
      <w:r>
        <w:rPr>
          <w:color w:val="000000" w:themeColor="text1"/>
        </w:rPr>
        <w:fldChar w:fldCharType="separate"/>
      </w:r>
      <w:r>
        <w:rPr>
          <w:rFonts w:eastAsia="仿宋_GB2312"/>
          <w:color w:val="000000" w:themeColor="text1"/>
          <w:sz w:val="28"/>
          <w:szCs w:val="28"/>
        </w:rPr>
        <w:t>8.4水土保持监理</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_Toc31461 \h </w:instrText>
      </w:r>
      <w:r>
        <w:rPr>
          <w:color w:val="000000" w:themeColor="text1"/>
          <w:sz w:val="28"/>
          <w:szCs w:val="28"/>
        </w:rPr>
        <w:fldChar w:fldCharType="separate"/>
      </w:r>
      <w:r>
        <w:rPr>
          <w:color w:val="000000" w:themeColor="text1"/>
          <w:sz w:val="28"/>
          <w:szCs w:val="28"/>
        </w:rPr>
        <w:t>63</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sz w:val="28"/>
          <w:szCs w:val="28"/>
        </w:rPr>
      </w:pPr>
      <w:r>
        <w:rPr>
          <w:color w:val="000000" w:themeColor="text1"/>
        </w:rPr>
        <w:fldChar w:fldCharType="begin"/>
      </w:r>
      <w:r>
        <w:rPr>
          <w:color w:val="000000" w:themeColor="text1"/>
        </w:rPr>
        <w:instrText xml:space="preserve"> HYPERLINK \l "_Toc29972" </w:instrText>
      </w:r>
      <w:r>
        <w:rPr>
          <w:color w:val="000000" w:themeColor="text1"/>
        </w:rPr>
        <w:fldChar w:fldCharType="separate"/>
      </w:r>
      <w:r>
        <w:rPr>
          <w:rFonts w:eastAsia="仿宋_GB2312"/>
          <w:color w:val="000000" w:themeColor="text1"/>
          <w:sz w:val="28"/>
          <w:szCs w:val="28"/>
        </w:rPr>
        <w:t>8.5水土保持施工</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_Toc29972 \h </w:instrText>
      </w:r>
      <w:r>
        <w:rPr>
          <w:color w:val="000000" w:themeColor="text1"/>
          <w:sz w:val="28"/>
          <w:szCs w:val="28"/>
        </w:rPr>
        <w:fldChar w:fldCharType="separate"/>
      </w:r>
      <w:r>
        <w:rPr>
          <w:color w:val="000000" w:themeColor="text1"/>
          <w:sz w:val="28"/>
          <w:szCs w:val="28"/>
        </w:rPr>
        <w:t>63</w:t>
      </w:r>
      <w:r>
        <w:rPr>
          <w:color w:val="000000" w:themeColor="text1"/>
          <w:sz w:val="28"/>
          <w:szCs w:val="28"/>
        </w:rPr>
        <w:fldChar w:fldCharType="end"/>
      </w:r>
      <w:r>
        <w:rPr>
          <w:color w:val="000000" w:themeColor="text1"/>
          <w:sz w:val="28"/>
          <w:szCs w:val="28"/>
        </w:rPr>
        <w:fldChar w:fldCharType="end"/>
      </w:r>
    </w:p>
    <w:p>
      <w:pPr>
        <w:pStyle w:val="2"/>
        <w:tabs>
          <w:tab w:val="right" w:leader="dot" w:pos="8731"/>
        </w:tabs>
        <w:ind w:left="480"/>
        <w:rPr>
          <w:color w:val="000000" w:themeColor="text1"/>
        </w:rPr>
      </w:pPr>
      <w:r>
        <w:rPr>
          <w:color w:val="000000" w:themeColor="text1"/>
        </w:rPr>
        <w:fldChar w:fldCharType="begin"/>
      </w:r>
      <w:r>
        <w:rPr>
          <w:color w:val="000000" w:themeColor="text1"/>
        </w:rPr>
        <w:instrText xml:space="preserve"> HYPERLINK \l "_Toc7671" </w:instrText>
      </w:r>
      <w:r>
        <w:rPr>
          <w:color w:val="000000" w:themeColor="text1"/>
        </w:rPr>
        <w:fldChar w:fldCharType="separate"/>
      </w:r>
      <w:r>
        <w:rPr>
          <w:rFonts w:eastAsia="仿宋_GB2312"/>
          <w:color w:val="000000" w:themeColor="text1"/>
          <w:sz w:val="28"/>
          <w:szCs w:val="28"/>
        </w:rPr>
        <w:t>8.6水土保持设施验收</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_Toc7671 \h </w:instrText>
      </w:r>
      <w:r>
        <w:rPr>
          <w:color w:val="000000" w:themeColor="text1"/>
          <w:sz w:val="28"/>
          <w:szCs w:val="28"/>
        </w:rPr>
        <w:fldChar w:fldCharType="separate"/>
      </w:r>
      <w:r>
        <w:rPr>
          <w:color w:val="000000" w:themeColor="text1"/>
          <w:sz w:val="28"/>
          <w:szCs w:val="28"/>
        </w:rPr>
        <w:t>64</w:t>
      </w:r>
      <w:r>
        <w:rPr>
          <w:color w:val="000000" w:themeColor="text1"/>
          <w:sz w:val="28"/>
          <w:szCs w:val="28"/>
        </w:rPr>
        <w:fldChar w:fldCharType="end"/>
      </w:r>
      <w:r>
        <w:rPr>
          <w:color w:val="000000" w:themeColor="text1"/>
          <w:sz w:val="28"/>
          <w:szCs w:val="28"/>
        </w:rPr>
        <w:fldChar w:fldCharType="end"/>
      </w:r>
    </w:p>
    <w:p>
      <w:pPr>
        <w:spacing w:line="360" w:lineRule="auto"/>
        <w:jc w:val="both"/>
        <w:rPr>
          <w:rFonts w:eastAsia="仿宋_GB2312"/>
          <w:color w:val="000000" w:themeColor="text1"/>
          <w:szCs w:val="28"/>
        </w:rPr>
      </w:pPr>
      <w:r>
        <w:rPr>
          <w:rFonts w:eastAsia="仿宋_GB2312"/>
          <w:color w:val="000000" w:themeColor="text1"/>
          <w:szCs w:val="28"/>
        </w:rPr>
        <w:fldChar w:fldCharType="end"/>
      </w:r>
    </w:p>
    <w:p>
      <w:pPr>
        <w:pStyle w:val="18"/>
        <w:adjustRightInd/>
        <w:spacing w:before="0" w:after="0" w:line="240" w:lineRule="auto"/>
        <w:rPr>
          <w:rFonts w:eastAsia="仿宋_GB2312"/>
          <w:caps w:val="0"/>
          <w:color w:val="000000" w:themeColor="text1"/>
          <w:sz w:val="28"/>
          <w:szCs w:val="28"/>
        </w:rPr>
      </w:pPr>
      <w:r>
        <w:rPr>
          <w:rFonts w:eastAsia="仿宋_GB2312"/>
          <w:caps w:val="0"/>
          <w:color w:val="000000" w:themeColor="text1"/>
          <w:sz w:val="28"/>
          <w:szCs w:val="28"/>
        </w:rPr>
        <w:t>附表：</w:t>
      </w:r>
    </w:p>
    <w:p>
      <w:pPr>
        <w:rPr>
          <w:rFonts w:eastAsia="仿宋_GB2312"/>
          <w:color w:val="000000" w:themeColor="text1"/>
          <w:sz w:val="28"/>
          <w:szCs w:val="28"/>
        </w:rPr>
      </w:pPr>
      <w:r>
        <w:rPr>
          <w:rFonts w:eastAsia="仿宋_GB2312"/>
          <w:color w:val="000000" w:themeColor="text1"/>
          <w:sz w:val="28"/>
          <w:szCs w:val="28"/>
        </w:rPr>
        <w:t>（1）防治责任范围表</w:t>
      </w:r>
    </w:p>
    <w:p>
      <w:pPr>
        <w:rPr>
          <w:rFonts w:eastAsia="仿宋_GB2312"/>
          <w:color w:val="000000" w:themeColor="text1"/>
          <w:sz w:val="28"/>
          <w:szCs w:val="28"/>
        </w:rPr>
      </w:pPr>
      <w:r>
        <w:rPr>
          <w:rFonts w:eastAsia="仿宋_GB2312"/>
          <w:color w:val="000000" w:themeColor="text1"/>
          <w:sz w:val="28"/>
          <w:szCs w:val="28"/>
        </w:rPr>
        <w:t>（2）防治标准指标计算表</w:t>
      </w:r>
    </w:p>
    <w:p>
      <w:pPr>
        <w:rPr>
          <w:rFonts w:eastAsia="仿宋_GB2312"/>
          <w:color w:val="000000" w:themeColor="text1"/>
          <w:sz w:val="28"/>
          <w:szCs w:val="28"/>
        </w:rPr>
      </w:pPr>
      <w:r>
        <w:rPr>
          <w:rFonts w:eastAsia="仿宋_GB2312"/>
          <w:color w:val="000000" w:themeColor="text1"/>
          <w:sz w:val="28"/>
          <w:szCs w:val="28"/>
        </w:rPr>
        <w:t>（3）单价分析表</w:t>
      </w:r>
    </w:p>
    <w:p>
      <w:pPr>
        <w:rPr>
          <w:rFonts w:eastAsia="仿宋_GB2312"/>
          <w:color w:val="000000" w:themeColor="text1"/>
          <w:sz w:val="28"/>
          <w:szCs w:val="28"/>
          <w:highlight w:val="cyan"/>
        </w:rPr>
      </w:pPr>
      <w:r>
        <w:rPr>
          <w:rFonts w:eastAsia="仿宋_GB2312"/>
          <w:b/>
          <w:color w:val="000000" w:themeColor="text1"/>
          <w:sz w:val="28"/>
          <w:szCs w:val="28"/>
        </w:rPr>
        <w:t>附件：</w:t>
      </w:r>
    </w:p>
    <w:p>
      <w:pPr>
        <w:spacing w:line="240" w:lineRule="auto"/>
        <w:rPr>
          <w:rFonts w:eastAsia="仿宋_GB2312"/>
          <w:color w:val="000000" w:themeColor="text1"/>
          <w:sz w:val="28"/>
          <w:szCs w:val="28"/>
        </w:rPr>
      </w:pPr>
      <w:r>
        <w:rPr>
          <w:rFonts w:hint="eastAsia" w:eastAsia="仿宋_GB2312"/>
          <w:color w:val="000000" w:themeColor="text1"/>
          <w:sz w:val="28"/>
          <w:szCs w:val="28"/>
        </w:rPr>
        <w:t>（1）项目备案信息登记表</w:t>
      </w:r>
    </w:p>
    <w:p>
      <w:pPr>
        <w:spacing w:line="240" w:lineRule="auto"/>
        <w:rPr>
          <w:rFonts w:eastAsia="仿宋_GB2312"/>
          <w:color w:val="000000" w:themeColor="text1"/>
          <w:sz w:val="28"/>
          <w:szCs w:val="28"/>
        </w:rPr>
      </w:pPr>
      <w:r>
        <w:rPr>
          <w:rFonts w:hint="eastAsia" w:eastAsia="仿宋_GB2312"/>
          <w:color w:val="000000" w:themeColor="text1"/>
          <w:sz w:val="28"/>
          <w:szCs w:val="28"/>
        </w:rPr>
        <w:t>（2）</w:t>
      </w:r>
      <w:r>
        <w:rPr>
          <w:rFonts w:eastAsia="仿宋_GB2312"/>
          <w:color w:val="000000" w:themeColor="text1"/>
          <w:sz w:val="28"/>
          <w:szCs w:val="28"/>
        </w:rPr>
        <w:t>水土保持方案报告表编制委托书</w:t>
      </w:r>
    </w:p>
    <w:p>
      <w:pPr>
        <w:spacing w:line="240" w:lineRule="auto"/>
        <w:rPr>
          <w:rFonts w:eastAsia="仿宋_GB2312"/>
          <w:color w:val="000000" w:themeColor="text1"/>
          <w:sz w:val="28"/>
          <w:szCs w:val="28"/>
        </w:rPr>
      </w:pPr>
      <w:r>
        <w:rPr>
          <w:rFonts w:hint="eastAsia" w:eastAsia="仿宋_GB2312"/>
          <w:color w:val="000000" w:themeColor="text1"/>
          <w:sz w:val="28"/>
          <w:szCs w:val="28"/>
        </w:rPr>
        <w:t>（3）省级水土保持专家审查意见表</w:t>
      </w:r>
    </w:p>
    <w:p>
      <w:pPr>
        <w:spacing w:line="240" w:lineRule="auto"/>
        <w:rPr>
          <w:rFonts w:eastAsia="仿宋_GB2312"/>
          <w:color w:val="000000" w:themeColor="text1"/>
          <w:sz w:val="28"/>
          <w:szCs w:val="28"/>
          <w:highlight w:val="cyan"/>
        </w:rPr>
      </w:pPr>
      <w:r>
        <w:rPr>
          <w:rFonts w:eastAsia="仿宋_GB2312"/>
          <w:color w:val="000000" w:themeColor="text1"/>
          <w:sz w:val="28"/>
          <w:szCs w:val="28"/>
        </w:rPr>
        <w:t>（</w:t>
      </w:r>
      <w:r>
        <w:rPr>
          <w:rFonts w:hint="eastAsia" w:eastAsia="仿宋_GB2312"/>
          <w:color w:val="000000" w:themeColor="text1"/>
          <w:sz w:val="28"/>
          <w:szCs w:val="28"/>
        </w:rPr>
        <w:t>4</w:t>
      </w:r>
      <w:r>
        <w:rPr>
          <w:rFonts w:eastAsia="仿宋_GB2312"/>
          <w:color w:val="000000" w:themeColor="text1"/>
          <w:sz w:val="28"/>
          <w:szCs w:val="28"/>
        </w:rPr>
        <w:t>）水土保持行政许可承诺书</w:t>
      </w:r>
    </w:p>
    <w:p>
      <w:pPr>
        <w:spacing w:line="360" w:lineRule="auto"/>
        <w:rPr>
          <w:rFonts w:eastAsia="仿宋_GB2312"/>
          <w:b/>
          <w:color w:val="000000" w:themeColor="text1"/>
          <w:sz w:val="28"/>
          <w:szCs w:val="28"/>
        </w:rPr>
      </w:pPr>
      <w:r>
        <w:rPr>
          <w:rFonts w:eastAsia="仿宋_GB2312"/>
          <w:b/>
          <w:color w:val="000000" w:themeColor="text1"/>
          <w:sz w:val="28"/>
          <w:szCs w:val="28"/>
        </w:rPr>
        <w:t>附图：</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5665"/>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983" w:type="dxa"/>
            <w:vAlign w:val="center"/>
          </w:tcPr>
          <w:p>
            <w:pPr>
              <w:spacing w:line="240" w:lineRule="auto"/>
              <w:jc w:val="center"/>
              <w:rPr>
                <w:rFonts w:eastAsia="仿宋_GB2312"/>
                <w:color w:val="000000" w:themeColor="text1"/>
                <w:sz w:val="28"/>
                <w:szCs w:val="28"/>
              </w:rPr>
            </w:pPr>
            <w:r>
              <w:rPr>
                <w:rFonts w:eastAsia="仿宋_GB2312"/>
                <w:color w:val="000000" w:themeColor="text1"/>
                <w:sz w:val="28"/>
                <w:szCs w:val="28"/>
              </w:rPr>
              <w:t>序号</w:t>
            </w:r>
          </w:p>
        </w:tc>
        <w:tc>
          <w:tcPr>
            <w:tcW w:w="5665" w:type="dxa"/>
            <w:vAlign w:val="center"/>
          </w:tcPr>
          <w:p>
            <w:pPr>
              <w:spacing w:line="240" w:lineRule="auto"/>
              <w:jc w:val="center"/>
              <w:rPr>
                <w:rFonts w:eastAsia="仿宋_GB2312"/>
                <w:color w:val="000000" w:themeColor="text1"/>
                <w:sz w:val="28"/>
                <w:szCs w:val="28"/>
              </w:rPr>
            </w:pPr>
            <w:r>
              <w:rPr>
                <w:rFonts w:eastAsia="仿宋_GB2312"/>
                <w:color w:val="000000" w:themeColor="text1"/>
                <w:sz w:val="28"/>
                <w:szCs w:val="28"/>
              </w:rPr>
              <w:t>附图名称</w:t>
            </w:r>
          </w:p>
        </w:tc>
        <w:tc>
          <w:tcPr>
            <w:tcW w:w="1873" w:type="dxa"/>
            <w:vAlign w:val="center"/>
          </w:tcPr>
          <w:p>
            <w:pPr>
              <w:spacing w:line="240" w:lineRule="auto"/>
              <w:jc w:val="center"/>
              <w:rPr>
                <w:rFonts w:eastAsia="仿宋_GB2312"/>
                <w:color w:val="000000" w:themeColor="text1"/>
                <w:sz w:val="28"/>
                <w:szCs w:val="28"/>
              </w:rPr>
            </w:pPr>
            <w:r>
              <w:rPr>
                <w:rFonts w:eastAsia="仿宋_GB2312"/>
                <w:color w:val="000000" w:themeColor="text1"/>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3" w:type="dxa"/>
            <w:vAlign w:val="center"/>
          </w:tcPr>
          <w:p>
            <w:pPr>
              <w:spacing w:line="240" w:lineRule="auto"/>
              <w:jc w:val="center"/>
              <w:rPr>
                <w:rFonts w:eastAsia="仿宋_GB2312"/>
                <w:color w:val="000000" w:themeColor="text1"/>
                <w:sz w:val="28"/>
                <w:szCs w:val="28"/>
              </w:rPr>
            </w:pPr>
            <w:r>
              <w:rPr>
                <w:rFonts w:eastAsia="仿宋_GB2312"/>
                <w:color w:val="000000" w:themeColor="text1"/>
                <w:sz w:val="28"/>
                <w:szCs w:val="28"/>
              </w:rPr>
              <w:t>1</w:t>
            </w:r>
          </w:p>
        </w:tc>
        <w:tc>
          <w:tcPr>
            <w:tcW w:w="5665" w:type="dxa"/>
            <w:vAlign w:val="center"/>
          </w:tcPr>
          <w:p>
            <w:pPr>
              <w:spacing w:line="240" w:lineRule="auto"/>
              <w:jc w:val="center"/>
              <w:rPr>
                <w:rFonts w:eastAsia="仿宋_GB2312"/>
                <w:color w:val="000000" w:themeColor="text1"/>
                <w:sz w:val="28"/>
                <w:szCs w:val="28"/>
              </w:rPr>
            </w:pPr>
            <w:r>
              <w:rPr>
                <w:rFonts w:eastAsia="仿宋_GB2312"/>
                <w:color w:val="000000" w:themeColor="text1"/>
                <w:sz w:val="28"/>
                <w:szCs w:val="28"/>
              </w:rPr>
              <w:t>项目地理位置图</w:t>
            </w:r>
          </w:p>
        </w:tc>
        <w:tc>
          <w:tcPr>
            <w:tcW w:w="1873" w:type="dxa"/>
            <w:vAlign w:val="center"/>
          </w:tcPr>
          <w:p>
            <w:pPr>
              <w:spacing w:line="240" w:lineRule="auto"/>
              <w:jc w:val="center"/>
              <w:rPr>
                <w:rFonts w:eastAsia="仿宋_GB2312"/>
                <w:color w:val="000000" w:themeColor="text1"/>
                <w:sz w:val="28"/>
                <w:szCs w:val="28"/>
              </w:rPr>
            </w:pPr>
            <w:r>
              <w:rPr>
                <w:rFonts w:eastAsia="仿宋_GB2312"/>
                <w:color w:val="000000" w:themeColor="text1"/>
                <w:sz w:val="28"/>
                <w:szCs w:val="28"/>
              </w:rPr>
              <w:t>A4彩图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3" w:type="dxa"/>
            <w:vAlign w:val="center"/>
          </w:tcPr>
          <w:p>
            <w:pPr>
              <w:spacing w:line="240" w:lineRule="auto"/>
              <w:jc w:val="center"/>
              <w:rPr>
                <w:rFonts w:eastAsia="仿宋_GB2312"/>
                <w:color w:val="000000" w:themeColor="text1"/>
                <w:sz w:val="28"/>
                <w:szCs w:val="28"/>
              </w:rPr>
            </w:pPr>
            <w:r>
              <w:rPr>
                <w:rFonts w:eastAsia="仿宋_GB2312"/>
                <w:color w:val="000000" w:themeColor="text1"/>
                <w:sz w:val="28"/>
                <w:szCs w:val="28"/>
              </w:rPr>
              <w:t>2</w:t>
            </w:r>
          </w:p>
        </w:tc>
        <w:tc>
          <w:tcPr>
            <w:tcW w:w="5665" w:type="dxa"/>
            <w:vAlign w:val="center"/>
          </w:tcPr>
          <w:p>
            <w:pPr>
              <w:spacing w:line="240" w:lineRule="auto"/>
              <w:jc w:val="center"/>
              <w:rPr>
                <w:rFonts w:eastAsia="仿宋_GB2312"/>
                <w:color w:val="000000" w:themeColor="text1"/>
                <w:sz w:val="28"/>
                <w:szCs w:val="28"/>
              </w:rPr>
            </w:pPr>
            <w:r>
              <w:rPr>
                <w:rFonts w:eastAsia="仿宋_GB2312"/>
                <w:color w:val="000000" w:themeColor="text1"/>
                <w:sz w:val="28"/>
                <w:szCs w:val="28"/>
              </w:rPr>
              <w:t>项目区水系图</w:t>
            </w:r>
          </w:p>
        </w:tc>
        <w:tc>
          <w:tcPr>
            <w:tcW w:w="1873" w:type="dxa"/>
            <w:vAlign w:val="center"/>
          </w:tcPr>
          <w:p>
            <w:pPr>
              <w:spacing w:line="240" w:lineRule="auto"/>
              <w:jc w:val="center"/>
              <w:rPr>
                <w:rFonts w:eastAsia="仿宋_GB2312"/>
                <w:color w:val="000000" w:themeColor="text1"/>
                <w:sz w:val="28"/>
                <w:szCs w:val="28"/>
              </w:rPr>
            </w:pPr>
            <w:r>
              <w:rPr>
                <w:rFonts w:eastAsia="仿宋_GB2312"/>
                <w:color w:val="000000" w:themeColor="text1"/>
                <w:sz w:val="28"/>
                <w:szCs w:val="28"/>
              </w:rPr>
              <w:t>A4彩图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3" w:type="dxa"/>
            <w:vAlign w:val="center"/>
          </w:tcPr>
          <w:p>
            <w:pPr>
              <w:spacing w:line="240" w:lineRule="auto"/>
              <w:jc w:val="center"/>
              <w:rPr>
                <w:rFonts w:eastAsia="仿宋_GB2312"/>
                <w:color w:val="000000" w:themeColor="text1"/>
                <w:sz w:val="28"/>
                <w:szCs w:val="28"/>
              </w:rPr>
            </w:pPr>
            <w:r>
              <w:rPr>
                <w:rFonts w:eastAsia="仿宋_GB2312"/>
                <w:color w:val="000000" w:themeColor="text1"/>
                <w:sz w:val="28"/>
                <w:szCs w:val="28"/>
              </w:rPr>
              <w:t>3</w:t>
            </w:r>
          </w:p>
        </w:tc>
        <w:tc>
          <w:tcPr>
            <w:tcW w:w="5665" w:type="dxa"/>
            <w:vAlign w:val="center"/>
          </w:tcPr>
          <w:p>
            <w:pPr>
              <w:spacing w:line="240" w:lineRule="auto"/>
              <w:jc w:val="center"/>
              <w:rPr>
                <w:rFonts w:eastAsia="仿宋_GB2312"/>
                <w:color w:val="000000" w:themeColor="text1"/>
                <w:sz w:val="28"/>
                <w:szCs w:val="28"/>
              </w:rPr>
            </w:pPr>
            <w:r>
              <w:rPr>
                <w:rFonts w:eastAsia="仿宋_GB2312"/>
                <w:color w:val="000000" w:themeColor="text1"/>
                <w:sz w:val="28"/>
                <w:szCs w:val="28"/>
              </w:rPr>
              <w:t>项目总体布置</w:t>
            </w:r>
            <w:r>
              <w:rPr>
                <w:rFonts w:hint="eastAsia" w:eastAsia="仿宋_GB2312"/>
                <w:color w:val="000000" w:themeColor="text1"/>
                <w:sz w:val="28"/>
                <w:szCs w:val="28"/>
              </w:rPr>
              <w:t>及分区防治措施总体布设图</w:t>
            </w:r>
          </w:p>
        </w:tc>
        <w:tc>
          <w:tcPr>
            <w:tcW w:w="1873" w:type="dxa"/>
            <w:vAlign w:val="center"/>
          </w:tcPr>
          <w:p>
            <w:pPr>
              <w:spacing w:line="240" w:lineRule="auto"/>
              <w:jc w:val="center"/>
              <w:rPr>
                <w:rFonts w:eastAsia="仿宋_GB2312"/>
                <w:color w:val="000000" w:themeColor="text1"/>
                <w:sz w:val="28"/>
                <w:szCs w:val="28"/>
              </w:rPr>
            </w:pPr>
            <w:r>
              <w:rPr>
                <w:rFonts w:eastAsia="仿宋_GB2312"/>
                <w:color w:val="000000" w:themeColor="text1"/>
                <w:sz w:val="28"/>
                <w:szCs w:val="28"/>
              </w:rPr>
              <w:t>A</w:t>
            </w:r>
            <w:r>
              <w:rPr>
                <w:rFonts w:hint="eastAsia" w:eastAsia="仿宋_GB2312"/>
                <w:color w:val="000000" w:themeColor="text1"/>
                <w:sz w:val="28"/>
                <w:szCs w:val="28"/>
              </w:rPr>
              <w:t>4彩</w:t>
            </w:r>
            <w:r>
              <w:rPr>
                <w:rFonts w:eastAsia="仿宋_GB2312"/>
                <w:color w:val="000000" w:themeColor="text1"/>
                <w:sz w:val="28"/>
                <w:szCs w:val="28"/>
              </w:rPr>
              <w:t>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83" w:type="dxa"/>
            <w:vAlign w:val="center"/>
          </w:tcPr>
          <w:p>
            <w:pPr>
              <w:spacing w:line="240" w:lineRule="auto"/>
              <w:jc w:val="center"/>
              <w:rPr>
                <w:rFonts w:eastAsia="仿宋_GB2312"/>
                <w:color w:val="000000" w:themeColor="text1"/>
                <w:sz w:val="28"/>
                <w:szCs w:val="28"/>
              </w:rPr>
            </w:pPr>
            <w:r>
              <w:rPr>
                <w:rFonts w:eastAsia="仿宋_GB2312"/>
                <w:color w:val="000000" w:themeColor="text1"/>
                <w:sz w:val="28"/>
                <w:szCs w:val="28"/>
              </w:rPr>
              <w:t>4</w:t>
            </w:r>
          </w:p>
        </w:tc>
        <w:tc>
          <w:tcPr>
            <w:tcW w:w="5665" w:type="dxa"/>
            <w:vAlign w:val="center"/>
          </w:tcPr>
          <w:p>
            <w:pPr>
              <w:spacing w:line="240" w:lineRule="auto"/>
              <w:jc w:val="center"/>
              <w:rPr>
                <w:rFonts w:eastAsia="仿宋_GB2312"/>
                <w:color w:val="000000" w:themeColor="text1"/>
                <w:sz w:val="28"/>
                <w:szCs w:val="28"/>
              </w:rPr>
            </w:pPr>
            <w:r>
              <w:rPr>
                <w:rFonts w:eastAsia="仿宋_GB2312"/>
                <w:color w:val="000000" w:themeColor="text1"/>
                <w:sz w:val="28"/>
                <w:szCs w:val="28"/>
              </w:rPr>
              <w:t>临时堆土防护典型布置图</w:t>
            </w:r>
          </w:p>
        </w:tc>
        <w:tc>
          <w:tcPr>
            <w:tcW w:w="1873" w:type="dxa"/>
            <w:vAlign w:val="center"/>
          </w:tcPr>
          <w:p>
            <w:pPr>
              <w:spacing w:line="240" w:lineRule="auto"/>
              <w:jc w:val="center"/>
              <w:rPr>
                <w:rFonts w:eastAsia="仿宋_GB2312"/>
                <w:color w:val="000000" w:themeColor="text1"/>
                <w:sz w:val="28"/>
                <w:szCs w:val="28"/>
              </w:rPr>
            </w:pPr>
            <w:r>
              <w:rPr>
                <w:rFonts w:eastAsia="仿宋_GB2312"/>
                <w:color w:val="000000" w:themeColor="text1"/>
                <w:sz w:val="28"/>
                <w:szCs w:val="28"/>
              </w:rPr>
              <w:t>A4黑白图</w:t>
            </w:r>
          </w:p>
        </w:tc>
      </w:tr>
    </w:tbl>
    <w:p>
      <w:pPr>
        <w:spacing w:line="240" w:lineRule="auto"/>
        <w:jc w:val="both"/>
        <w:rPr>
          <w:rFonts w:eastAsia="仿宋_GB2312"/>
          <w:color w:val="000000" w:themeColor="text1"/>
          <w:sz w:val="36"/>
          <w:highlight w:val="cyan"/>
        </w:rPr>
        <w:sectPr>
          <w:headerReference r:id="rId5" w:type="default"/>
          <w:footerReference r:id="rId6" w:type="default"/>
          <w:pgSz w:w="11907" w:h="16840"/>
          <w:pgMar w:top="1418" w:right="1588" w:bottom="1418" w:left="1588" w:header="851" w:footer="851" w:gutter="0"/>
          <w:pgNumType w:start="1"/>
          <w:cols w:space="720" w:num="1"/>
        </w:sectPr>
      </w:pPr>
    </w:p>
    <w:p>
      <w:pPr>
        <w:pStyle w:val="3"/>
        <w:spacing w:before="0" w:after="0" w:line="360" w:lineRule="auto"/>
        <w:rPr>
          <w:rFonts w:eastAsia="仿宋_GB2312"/>
          <w:color w:val="000000" w:themeColor="text1"/>
          <w:sz w:val="28"/>
          <w:szCs w:val="28"/>
        </w:rPr>
      </w:pPr>
      <w:bookmarkStart w:id="1" w:name="_Toc2784"/>
      <w:r>
        <w:rPr>
          <w:rFonts w:eastAsia="仿宋_GB2312"/>
          <w:color w:val="000000" w:themeColor="text1"/>
          <w:sz w:val="28"/>
          <w:szCs w:val="28"/>
        </w:rPr>
        <w:t>1.综合说明</w:t>
      </w:r>
      <w:bookmarkEnd w:id="1"/>
    </w:p>
    <w:p>
      <w:pPr>
        <w:pStyle w:val="4"/>
        <w:spacing w:before="0" w:after="0" w:line="360" w:lineRule="auto"/>
        <w:rPr>
          <w:rFonts w:ascii="Times New Roman" w:hAnsi="Times New Roman" w:eastAsia="仿宋_GB2312"/>
          <w:color w:val="000000" w:themeColor="text1"/>
          <w:sz w:val="28"/>
          <w:szCs w:val="28"/>
        </w:rPr>
      </w:pPr>
      <w:bookmarkStart w:id="2" w:name="_Toc29156"/>
      <w:r>
        <w:rPr>
          <w:rFonts w:ascii="Times New Roman" w:hAnsi="Times New Roman" w:eastAsia="仿宋_GB2312"/>
          <w:color w:val="000000" w:themeColor="text1"/>
          <w:sz w:val="28"/>
          <w:szCs w:val="28"/>
        </w:rPr>
        <w:t>1.1项目简况</w:t>
      </w:r>
      <w:bookmarkEnd w:id="2"/>
    </w:p>
    <w:p>
      <w:pPr>
        <w:spacing w:line="360" w:lineRule="auto"/>
        <w:rPr>
          <w:rFonts w:eastAsia="仿宋_GB2312"/>
          <w:b/>
          <w:color w:val="000000" w:themeColor="text1"/>
          <w:szCs w:val="24"/>
        </w:rPr>
      </w:pPr>
      <w:r>
        <w:rPr>
          <w:rFonts w:eastAsia="仿宋_GB2312"/>
          <w:b/>
          <w:color w:val="000000" w:themeColor="text1"/>
          <w:sz w:val="28"/>
          <w:szCs w:val="28"/>
        </w:rPr>
        <w:t>1.1.1</w:t>
      </w:r>
      <w:r>
        <w:rPr>
          <w:rFonts w:eastAsia="仿宋_GB2312"/>
          <w:b/>
          <w:color w:val="000000" w:themeColor="text1"/>
          <w:szCs w:val="24"/>
        </w:rPr>
        <w:t>项目基本情况</w:t>
      </w:r>
    </w:p>
    <w:p>
      <w:pPr>
        <w:spacing w:line="360" w:lineRule="auto"/>
        <w:ind w:firstLine="480" w:firstLineChars="200"/>
        <w:rPr>
          <w:rFonts w:eastAsia="仿宋_GB2312"/>
          <w:color w:val="000000" w:themeColor="text1"/>
          <w:szCs w:val="24"/>
          <w:highlight w:val="cyan"/>
        </w:rPr>
      </w:pPr>
      <w:bookmarkStart w:id="3" w:name="_Toc103421854"/>
      <w:r>
        <w:rPr>
          <w:rFonts w:hint="eastAsia" w:eastAsia="仿宋_GB2312"/>
          <w:color w:val="000000" w:themeColor="text1"/>
          <w:szCs w:val="24"/>
          <w:lang w:eastAsia="zh-CN"/>
        </w:rPr>
        <w:t>农安县东兴实业有限公司</w:t>
      </w:r>
      <w:r>
        <w:rPr>
          <w:rFonts w:eastAsia="仿宋_GB2312"/>
          <w:color w:val="000000" w:themeColor="text1"/>
          <w:szCs w:val="24"/>
        </w:rPr>
        <w:t>成立于20</w:t>
      </w:r>
      <w:r>
        <w:rPr>
          <w:rFonts w:hint="eastAsia" w:eastAsia="仿宋_GB2312"/>
          <w:color w:val="000000" w:themeColor="text1"/>
          <w:szCs w:val="24"/>
          <w:lang w:val="en-US" w:eastAsia="zh-CN"/>
        </w:rPr>
        <w:t>21</w:t>
      </w:r>
      <w:r>
        <w:rPr>
          <w:rFonts w:eastAsia="仿宋_GB2312"/>
          <w:color w:val="000000" w:themeColor="text1"/>
          <w:szCs w:val="24"/>
        </w:rPr>
        <w:t>年</w:t>
      </w:r>
      <w:r>
        <w:rPr>
          <w:rFonts w:hint="eastAsia" w:eastAsia="仿宋_GB2312"/>
          <w:color w:val="000000" w:themeColor="text1"/>
          <w:szCs w:val="24"/>
          <w:lang w:val="en-US" w:eastAsia="zh-CN"/>
        </w:rPr>
        <w:t>6</w:t>
      </w:r>
      <w:r>
        <w:rPr>
          <w:rFonts w:eastAsia="仿宋_GB2312"/>
          <w:color w:val="000000" w:themeColor="text1"/>
          <w:szCs w:val="24"/>
        </w:rPr>
        <w:t>月，</w:t>
      </w:r>
      <w:r>
        <w:rPr>
          <w:rFonts w:hint="eastAsia" w:eastAsia="仿宋_GB2312"/>
          <w:color w:val="000000" w:themeColor="text1"/>
          <w:szCs w:val="24"/>
        </w:rPr>
        <w:t>公司经营范围主要为：一般项目：新型建筑材料制造（不含危险化学品）；土地使用权租赁；非居住房地产租赁；机械设备租赁；建筑材料销售。（除依法须经批准的项目外，凭营业执照依法自主开展经营活动）许可项目：道路货物运输（不含危险货物）。（依法须经批准的项目，经相关部门批准后方可开展经营活动，具体经营项目以相关部门批准文件或许可证件为准）。为满足</w:t>
      </w:r>
      <w:r>
        <w:rPr>
          <w:rFonts w:hint="eastAsia" w:eastAsia="仿宋_GB2312"/>
          <w:color w:val="000000" w:themeColor="text1"/>
          <w:szCs w:val="24"/>
          <w:lang w:val="en-US" w:eastAsia="zh-CN"/>
        </w:rPr>
        <w:t>市场</w:t>
      </w:r>
      <w:r>
        <w:rPr>
          <w:rFonts w:hint="eastAsia" w:eastAsia="仿宋_GB2312"/>
          <w:color w:val="000000" w:themeColor="text1"/>
          <w:szCs w:val="24"/>
        </w:rPr>
        <w:t>需求，</w:t>
      </w:r>
      <w:r>
        <w:rPr>
          <w:rFonts w:hint="eastAsia" w:eastAsia="仿宋_GB2312"/>
          <w:color w:val="000000" w:themeColor="text1"/>
          <w:szCs w:val="24"/>
          <w:lang w:eastAsia="zh-CN"/>
        </w:rPr>
        <w:t>农安县东兴实业有限公司</w:t>
      </w:r>
      <w:r>
        <w:rPr>
          <w:rFonts w:hint="eastAsia" w:eastAsia="仿宋_GB2312"/>
          <w:color w:val="000000" w:themeColor="text1"/>
          <w:szCs w:val="24"/>
        </w:rPr>
        <w:t>投资</w:t>
      </w:r>
      <w:r>
        <w:rPr>
          <w:rFonts w:hint="eastAsia" w:eastAsia="仿宋_GB2312"/>
          <w:color w:val="000000" w:themeColor="text1"/>
          <w:szCs w:val="24"/>
          <w:lang w:val="en-US" w:eastAsia="zh-CN"/>
        </w:rPr>
        <w:t>8000</w:t>
      </w:r>
      <w:r>
        <w:rPr>
          <w:rFonts w:hint="eastAsia" w:eastAsia="仿宋_GB2312"/>
          <w:color w:val="000000" w:themeColor="text1"/>
          <w:szCs w:val="24"/>
        </w:rPr>
        <w:t>万元人民币在</w:t>
      </w:r>
      <w:r>
        <w:rPr>
          <w:rFonts w:hint="eastAsia" w:eastAsia="仿宋_GB2312"/>
          <w:color w:val="000000" w:themeColor="text1"/>
          <w:szCs w:val="24"/>
          <w:lang w:val="en-US" w:eastAsia="zh-CN"/>
        </w:rPr>
        <w:t>长春农安经济开发区（西区）</w:t>
      </w:r>
      <w:r>
        <w:rPr>
          <w:rFonts w:hint="eastAsia" w:eastAsia="仿宋_GB2312"/>
          <w:color w:val="000000" w:themeColor="text1"/>
          <w:szCs w:val="24"/>
          <w:highlight w:val="none"/>
          <w:lang w:val="en-US" w:eastAsia="zh-CN"/>
        </w:rPr>
        <w:t>烧锅镇东兴村以东、长白线以南、加油站以西、烧锅镇东兴村以北建设</w:t>
      </w:r>
      <w:r>
        <w:rPr>
          <w:rFonts w:hint="eastAsia" w:eastAsia="仿宋_GB2312"/>
          <w:color w:val="000000" w:themeColor="text1"/>
          <w:szCs w:val="24"/>
          <w:lang w:eastAsia="zh-CN"/>
        </w:rPr>
        <w:t>农安县东兴实业有限公司蒸压加气泥凝块年产40万立方项目</w:t>
      </w:r>
      <w:r>
        <w:rPr>
          <w:rFonts w:hint="eastAsia" w:eastAsia="仿宋_GB2312"/>
          <w:color w:val="000000" w:themeColor="text1"/>
          <w:szCs w:val="24"/>
        </w:rPr>
        <w:t>。</w:t>
      </w:r>
      <w:bookmarkEnd w:id="3"/>
      <w:r>
        <w:rPr>
          <w:rFonts w:hint="eastAsia" w:eastAsia="仿宋_GB2312"/>
          <w:color w:val="000000" w:themeColor="text1"/>
          <w:szCs w:val="24"/>
        </w:rPr>
        <w:t>本项目建设</w:t>
      </w:r>
      <w:r>
        <w:rPr>
          <w:rFonts w:hint="eastAsia" w:eastAsia="仿宋_GB2312"/>
          <w:color w:val="000000" w:themeColor="text1"/>
          <w:szCs w:val="24"/>
          <w:lang w:val="en-US" w:eastAsia="zh-CN"/>
        </w:rPr>
        <w:t>生产车间、罩棚、灰库及相关附属设施，购置设备两百余台，利用蒸气加压技术年产蒸压加气混凝土砌块40万m³。</w:t>
      </w:r>
      <w:r>
        <w:rPr>
          <w:rFonts w:eastAsia="仿宋_GB2312"/>
          <w:color w:val="000000" w:themeColor="text1"/>
          <w:szCs w:val="24"/>
        </w:rPr>
        <w:t>项目区中心点坐标为：东经</w:t>
      </w:r>
      <w:r>
        <w:rPr>
          <w:rFonts w:hint="eastAsia" w:eastAsia="仿宋_GB2312"/>
          <w:color w:val="000000" w:themeColor="text1"/>
          <w:szCs w:val="24"/>
          <w:highlight w:val="none"/>
          <w:lang w:eastAsia="zh-CN"/>
        </w:rPr>
        <w:t>125.045888</w:t>
      </w:r>
      <w:r>
        <w:rPr>
          <w:rFonts w:eastAsia="仿宋_GB2312"/>
          <w:color w:val="000000" w:themeColor="text1"/>
          <w:szCs w:val="24"/>
          <w:highlight w:val="none"/>
        </w:rPr>
        <w:t>°、北纬</w:t>
      </w:r>
      <w:r>
        <w:rPr>
          <w:rFonts w:hint="eastAsia" w:eastAsia="仿宋_GB2312"/>
          <w:color w:val="000000" w:themeColor="text1"/>
          <w:szCs w:val="24"/>
          <w:highlight w:val="none"/>
          <w:lang w:eastAsia="zh-CN"/>
        </w:rPr>
        <w:t>43.989634</w:t>
      </w:r>
      <w:r>
        <w:rPr>
          <w:rFonts w:eastAsia="仿宋_GB2312"/>
          <w:color w:val="000000" w:themeColor="text1"/>
          <w:szCs w:val="24"/>
          <w:highlight w:val="none"/>
        </w:rPr>
        <w:t>°</w:t>
      </w:r>
      <w:r>
        <w:rPr>
          <w:rFonts w:eastAsia="仿宋_GB2312"/>
          <w:color w:val="000000" w:themeColor="text1"/>
          <w:szCs w:val="24"/>
        </w:rPr>
        <w:t>。本项目总建筑面积</w:t>
      </w:r>
      <w:r>
        <w:rPr>
          <w:rFonts w:hint="eastAsia" w:eastAsia="仿宋_GB2312"/>
          <w:color w:val="000000" w:themeColor="text1"/>
          <w:szCs w:val="24"/>
          <w:lang w:eastAsia="zh-CN"/>
        </w:rPr>
        <w:t>8004.42</w:t>
      </w:r>
      <w:r>
        <w:rPr>
          <w:rFonts w:eastAsia="仿宋_GB2312"/>
          <w:color w:val="000000" w:themeColor="text1"/>
          <w:szCs w:val="24"/>
        </w:rPr>
        <w:t>m</w:t>
      </w:r>
      <w:r>
        <w:rPr>
          <w:rFonts w:eastAsia="仿宋_GB2312"/>
          <w:color w:val="000000" w:themeColor="text1"/>
          <w:szCs w:val="24"/>
          <w:vertAlign w:val="superscript"/>
        </w:rPr>
        <w:t>2</w:t>
      </w:r>
      <w:r>
        <w:rPr>
          <w:rFonts w:hint="eastAsia" w:eastAsia="仿宋_GB2312"/>
          <w:color w:val="000000" w:themeColor="text1"/>
          <w:szCs w:val="24"/>
        </w:rPr>
        <w:t>，</w:t>
      </w:r>
      <w:r>
        <w:rPr>
          <w:rFonts w:eastAsia="仿宋_GB2312"/>
          <w:color w:val="000000" w:themeColor="text1"/>
          <w:szCs w:val="24"/>
        </w:rPr>
        <w:t>总占地</w:t>
      </w:r>
      <w:r>
        <w:rPr>
          <w:rFonts w:hint="eastAsia" w:eastAsia="仿宋_GB2312"/>
          <w:color w:val="000000" w:themeColor="text1"/>
          <w:szCs w:val="24"/>
        </w:rPr>
        <w:t>面积</w:t>
      </w:r>
      <w:r>
        <w:rPr>
          <w:rFonts w:hint="eastAsia" w:eastAsia="仿宋_GB2312"/>
          <w:color w:val="000000" w:themeColor="text1"/>
          <w:szCs w:val="24"/>
          <w:lang w:eastAsia="zh-CN"/>
        </w:rPr>
        <w:t>13022</w:t>
      </w:r>
      <w:r>
        <w:rPr>
          <w:rFonts w:eastAsia="仿宋_GB2312"/>
          <w:color w:val="000000" w:themeColor="text1"/>
          <w:szCs w:val="24"/>
        </w:rPr>
        <w:t>㎡，其中建筑物基底面积</w:t>
      </w:r>
      <w:r>
        <w:rPr>
          <w:rFonts w:hint="eastAsia" w:eastAsia="仿宋_GB2312"/>
          <w:color w:val="000000" w:themeColor="text1"/>
          <w:szCs w:val="24"/>
          <w:lang w:eastAsia="zh-CN"/>
        </w:rPr>
        <w:t>8004.42</w:t>
      </w:r>
      <w:r>
        <w:rPr>
          <w:rFonts w:eastAsia="仿宋_GB2312"/>
          <w:color w:val="000000" w:themeColor="text1"/>
          <w:szCs w:val="24"/>
        </w:rPr>
        <w:t>m²，道路及硬化区域占地面积</w:t>
      </w:r>
      <w:r>
        <w:rPr>
          <w:rFonts w:hint="eastAsia" w:eastAsia="仿宋_GB2312"/>
          <w:color w:val="000000" w:themeColor="text1"/>
          <w:szCs w:val="24"/>
          <w:lang w:eastAsia="zh-CN"/>
        </w:rPr>
        <w:t>1258.75</w:t>
      </w:r>
      <w:r>
        <w:rPr>
          <w:rFonts w:eastAsia="仿宋_GB2312"/>
          <w:color w:val="000000" w:themeColor="text1"/>
          <w:szCs w:val="24"/>
        </w:rPr>
        <w:t>m²，绿化区域占地面积</w:t>
      </w:r>
      <w:r>
        <w:rPr>
          <w:rFonts w:hint="eastAsia" w:eastAsia="仿宋_GB2312"/>
          <w:color w:val="000000" w:themeColor="text1"/>
          <w:szCs w:val="24"/>
          <w:lang w:eastAsia="zh-CN"/>
        </w:rPr>
        <w:t>1258.75</w:t>
      </w:r>
      <w:r>
        <w:rPr>
          <w:rFonts w:eastAsia="仿宋_GB2312"/>
          <w:color w:val="000000" w:themeColor="text1"/>
          <w:szCs w:val="24"/>
        </w:rPr>
        <w:t>m²；绿地率</w:t>
      </w:r>
      <w:r>
        <w:rPr>
          <w:rFonts w:hint="eastAsia" w:eastAsia="仿宋_GB2312"/>
          <w:color w:val="000000" w:themeColor="text1"/>
          <w:szCs w:val="24"/>
          <w:lang w:val="en-US" w:eastAsia="zh-CN"/>
        </w:rPr>
        <w:t>9.67</w:t>
      </w:r>
      <w:r>
        <w:rPr>
          <w:rFonts w:eastAsia="仿宋_GB2312"/>
          <w:color w:val="000000" w:themeColor="text1"/>
          <w:szCs w:val="24"/>
        </w:rPr>
        <w:t>%</w:t>
      </w:r>
      <w:r>
        <w:rPr>
          <w:rFonts w:eastAsia="仿宋_GB2312"/>
          <w:color w:val="000000" w:themeColor="text1"/>
          <w:szCs w:val="24"/>
          <w:lang w:val="zh-CN"/>
        </w:rPr>
        <w:t>，容积率</w:t>
      </w:r>
      <w:r>
        <w:rPr>
          <w:rFonts w:hint="eastAsia" w:eastAsia="仿宋_GB2312"/>
          <w:color w:val="000000" w:themeColor="text1"/>
          <w:szCs w:val="24"/>
          <w:lang w:val="en-US" w:eastAsia="zh-CN"/>
        </w:rPr>
        <w:t>1.02</w:t>
      </w:r>
      <w:r>
        <w:rPr>
          <w:rFonts w:eastAsia="仿宋_GB2312"/>
          <w:color w:val="000000" w:themeColor="text1"/>
          <w:szCs w:val="24"/>
        </w:rPr>
        <w:t>，建筑密度</w:t>
      </w:r>
      <w:r>
        <w:rPr>
          <w:rFonts w:hint="eastAsia" w:eastAsia="仿宋_GB2312"/>
          <w:color w:val="000000" w:themeColor="text1"/>
          <w:szCs w:val="24"/>
          <w:lang w:eastAsia="zh-CN"/>
        </w:rPr>
        <w:t>61.47</w:t>
      </w:r>
      <w:r>
        <w:rPr>
          <w:rFonts w:eastAsia="仿宋_GB2312"/>
          <w:color w:val="000000" w:themeColor="text1"/>
          <w:szCs w:val="24"/>
        </w:rPr>
        <w:t>%。配套建设的供电、通信、供</w:t>
      </w:r>
      <w:r>
        <w:rPr>
          <w:rFonts w:hint="eastAsia" w:eastAsia="仿宋_GB2312"/>
          <w:color w:val="000000" w:themeColor="text1"/>
          <w:szCs w:val="24"/>
          <w:lang w:val="en-US" w:eastAsia="zh-CN"/>
        </w:rPr>
        <w:t>排</w:t>
      </w:r>
      <w:r>
        <w:rPr>
          <w:rFonts w:eastAsia="仿宋_GB2312"/>
          <w:color w:val="000000" w:themeColor="text1"/>
          <w:szCs w:val="24"/>
        </w:rPr>
        <w:t>水</w:t>
      </w:r>
      <w:r>
        <w:rPr>
          <w:rFonts w:hint="eastAsia" w:eastAsia="仿宋_GB2312"/>
          <w:color w:val="000000" w:themeColor="text1"/>
          <w:szCs w:val="24"/>
        </w:rPr>
        <w:t>、供热</w:t>
      </w:r>
      <w:r>
        <w:rPr>
          <w:rFonts w:eastAsia="仿宋_GB2312"/>
          <w:color w:val="000000" w:themeColor="text1"/>
          <w:szCs w:val="24"/>
        </w:rPr>
        <w:t>及燃气管线均从</w:t>
      </w:r>
      <w:r>
        <w:rPr>
          <w:rFonts w:hint="eastAsia" w:eastAsia="仿宋_GB2312"/>
          <w:color w:val="000000" w:themeColor="text1"/>
          <w:szCs w:val="24"/>
          <w:lang w:val="en-US" w:eastAsia="zh-CN"/>
        </w:rPr>
        <w:t>北</w:t>
      </w:r>
      <w:r>
        <w:rPr>
          <w:rFonts w:eastAsia="仿宋_GB2312"/>
          <w:color w:val="000000" w:themeColor="text1"/>
          <w:szCs w:val="24"/>
        </w:rPr>
        <w:t>侧</w:t>
      </w:r>
      <w:r>
        <w:rPr>
          <w:rFonts w:hint="eastAsia" w:eastAsia="仿宋_GB2312"/>
          <w:color w:val="000000" w:themeColor="text1"/>
          <w:szCs w:val="24"/>
          <w:lang w:val="en-US" w:eastAsia="zh-CN"/>
        </w:rPr>
        <w:t>长白线</w:t>
      </w:r>
      <w:r>
        <w:rPr>
          <w:rFonts w:eastAsia="仿宋_GB2312"/>
          <w:color w:val="000000" w:themeColor="text1"/>
          <w:szCs w:val="24"/>
        </w:rPr>
        <w:t>接入场区内。</w:t>
      </w:r>
    </w:p>
    <w:p>
      <w:pPr>
        <w:spacing w:line="360" w:lineRule="auto"/>
        <w:ind w:firstLine="480" w:firstLineChars="200"/>
        <w:rPr>
          <w:rFonts w:eastAsia="仿宋_GB2312"/>
          <w:color w:val="000000" w:themeColor="text1"/>
          <w:szCs w:val="24"/>
        </w:rPr>
      </w:pPr>
      <w:r>
        <w:rPr>
          <w:rFonts w:eastAsia="仿宋_GB2312"/>
          <w:color w:val="000000" w:themeColor="text1"/>
          <w:szCs w:val="24"/>
        </w:rPr>
        <w:t>本项目由工程建设区组成，总占地面积</w:t>
      </w:r>
      <w:r>
        <w:rPr>
          <w:rFonts w:hint="eastAsia" w:eastAsia="仿宋_GB2312"/>
          <w:color w:val="000000" w:themeColor="text1"/>
          <w:lang w:eastAsia="zh-CN"/>
        </w:rPr>
        <w:t>13022</w:t>
      </w:r>
      <w:r>
        <w:rPr>
          <w:rFonts w:eastAsia="仿宋_GB2312"/>
          <w:color w:val="000000" w:themeColor="text1"/>
        </w:rPr>
        <w:t>m²，全部为永久征地，占地类型为</w:t>
      </w:r>
      <w:r>
        <w:rPr>
          <w:rFonts w:hint="eastAsia" w:eastAsia="仿宋_GB2312"/>
          <w:color w:val="000000" w:themeColor="text1"/>
          <w:lang w:val="en-US" w:eastAsia="zh-CN"/>
        </w:rPr>
        <w:t>工业</w:t>
      </w:r>
      <w:r>
        <w:rPr>
          <w:rFonts w:hint="eastAsia" w:eastAsia="仿宋_GB2312"/>
          <w:color w:val="000000" w:themeColor="text1"/>
        </w:rPr>
        <w:t>用地</w:t>
      </w:r>
      <w:r>
        <w:rPr>
          <w:rFonts w:eastAsia="仿宋_GB2312"/>
          <w:bCs/>
          <w:color w:val="000000" w:themeColor="text1"/>
          <w:szCs w:val="24"/>
        </w:rPr>
        <w:t>。</w:t>
      </w:r>
      <w:r>
        <w:rPr>
          <w:rFonts w:eastAsia="仿宋_GB2312"/>
          <w:color w:val="000000" w:themeColor="text1"/>
        </w:rPr>
        <w:t>本项目土石方挖填总量为</w:t>
      </w:r>
      <w:r>
        <w:rPr>
          <w:rFonts w:hint="eastAsia" w:eastAsia="仿宋_GB2312"/>
          <w:color w:val="000000" w:themeColor="text1"/>
          <w:highlight w:val="none"/>
          <w:lang w:val="en-US" w:eastAsia="zh-CN"/>
        </w:rPr>
        <w:t>1.02</w:t>
      </w:r>
      <w:r>
        <w:rPr>
          <w:rFonts w:eastAsia="仿宋_GB2312"/>
          <w:color w:val="000000" w:themeColor="text1"/>
          <w:highlight w:val="none"/>
        </w:rPr>
        <w:t>万m³，其中挖方量为</w:t>
      </w:r>
      <w:r>
        <w:rPr>
          <w:rFonts w:hint="eastAsia" w:eastAsia="仿宋_GB2312"/>
          <w:color w:val="000000" w:themeColor="text1"/>
          <w:highlight w:val="none"/>
        </w:rPr>
        <w:t>0.</w:t>
      </w:r>
      <w:r>
        <w:rPr>
          <w:rFonts w:hint="eastAsia" w:eastAsia="仿宋_GB2312"/>
          <w:color w:val="000000" w:themeColor="text1"/>
          <w:highlight w:val="none"/>
          <w:lang w:val="en-US" w:eastAsia="zh-CN"/>
        </w:rPr>
        <w:t>49</w:t>
      </w:r>
      <w:r>
        <w:rPr>
          <w:rFonts w:eastAsia="仿宋_GB2312"/>
          <w:color w:val="000000" w:themeColor="text1"/>
          <w:highlight w:val="none"/>
        </w:rPr>
        <w:t>万m³；填方量为</w:t>
      </w:r>
      <w:r>
        <w:rPr>
          <w:rFonts w:hint="eastAsia" w:eastAsia="仿宋_GB2312"/>
          <w:color w:val="000000" w:themeColor="text1"/>
          <w:highlight w:val="none"/>
          <w:lang w:val="en-US" w:eastAsia="zh-CN"/>
        </w:rPr>
        <w:t>0.53</w:t>
      </w:r>
      <w:r>
        <w:rPr>
          <w:rFonts w:eastAsia="仿宋_GB2312"/>
          <w:color w:val="000000" w:themeColor="text1"/>
          <w:highlight w:val="none"/>
        </w:rPr>
        <w:t>万m³（含绿化用土回覆</w:t>
      </w:r>
      <w:r>
        <w:rPr>
          <w:rFonts w:hint="eastAsia" w:eastAsia="仿宋_GB2312"/>
          <w:color w:val="000000" w:themeColor="text1"/>
          <w:highlight w:val="none"/>
        </w:rPr>
        <w:t>0.</w:t>
      </w:r>
      <w:r>
        <w:rPr>
          <w:rFonts w:hint="eastAsia" w:eastAsia="仿宋_GB2312"/>
          <w:color w:val="000000" w:themeColor="text1"/>
          <w:highlight w:val="none"/>
          <w:lang w:val="en-US" w:eastAsia="zh-CN"/>
        </w:rPr>
        <w:t>04</w:t>
      </w:r>
      <w:r>
        <w:rPr>
          <w:rFonts w:eastAsia="仿宋_GB2312"/>
          <w:color w:val="000000" w:themeColor="text1"/>
        </w:rPr>
        <w:t>万m³）</w:t>
      </w:r>
      <w:r>
        <w:rPr>
          <w:rFonts w:eastAsia="仿宋"/>
          <w:color w:val="000000" w:themeColor="text1"/>
          <w:szCs w:val="24"/>
        </w:rPr>
        <w:t>。</w:t>
      </w:r>
      <w:r>
        <w:rPr>
          <w:rFonts w:eastAsia="仿宋_GB2312"/>
          <w:color w:val="000000" w:themeColor="text1"/>
        </w:rPr>
        <w:t>土石方平衡</w:t>
      </w:r>
      <w:r>
        <w:rPr>
          <w:rFonts w:eastAsia="仿宋_GB2312"/>
          <w:color w:val="000000" w:themeColor="text1"/>
          <w:szCs w:val="24"/>
        </w:rPr>
        <w:t>。</w:t>
      </w:r>
      <w:r>
        <w:rPr>
          <w:rFonts w:eastAsia="仿宋_GB2312"/>
          <w:color w:val="000000" w:themeColor="text1"/>
        </w:rPr>
        <w:t>工程不涉及拆迁安置与专项设施改（迁）建。工程</w:t>
      </w:r>
      <w:r>
        <w:rPr>
          <w:rFonts w:hint="eastAsia" w:eastAsia="仿宋_GB2312"/>
          <w:color w:val="000000" w:themeColor="text1"/>
          <w:lang w:val="en-US" w:eastAsia="zh-CN"/>
        </w:rPr>
        <w:t>已</w:t>
      </w:r>
      <w:r>
        <w:rPr>
          <w:rFonts w:hint="eastAsia" w:eastAsia="仿宋_GB2312"/>
          <w:color w:val="000000" w:themeColor="text1"/>
        </w:rPr>
        <w:t>于</w:t>
      </w:r>
      <w:r>
        <w:rPr>
          <w:rFonts w:eastAsia="仿宋_GB2312"/>
          <w:color w:val="000000" w:themeColor="text1"/>
        </w:rPr>
        <w:t>202</w:t>
      </w:r>
      <w:r>
        <w:rPr>
          <w:rFonts w:hint="eastAsia" w:eastAsia="仿宋_GB2312"/>
          <w:color w:val="000000" w:themeColor="text1"/>
          <w:lang w:val="en-US" w:eastAsia="zh-CN"/>
        </w:rPr>
        <w:t>1</w:t>
      </w:r>
      <w:r>
        <w:rPr>
          <w:rFonts w:eastAsia="仿宋_GB2312"/>
          <w:color w:val="000000" w:themeColor="text1"/>
        </w:rPr>
        <w:t>年</w:t>
      </w:r>
      <w:r>
        <w:rPr>
          <w:rFonts w:hint="eastAsia" w:eastAsia="仿宋_GB2312"/>
          <w:color w:val="000000" w:themeColor="text1"/>
          <w:lang w:val="en-US" w:eastAsia="zh-CN"/>
        </w:rPr>
        <w:t>9</w:t>
      </w:r>
      <w:r>
        <w:rPr>
          <w:rFonts w:eastAsia="仿宋_GB2312"/>
          <w:color w:val="000000" w:themeColor="text1"/>
        </w:rPr>
        <w:t>月开工，</w:t>
      </w:r>
      <w:r>
        <w:rPr>
          <w:rFonts w:hint="eastAsia" w:eastAsia="仿宋_GB2312"/>
          <w:color w:val="000000" w:themeColor="text1"/>
          <w:lang w:val="en-US" w:eastAsia="zh-CN"/>
        </w:rPr>
        <w:t>计划于</w:t>
      </w:r>
      <w:r>
        <w:rPr>
          <w:rFonts w:eastAsia="仿宋_GB2312"/>
          <w:color w:val="000000" w:themeColor="text1"/>
        </w:rPr>
        <w:t>202</w:t>
      </w:r>
      <w:r>
        <w:rPr>
          <w:rFonts w:hint="eastAsia" w:eastAsia="仿宋_GB2312"/>
          <w:color w:val="000000" w:themeColor="text1"/>
        </w:rPr>
        <w:t>3</w:t>
      </w:r>
      <w:r>
        <w:rPr>
          <w:rFonts w:eastAsia="仿宋_GB2312"/>
          <w:color w:val="000000" w:themeColor="text1"/>
        </w:rPr>
        <w:t>年</w:t>
      </w:r>
      <w:r>
        <w:rPr>
          <w:rFonts w:hint="eastAsia" w:eastAsia="仿宋_GB2312"/>
          <w:color w:val="000000" w:themeColor="text1"/>
          <w:lang w:val="en-US" w:eastAsia="zh-CN"/>
        </w:rPr>
        <w:t>8</w:t>
      </w:r>
      <w:r>
        <w:rPr>
          <w:rFonts w:eastAsia="仿宋_GB2312"/>
          <w:color w:val="000000" w:themeColor="text1"/>
        </w:rPr>
        <w:t>月完工，总工期</w:t>
      </w:r>
      <w:r>
        <w:rPr>
          <w:rFonts w:hint="eastAsia" w:eastAsia="仿宋_GB2312"/>
          <w:color w:val="000000" w:themeColor="text1"/>
          <w:lang w:val="en-US" w:eastAsia="zh-CN"/>
        </w:rPr>
        <w:t>24</w:t>
      </w:r>
      <w:r>
        <w:rPr>
          <w:rFonts w:eastAsia="仿宋_GB2312"/>
          <w:color w:val="000000" w:themeColor="text1"/>
        </w:rPr>
        <w:t>个月。工程总投资</w:t>
      </w:r>
      <w:r>
        <w:rPr>
          <w:rFonts w:hint="eastAsia" w:eastAsia="仿宋_GB2312"/>
          <w:color w:val="000000" w:themeColor="text1"/>
          <w:lang w:val="en-US" w:eastAsia="zh-CN"/>
        </w:rPr>
        <w:t>8000</w:t>
      </w:r>
      <w:r>
        <w:rPr>
          <w:rFonts w:eastAsia="仿宋_GB2312"/>
          <w:color w:val="000000" w:themeColor="text1"/>
        </w:rPr>
        <w:t>万元，其中土建投资</w:t>
      </w:r>
      <w:r>
        <w:rPr>
          <w:rFonts w:hint="eastAsia" w:eastAsia="仿宋_GB2312"/>
          <w:color w:val="000000" w:themeColor="text1"/>
          <w:highlight w:val="yellow"/>
          <w:lang w:eastAsia="zh-CN"/>
        </w:rPr>
        <w:t>7944.86</w:t>
      </w:r>
      <w:r>
        <w:rPr>
          <w:rFonts w:eastAsia="仿宋_GB2312"/>
          <w:color w:val="000000" w:themeColor="text1"/>
        </w:rPr>
        <w:t>万元，资金来源全部由企业自筹。</w:t>
      </w:r>
      <w:r>
        <w:rPr>
          <w:rFonts w:eastAsia="仿宋_GB2312"/>
          <w:color w:val="000000" w:themeColor="text1"/>
          <w:szCs w:val="24"/>
        </w:rPr>
        <w:t>项目法人</w:t>
      </w:r>
      <w:r>
        <w:rPr>
          <w:rFonts w:hint="eastAsia" w:eastAsia="仿宋_GB2312"/>
          <w:color w:val="000000" w:themeColor="text1"/>
          <w:szCs w:val="24"/>
          <w:lang w:val="en-US" w:eastAsia="zh-CN"/>
        </w:rPr>
        <w:t>单位</w:t>
      </w:r>
      <w:r>
        <w:rPr>
          <w:rFonts w:eastAsia="仿宋_GB2312"/>
          <w:color w:val="000000" w:themeColor="text1"/>
          <w:szCs w:val="24"/>
        </w:rPr>
        <w:t>为</w:t>
      </w:r>
      <w:r>
        <w:rPr>
          <w:rFonts w:hint="eastAsia" w:eastAsia="仿宋_GB2312"/>
          <w:color w:val="000000" w:themeColor="text1"/>
          <w:szCs w:val="24"/>
          <w:lang w:eastAsia="zh-CN"/>
        </w:rPr>
        <w:t>农安县东兴实业有限公司</w:t>
      </w:r>
      <w:r>
        <w:rPr>
          <w:rFonts w:eastAsia="仿宋_GB2312"/>
          <w:color w:val="000000" w:themeColor="text1"/>
          <w:szCs w:val="24"/>
        </w:rPr>
        <w:t>。</w:t>
      </w:r>
    </w:p>
    <w:p>
      <w:pPr>
        <w:spacing w:line="360" w:lineRule="auto"/>
        <w:ind w:firstLine="480" w:firstLineChars="200"/>
        <w:rPr>
          <w:rFonts w:eastAsia="仿宋_GB2312"/>
          <w:color w:val="000000" w:themeColor="text1"/>
          <w:szCs w:val="24"/>
        </w:rPr>
      </w:pPr>
      <w:r>
        <w:rPr>
          <w:rFonts w:hint="eastAsia" w:eastAsia="仿宋_GB2312"/>
          <w:color w:val="000000" w:themeColor="text1"/>
          <w:szCs w:val="24"/>
        </w:rPr>
        <w:t>项目</w:t>
      </w:r>
      <w:r>
        <w:rPr>
          <w:rFonts w:hint="eastAsia" w:eastAsia="仿宋_GB2312"/>
          <w:color w:val="000000" w:themeColor="text1"/>
          <w:szCs w:val="24"/>
          <w:lang w:val="en-US" w:eastAsia="zh-CN"/>
        </w:rPr>
        <w:t>计划</w:t>
      </w:r>
      <w:r>
        <w:rPr>
          <w:rFonts w:hint="eastAsia" w:eastAsia="仿宋_GB2312"/>
          <w:color w:val="000000" w:themeColor="text1"/>
          <w:szCs w:val="24"/>
        </w:rPr>
        <w:t>于202</w:t>
      </w:r>
      <w:r>
        <w:rPr>
          <w:rFonts w:hint="eastAsia" w:eastAsia="仿宋_GB2312"/>
          <w:color w:val="000000" w:themeColor="text1"/>
          <w:szCs w:val="24"/>
          <w:lang w:val="en-US" w:eastAsia="zh-CN"/>
        </w:rPr>
        <w:t>3</w:t>
      </w:r>
      <w:r>
        <w:rPr>
          <w:rFonts w:hint="eastAsia" w:eastAsia="仿宋_GB2312"/>
          <w:color w:val="000000" w:themeColor="text1"/>
          <w:szCs w:val="24"/>
        </w:rPr>
        <w:t>年</w:t>
      </w:r>
      <w:r>
        <w:rPr>
          <w:rFonts w:hint="eastAsia" w:eastAsia="仿宋_GB2312"/>
          <w:color w:val="000000" w:themeColor="text1"/>
          <w:szCs w:val="24"/>
          <w:lang w:val="en-US" w:eastAsia="zh-CN"/>
        </w:rPr>
        <w:t>2</w:t>
      </w:r>
      <w:r>
        <w:rPr>
          <w:rFonts w:hint="eastAsia" w:eastAsia="仿宋_GB2312"/>
          <w:color w:val="000000" w:themeColor="text1"/>
          <w:szCs w:val="24"/>
        </w:rPr>
        <w:t>月开工，截止到目前，</w:t>
      </w:r>
      <w:r>
        <w:rPr>
          <w:rFonts w:hint="eastAsia" w:eastAsia="仿宋_GB2312"/>
          <w:color w:val="000000" w:themeColor="text1"/>
          <w:szCs w:val="24"/>
          <w:lang w:val="en-US" w:eastAsia="zh-CN"/>
        </w:rPr>
        <w:t>已实施的水土保持措施有临时堆土防护、雨水管线及雨水口，</w:t>
      </w:r>
      <w:r>
        <w:rPr>
          <w:rFonts w:hint="eastAsia" w:eastAsia="仿宋_GB2312"/>
          <w:color w:val="000000" w:themeColor="text1"/>
          <w:szCs w:val="24"/>
        </w:rPr>
        <w:t>通过现场实际调查，没有造成重大水土流失危害。</w:t>
      </w:r>
    </w:p>
    <w:p>
      <w:pPr>
        <w:spacing w:line="360" w:lineRule="auto"/>
        <w:rPr>
          <w:rFonts w:eastAsia="仿宋_GB2312"/>
          <w:color w:val="000000" w:themeColor="text1"/>
        </w:rPr>
      </w:pPr>
      <w:r>
        <w:rPr>
          <w:rFonts w:eastAsia="仿宋_GB2312"/>
          <w:b/>
          <w:color w:val="000000" w:themeColor="text1"/>
          <w:sz w:val="28"/>
          <w:szCs w:val="28"/>
        </w:rPr>
        <w:t>1.1.2</w:t>
      </w:r>
      <w:r>
        <w:rPr>
          <w:rFonts w:eastAsia="仿宋_GB2312"/>
          <w:b/>
          <w:color w:val="000000" w:themeColor="text1"/>
        </w:rPr>
        <w:t>项目前期工作进展情况</w:t>
      </w:r>
    </w:p>
    <w:p>
      <w:pPr>
        <w:spacing w:line="360" w:lineRule="auto"/>
        <w:ind w:firstLine="480" w:firstLineChars="200"/>
        <w:rPr>
          <w:rFonts w:eastAsia="仿宋_GB2312"/>
          <w:snapToGrid w:val="0"/>
          <w:color w:val="000000" w:themeColor="text1"/>
          <w:szCs w:val="24"/>
        </w:rPr>
      </w:pPr>
      <w:r>
        <w:rPr>
          <w:rFonts w:eastAsia="仿宋_GB2312"/>
          <w:color w:val="000000" w:themeColor="text1"/>
          <w:szCs w:val="24"/>
        </w:rPr>
        <w:t>202</w:t>
      </w:r>
      <w:r>
        <w:rPr>
          <w:rFonts w:hint="eastAsia" w:eastAsia="仿宋_GB2312"/>
          <w:color w:val="000000" w:themeColor="text1"/>
          <w:szCs w:val="24"/>
          <w:lang w:val="en-US" w:eastAsia="zh-CN"/>
        </w:rPr>
        <w:t>1</w:t>
      </w:r>
      <w:r>
        <w:rPr>
          <w:rFonts w:eastAsia="仿宋_GB2312"/>
          <w:color w:val="000000" w:themeColor="text1"/>
          <w:szCs w:val="24"/>
        </w:rPr>
        <w:t>年</w:t>
      </w:r>
      <w:r>
        <w:rPr>
          <w:rFonts w:hint="eastAsia" w:eastAsia="仿宋_GB2312"/>
          <w:color w:val="000000" w:themeColor="text1"/>
          <w:szCs w:val="24"/>
          <w:lang w:val="en-US" w:eastAsia="zh-CN"/>
        </w:rPr>
        <w:t>6</w:t>
      </w:r>
      <w:r>
        <w:rPr>
          <w:rFonts w:eastAsia="仿宋_GB2312"/>
          <w:color w:val="000000" w:themeColor="text1"/>
          <w:szCs w:val="24"/>
        </w:rPr>
        <w:t>月</w:t>
      </w:r>
      <w:r>
        <w:rPr>
          <w:rFonts w:hint="eastAsia" w:eastAsia="仿宋_GB2312"/>
          <w:color w:val="000000" w:themeColor="text1"/>
          <w:szCs w:val="24"/>
          <w:lang w:val="en-US" w:eastAsia="zh-CN"/>
        </w:rPr>
        <w:t>9</w:t>
      </w:r>
      <w:r>
        <w:rPr>
          <w:rFonts w:eastAsia="仿宋_GB2312"/>
          <w:color w:val="000000" w:themeColor="text1"/>
          <w:szCs w:val="24"/>
        </w:rPr>
        <w:t>日，</w:t>
      </w:r>
      <w:r>
        <w:rPr>
          <w:rFonts w:hint="eastAsia" w:eastAsia="仿宋_GB2312"/>
          <w:color w:val="000000" w:themeColor="text1"/>
          <w:lang w:eastAsia="zh-CN"/>
        </w:rPr>
        <w:t>农安县东兴实业有限公司</w:t>
      </w:r>
      <w:r>
        <w:rPr>
          <w:rFonts w:eastAsia="仿宋_GB2312"/>
          <w:color w:val="000000" w:themeColor="text1"/>
        </w:rPr>
        <w:t>取得了吉林省企业投资项目备案信息登记表</w:t>
      </w:r>
      <w:r>
        <w:rPr>
          <w:rFonts w:eastAsia="仿宋_GB2312"/>
          <w:color w:val="000000" w:themeColor="text1"/>
          <w:szCs w:val="24"/>
        </w:rPr>
        <w:t>，备案流水号为：</w:t>
      </w:r>
      <w:r>
        <w:rPr>
          <w:rFonts w:hint="eastAsia" w:eastAsia="仿宋_GB2312"/>
          <w:color w:val="000000" w:themeColor="text1"/>
          <w:szCs w:val="24"/>
          <w:lang w:eastAsia="zh-CN"/>
        </w:rPr>
        <w:t>2021060922012203102752</w:t>
      </w:r>
      <w:r>
        <w:rPr>
          <w:rFonts w:eastAsia="仿宋_GB2312"/>
          <w:color w:val="000000" w:themeColor="text1"/>
          <w:szCs w:val="24"/>
        </w:rPr>
        <w:t>，</w:t>
      </w:r>
      <w:r>
        <w:rPr>
          <w:rFonts w:eastAsia="仿宋_GB2312"/>
          <w:color w:val="000000" w:themeColor="text1"/>
        </w:rPr>
        <w:t>其它前期文件正在同步办理之中</w:t>
      </w:r>
      <w:r>
        <w:rPr>
          <w:rFonts w:eastAsia="仿宋_GB2312"/>
          <w:color w:val="000000" w:themeColor="text1"/>
          <w:szCs w:val="24"/>
        </w:rPr>
        <w:t>。</w:t>
      </w:r>
    </w:p>
    <w:p>
      <w:pPr>
        <w:spacing w:line="360" w:lineRule="auto"/>
        <w:ind w:firstLine="480" w:firstLineChars="200"/>
        <w:rPr>
          <w:color w:val="000000" w:themeColor="text1"/>
        </w:rPr>
      </w:pPr>
      <w:r>
        <w:rPr>
          <w:rFonts w:eastAsia="仿宋_GB2312"/>
          <w:snapToGrid w:val="0"/>
          <w:color w:val="000000" w:themeColor="text1"/>
          <w:szCs w:val="24"/>
        </w:rPr>
        <w:t>202</w:t>
      </w:r>
      <w:r>
        <w:rPr>
          <w:rFonts w:hint="eastAsia" w:eastAsia="仿宋_GB2312"/>
          <w:snapToGrid w:val="0"/>
          <w:color w:val="000000" w:themeColor="text1"/>
          <w:szCs w:val="24"/>
        </w:rPr>
        <w:t>2</w:t>
      </w:r>
      <w:r>
        <w:rPr>
          <w:rFonts w:eastAsia="仿宋_GB2312"/>
          <w:snapToGrid w:val="0"/>
          <w:color w:val="000000" w:themeColor="text1"/>
          <w:szCs w:val="24"/>
        </w:rPr>
        <w:t>年</w:t>
      </w:r>
      <w:r>
        <w:rPr>
          <w:rFonts w:hint="eastAsia" w:eastAsia="仿宋_GB2312"/>
          <w:snapToGrid w:val="0"/>
          <w:color w:val="000000" w:themeColor="text1"/>
          <w:szCs w:val="24"/>
          <w:lang w:val="en-US" w:eastAsia="zh-CN"/>
        </w:rPr>
        <w:t>12</w:t>
      </w:r>
      <w:r>
        <w:rPr>
          <w:rFonts w:eastAsia="仿宋_GB2312"/>
          <w:snapToGrid w:val="0"/>
          <w:color w:val="000000" w:themeColor="text1"/>
          <w:szCs w:val="24"/>
        </w:rPr>
        <w:t>月，</w:t>
      </w:r>
      <w:r>
        <w:rPr>
          <w:rFonts w:eastAsia="仿宋_GB2312"/>
          <w:color w:val="000000" w:themeColor="text1"/>
        </w:rPr>
        <w:t>受建设单位</w:t>
      </w:r>
      <w:r>
        <w:rPr>
          <w:rFonts w:hint="eastAsia" w:eastAsia="仿宋_GB2312"/>
          <w:color w:val="000000" w:themeColor="text1"/>
          <w:lang w:eastAsia="zh-CN"/>
        </w:rPr>
        <w:t>农安县东兴实业有限公司</w:t>
      </w:r>
      <w:r>
        <w:rPr>
          <w:rFonts w:eastAsia="仿宋_GB2312"/>
          <w:color w:val="000000" w:themeColor="text1"/>
        </w:rPr>
        <w:t>委托，</w:t>
      </w:r>
      <w:r>
        <w:rPr>
          <w:rFonts w:hint="eastAsia" w:eastAsia="仿宋_GB2312"/>
          <w:color w:val="000000" w:themeColor="text1"/>
        </w:rPr>
        <w:t>吉林省玖伏环境科技有限公司</w:t>
      </w:r>
      <w:r>
        <w:rPr>
          <w:rFonts w:eastAsia="仿宋_GB2312"/>
          <w:color w:val="000000" w:themeColor="text1"/>
        </w:rPr>
        <w:t>承担了本工程水土保持方案的编制工</w:t>
      </w:r>
      <w:r>
        <w:rPr>
          <w:rFonts w:eastAsia="仿宋_GB2312"/>
          <w:color w:val="000000" w:themeColor="text1"/>
          <w:szCs w:val="22"/>
        </w:rPr>
        <w:t>作。编制单位</w:t>
      </w:r>
      <w:r>
        <w:rPr>
          <w:rFonts w:eastAsia="仿宋_GB2312"/>
          <w:color w:val="000000" w:themeColor="text1"/>
        </w:rPr>
        <w:t>根据《生产建设项目水土保持技术标准》（GB50433-2018）的要求，界定出工程的水土流失防治责任范围，明确了防治目标，布设了防治措施体系，完成了《</w:t>
      </w:r>
      <w:r>
        <w:rPr>
          <w:rFonts w:hint="eastAsia" w:eastAsia="仿宋_GB2312"/>
          <w:color w:val="000000" w:themeColor="text1"/>
          <w:lang w:eastAsia="zh-CN"/>
        </w:rPr>
        <w:t>农安县东兴实业有限公司蒸压加气泥凝块年产40万立方项目</w:t>
      </w:r>
      <w:r>
        <w:rPr>
          <w:rFonts w:eastAsia="仿宋_GB2312"/>
          <w:color w:val="000000" w:themeColor="text1"/>
        </w:rPr>
        <w:t>水土保持方案报告表》的编写工作</w:t>
      </w:r>
      <w:r>
        <w:rPr>
          <w:rFonts w:eastAsia="仿宋_GB2312"/>
          <w:bCs/>
          <w:iCs/>
          <w:color w:val="000000" w:themeColor="text1"/>
          <w:szCs w:val="24"/>
        </w:rPr>
        <w:t>。</w:t>
      </w:r>
    </w:p>
    <w:p>
      <w:pPr>
        <w:spacing w:line="360" w:lineRule="auto"/>
        <w:rPr>
          <w:rFonts w:eastAsia="仿宋_GB2312"/>
          <w:color w:val="000000" w:themeColor="text1"/>
        </w:rPr>
      </w:pPr>
      <w:r>
        <w:rPr>
          <w:rFonts w:eastAsia="仿宋_GB2312"/>
          <w:b/>
          <w:color w:val="000000" w:themeColor="text1"/>
          <w:sz w:val="28"/>
          <w:szCs w:val="28"/>
        </w:rPr>
        <w:t>1.1.3</w:t>
      </w:r>
      <w:r>
        <w:rPr>
          <w:rFonts w:eastAsia="仿宋_GB2312"/>
          <w:b/>
          <w:color w:val="000000" w:themeColor="text1"/>
        </w:rPr>
        <w:t>自然简况</w:t>
      </w:r>
    </w:p>
    <w:p>
      <w:pPr>
        <w:snapToGrid w:val="0"/>
        <w:spacing w:line="360" w:lineRule="auto"/>
        <w:ind w:firstLine="480" w:firstLineChars="200"/>
        <w:jc w:val="both"/>
        <w:rPr>
          <w:color w:val="000000" w:themeColor="text1"/>
        </w:rPr>
      </w:pPr>
      <w:r>
        <w:rPr>
          <w:rFonts w:eastAsia="仿宋_GB2312"/>
          <w:color w:val="000000" w:themeColor="text1"/>
          <w:szCs w:val="24"/>
        </w:rPr>
        <w:t>项目区属平原地貌，气候类型属温带季风气候，项目区多年平均气温4.7℃，多年降水量516.9mm，多年平均风速为3.2m/s，大风日数16天，主导风向为西南风，≥10℃积温2880℃，最大冻土深1.90m，年日照时数2900h，年平均蒸发量1501mm。区域植被属于蒙古植物区系草甸草原植被类型，项目区用地范围为政府拆迁后净地，地表由杂填土覆盖，无植被覆盖。项目区属松花江流域。容许土壤流失量为200t/（km</w:t>
      </w:r>
      <w:r>
        <w:rPr>
          <w:rFonts w:eastAsia="仿宋_GB2312"/>
          <w:color w:val="000000" w:themeColor="text1"/>
          <w:szCs w:val="24"/>
          <w:vertAlign w:val="superscript"/>
        </w:rPr>
        <w:t>2</w:t>
      </w:r>
      <w:r>
        <w:rPr>
          <w:rFonts w:eastAsia="仿宋_GB2312"/>
          <w:color w:val="000000" w:themeColor="text1"/>
          <w:szCs w:val="24"/>
        </w:rPr>
        <w:t>·a），原地貌土壤侵蚀模数为400t/（km</w:t>
      </w:r>
      <w:r>
        <w:rPr>
          <w:rFonts w:eastAsia="仿宋_GB2312"/>
          <w:color w:val="000000" w:themeColor="text1"/>
          <w:szCs w:val="24"/>
          <w:vertAlign w:val="superscript"/>
        </w:rPr>
        <w:t>2</w:t>
      </w:r>
      <w:r>
        <w:rPr>
          <w:rFonts w:eastAsia="仿宋_GB2312"/>
          <w:color w:val="000000" w:themeColor="text1"/>
          <w:szCs w:val="24"/>
        </w:rPr>
        <w:t>·a），土壤侵蚀类型以水力侵蚀为主，土壤侵蚀强度为轻度。根据《全国水土保持区划》，本项目水土保持区划属东北黑土区；根据《吉林省水土保持规划（2016—2030年）》，本项目不属于国家级、省级水土流失重点预防区和重点治理区，不涉及水土保持敏感区</w:t>
      </w:r>
      <w:r>
        <w:rPr>
          <w:rFonts w:eastAsia="仿宋_GB2312"/>
          <w:color w:val="000000" w:themeColor="text1"/>
          <w:szCs w:val="22"/>
        </w:rPr>
        <w:t>。</w:t>
      </w:r>
    </w:p>
    <w:p>
      <w:pPr>
        <w:pStyle w:val="4"/>
        <w:spacing w:before="0" w:after="0" w:line="360" w:lineRule="auto"/>
        <w:rPr>
          <w:rFonts w:ascii="Times New Roman" w:hAnsi="Times New Roman" w:eastAsia="仿宋_GB2312"/>
          <w:color w:val="000000" w:themeColor="text1"/>
          <w:sz w:val="28"/>
          <w:szCs w:val="28"/>
        </w:rPr>
      </w:pPr>
      <w:bookmarkStart w:id="4" w:name="_Toc27307"/>
      <w:r>
        <w:rPr>
          <w:rFonts w:ascii="Times New Roman" w:hAnsi="Times New Roman" w:eastAsia="仿宋_GB2312"/>
          <w:color w:val="000000" w:themeColor="text1"/>
          <w:sz w:val="28"/>
          <w:szCs w:val="28"/>
        </w:rPr>
        <w:t>1.2编制依据</w:t>
      </w:r>
      <w:bookmarkEnd w:id="4"/>
    </w:p>
    <w:p>
      <w:pPr>
        <w:spacing w:line="360" w:lineRule="auto"/>
        <w:rPr>
          <w:rFonts w:eastAsia="仿宋_GB2312"/>
          <w:color w:val="000000" w:themeColor="text1"/>
        </w:rPr>
      </w:pPr>
      <w:r>
        <w:rPr>
          <w:rFonts w:eastAsia="仿宋_GB2312"/>
          <w:b/>
          <w:color w:val="000000" w:themeColor="text1"/>
          <w:sz w:val="28"/>
          <w:szCs w:val="28"/>
        </w:rPr>
        <w:t>1.2.1</w:t>
      </w:r>
      <w:r>
        <w:rPr>
          <w:rFonts w:eastAsia="仿宋_GB2312"/>
          <w:b/>
          <w:color w:val="000000" w:themeColor="text1"/>
          <w:szCs w:val="24"/>
        </w:rPr>
        <w:t>法律法规及规范性文件</w:t>
      </w:r>
      <w:r>
        <w:rPr>
          <w:rFonts w:hint="eastAsia" w:eastAsia="仿宋_GB2312"/>
          <w:b/>
          <w:color w:val="000000" w:themeColor="text1"/>
          <w:szCs w:val="24"/>
        </w:rPr>
        <w:t>图</w:t>
      </w:r>
    </w:p>
    <w:p>
      <w:pPr>
        <w:spacing w:line="360" w:lineRule="auto"/>
        <w:ind w:firstLine="480" w:firstLineChars="200"/>
        <w:rPr>
          <w:rFonts w:eastAsia="仿宋_GB2312"/>
          <w:color w:val="000000" w:themeColor="text1"/>
          <w:szCs w:val="22"/>
        </w:rPr>
      </w:pPr>
      <w:r>
        <w:rPr>
          <w:rFonts w:eastAsia="仿宋_GB2312"/>
          <w:color w:val="000000" w:themeColor="text1"/>
          <w:szCs w:val="22"/>
        </w:rPr>
        <w:t>（1）《中华人民共和国水土保持法》（2010年12月25日修订，2011年3月1日施行）；</w:t>
      </w:r>
    </w:p>
    <w:p>
      <w:pPr>
        <w:spacing w:line="360" w:lineRule="auto"/>
        <w:ind w:firstLine="480" w:firstLineChars="200"/>
        <w:rPr>
          <w:rFonts w:eastAsia="仿宋_GB2312"/>
          <w:color w:val="000000" w:themeColor="text1"/>
          <w:szCs w:val="22"/>
        </w:rPr>
      </w:pPr>
      <w:r>
        <w:rPr>
          <w:rFonts w:eastAsia="仿宋_GB2312"/>
          <w:color w:val="000000" w:themeColor="text1"/>
          <w:szCs w:val="22"/>
        </w:rPr>
        <w:t>（2）</w:t>
      </w:r>
      <w:r>
        <w:rPr>
          <w:rFonts w:hint="default" w:eastAsia="仿宋_GB2312"/>
          <w:color w:val="000000" w:themeColor="text1"/>
          <w:szCs w:val="22"/>
        </w:rPr>
        <w:t>《中华人民共和国黑土地保护法》</w:t>
      </w:r>
      <w:r>
        <w:rPr>
          <w:rFonts w:hint="eastAsia" w:eastAsia="仿宋_GB2312"/>
          <w:color w:val="000000" w:themeColor="text1"/>
          <w:szCs w:val="22"/>
          <w:lang w:eastAsia="zh-CN"/>
        </w:rPr>
        <w:t>（2022年6月24日第十三届全国人民代表大会常务委员会第三十五次会议通过，2022年8月1日起施行）；</w:t>
      </w:r>
    </w:p>
    <w:p>
      <w:pPr>
        <w:spacing w:line="360" w:lineRule="auto"/>
        <w:ind w:firstLine="480" w:firstLineChars="200"/>
        <w:rPr>
          <w:rFonts w:eastAsia="仿宋_GB2312"/>
          <w:color w:val="000000" w:themeColor="text1"/>
          <w:szCs w:val="22"/>
        </w:rPr>
      </w:pPr>
      <w:r>
        <w:rPr>
          <w:rFonts w:hint="eastAsia" w:eastAsia="仿宋_GB2312"/>
          <w:color w:val="000000" w:themeColor="text1"/>
          <w:szCs w:val="22"/>
          <w:lang w:eastAsia="zh-CN"/>
        </w:rPr>
        <w:t>（</w:t>
      </w:r>
      <w:r>
        <w:rPr>
          <w:rFonts w:hint="eastAsia" w:eastAsia="仿宋_GB2312"/>
          <w:color w:val="000000" w:themeColor="text1"/>
          <w:szCs w:val="22"/>
          <w:lang w:val="en-US" w:eastAsia="zh-CN"/>
        </w:rPr>
        <w:t>3）</w:t>
      </w:r>
      <w:r>
        <w:rPr>
          <w:rFonts w:eastAsia="仿宋_GB2312"/>
          <w:color w:val="000000" w:themeColor="text1"/>
          <w:szCs w:val="22"/>
        </w:rPr>
        <w:t>《吉林省水土保持条例》（吉林省人大2013年11月修订，2014年3月1日施行）；</w:t>
      </w:r>
    </w:p>
    <w:p>
      <w:pPr>
        <w:spacing w:line="360" w:lineRule="auto"/>
        <w:ind w:firstLine="480" w:firstLineChars="200"/>
        <w:rPr>
          <w:rFonts w:eastAsia="仿宋_GB2312"/>
          <w:color w:val="000000" w:themeColor="text1"/>
          <w:szCs w:val="22"/>
        </w:rPr>
      </w:pPr>
      <w:r>
        <w:rPr>
          <w:rFonts w:eastAsia="仿宋_GB2312"/>
          <w:color w:val="000000" w:themeColor="text1"/>
          <w:szCs w:val="22"/>
        </w:rPr>
        <w:t>（</w:t>
      </w:r>
      <w:r>
        <w:rPr>
          <w:rFonts w:hint="eastAsia" w:eastAsia="仿宋_GB2312"/>
          <w:color w:val="000000" w:themeColor="text1"/>
          <w:szCs w:val="22"/>
          <w:lang w:val="en-US" w:eastAsia="zh-CN"/>
        </w:rPr>
        <w:t>4</w:t>
      </w:r>
      <w:r>
        <w:rPr>
          <w:rFonts w:eastAsia="仿宋_GB2312"/>
          <w:color w:val="000000" w:themeColor="text1"/>
          <w:szCs w:val="22"/>
        </w:rPr>
        <w:t>）《吉林省黑土地保护条例》（2018年3月30日吉林省第十三届人民代表大会常务委员会第二次会议通过，2018年7月1日起施行）；</w:t>
      </w:r>
    </w:p>
    <w:p>
      <w:pPr>
        <w:spacing w:line="360" w:lineRule="auto"/>
        <w:ind w:firstLine="480" w:firstLineChars="200"/>
        <w:rPr>
          <w:rFonts w:eastAsia="仿宋_GB2312"/>
          <w:color w:val="000000" w:themeColor="text1"/>
          <w:szCs w:val="22"/>
        </w:rPr>
      </w:pPr>
      <w:r>
        <w:rPr>
          <w:rFonts w:eastAsia="仿宋_GB2312"/>
          <w:color w:val="000000" w:themeColor="text1"/>
          <w:szCs w:val="22"/>
        </w:rPr>
        <w:t>（</w:t>
      </w:r>
      <w:r>
        <w:rPr>
          <w:rFonts w:hint="eastAsia" w:eastAsia="仿宋_GB2312"/>
          <w:color w:val="000000" w:themeColor="text1"/>
          <w:szCs w:val="22"/>
          <w:lang w:val="en-US" w:eastAsia="zh-CN"/>
        </w:rPr>
        <w:t>5</w:t>
      </w:r>
      <w:r>
        <w:rPr>
          <w:rFonts w:eastAsia="仿宋_GB2312"/>
          <w:color w:val="000000" w:themeColor="text1"/>
          <w:szCs w:val="22"/>
        </w:rPr>
        <w:t>）《长春市水土保持条例》（长春市人大常委会，1996年8月31日颁布施行，2015年8月31日修订通过，2015年11月20日批准，2016年1月1日施行）；</w:t>
      </w:r>
    </w:p>
    <w:p>
      <w:pPr>
        <w:spacing w:line="360" w:lineRule="auto"/>
        <w:ind w:firstLine="480" w:firstLineChars="200"/>
        <w:rPr>
          <w:rFonts w:eastAsia="仿宋_GB2312"/>
          <w:snapToGrid w:val="0"/>
          <w:color w:val="000000" w:themeColor="text1"/>
          <w:szCs w:val="24"/>
        </w:rPr>
      </w:pPr>
      <w:r>
        <w:rPr>
          <w:rFonts w:eastAsia="仿宋_GB2312"/>
          <w:snapToGrid w:val="0"/>
          <w:color w:val="000000" w:themeColor="text1"/>
          <w:szCs w:val="24"/>
        </w:rPr>
        <w:t>（</w:t>
      </w:r>
      <w:r>
        <w:rPr>
          <w:rFonts w:hint="eastAsia" w:eastAsia="仿宋_GB2312"/>
          <w:snapToGrid w:val="0"/>
          <w:color w:val="000000" w:themeColor="text1"/>
          <w:szCs w:val="24"/>
          <w:lang w:val="en-US" w:eastAsia="zh-CN"/>
        </w:rPr>
        <w:t>6</w:t>
      </w:r>
      <w:r>
        <w:rPr>
          <w:rFonts w:eastAsia="仿宋_GB2312"/>
          <w:snapToGrid w:val="0"/>
          <w:color w:val="000000" w:themeColor="text1"/>
          <w:szCs w:val="24"/>
        </w:rPr>
        <w:t>）《水利部办公厅关于印发生产建设项目水土保持技术文件编写和印制格式规定（试行）的通知》（办水保〔2018〕135号，2018年7月12日）</w:t>
      </w:r>
      <w:r>
        <w:rPr>
          <w:rFonts w:eastAsia="仿宋_GB2312"/>
          <w:color w:val="000000" w:themeColor="text1"/>
          <w:szCs w:val="24"/>
        </w:rPr>
        <w:t>；</w:t>
      </w:r>
    </w:p>
    <w:p>
      <w:pPr>
        <w:spacing w:line="360" w:lineRule="auto"/>
        <w:ind w:firstLine="480" w:firstLineChars="200"/>
        <w:rPr>
          <w:rFonts w:eastAsia="仿宋_GB2312"/>
          <w:color w:val="000000" w:themeColor="text1"/>
          <w:szCs w:val="22"/>
        </w:rPr>
      </w:pPr>
      <w:r>
        <w:rPr>
          <w:rFonts w:eastAsia="仿宋_GB2312"/>
          <w:snapToGrid w:val="0"/>
          <w:color w:val="000000" w:themeColor="text1"/>
          <w:szCs w:val="24"/>
        </w:rPr>
        <w:t>（</w:t>
      </w:r>
      <w:r>
        <w:rPr>
          <w:rFonts w:hint="eastAsia" w:eastAsia="仿宋_GB2312"/>
          <w:snapToGrid w:val="0"/>
          <w:color w:val="000000" w:themeColor="text1"/>
          <w:szCs w:val="24"/>
          <w:lang w:val="en-US" w:eastAsia="zh-CN"/>
        </w:rPr>
        <w:t>7</w:t>
      </w:r>
      <w:r>
        <w:rPr>
          <w:rFonts w:eastAsia="仿宋_GB2312"/>
          <w:snapToGrid w:val="0"/>
          <w:color w:val="000000" w:themeColor="text1"/>
          <w:szCs w:val="24"/>
        </w:rPr>
        <w:t>）《开发建设项目水土保持方案编报审批管理规定》（1995年5月30日水利部令第5号发布，根据2005年7月8日《水利部关于修改部分水利行政许可规章的决定》第一次修正，根据2017年12月22日《水利部关于废止和修改部分规章的决定》第二次修正）。</w:t>
      </w:r>
    </w:p>
    <w:p>
      <w:pPr>
        <w:spacing w:line="360" w:lineRule="auto"/>
        <w:rPr>
          <w:rFonts w:eastAsia="仿宋_GB2312"/>
          <w:b/>
          <w:color w:val="000000" w:themeColor="text1"/>
          <w:kern w:val="2"/>
          <w:szCs w:val="24"/>
        </w:rPr>
      </w:pPr>
      <w:r>
        <w:rPr>
          <w:rFonts w:eastAsia="仿宋_GB2312"/>
          <w:b/>
          <w:color w:val="000000" w:themeColor="text1"/>
          <w:kern w:val="2"/>
          <w:szCs w:val="24"/>
        </w:rPr>
        <w:t>1.2.2技术标准</w:t>
      </w:r>
    </w:p>
    <w:p>
      <w:pPr>
        <w:spacing w:line="360" w:lineRule="auto"/>
        <w:ind w:firstLine="480" w:firstLineChars="200"/>
        <w:rPr>
          <w:rFonts w:eastAsia="仿宋_GB2312"/>
          <w:bCs/>
          <w:iCs/>
          <w:color w:val="000000" w:themeColor="text1"/>
        </w:rPr>
      </w:pPr>
      <w:r>
        <w:rPr>
          <w:rFonts w:eastAsia="仿宋_GB2312"/>
          <w:bCs/>
          <w:iCs/>
          <w:color w:val="000000" w:themeColor="text1"/>
        </w:rPr>
        <w:t>（1）《水土保持工程设计规范》（GB 51018-2014）；</w:t>
      </w:r>
    </w:p>
    <w:p>
      <w:pPr>
        <w:spacing w:line="360" w:lineRule="auto"/>
        <w:ind w:firstLine="480" w:firstLineChars="200"/>
        <w:rPr>
          <w:rFonts w:eastAsia="仿宋_GB2312"/>
          <w:bCs/>
          <w:iCs/>
          <w:color w:val="000000" w:themeColor="text1"/>
        </w:rPr>
      </w:pPr>
      <w:r>
        <w:rPr>
          <w:rFonts w:eastAsia="仿宋_GB2312"/>
          <w:bCs/>
          <w:iCs/>
          <w:color w:val="000000" w:themeColor="text1"/>
        </w:rPr>
        <w:t>（2）《生产建设项目水土保持技术标准》（GB 50433-2018）；</w:t>
      </w:r>
    </w:p>
    <w:p>
      <w:pPr>
        <w:spacing w:line="360" w:lineRule="auto"/>
        <w:ind w:firstLine="480" w:firstLineChars="200"/>
        <w:rPr>
          <w:rFonts w:eastAsia="仿宋_GB2312"/>
          <w:bCs/>
          <w:iCs/>
          <w:color w:val="000000" w:themeColor="text1"/>
        </w:rPr>
      </w:pPr>
      <w:r>
        <w:rPr>
          <w:rFonts w:eastAsia="仿宋_GB2312"/>
          <w:bCs/>
          <w:iCs/>
          <w:color w:val="000000" w:themeColor="text1"/>
        </w:rPr>
        <w:t>（3）《生产建设项目水土流失防治标准》（GB/T 50434-2018）；</w:t>
      </w:r>
    </w:p>
    <w:p>
      <w:pPr>
        <w:spacing w:line="360" w:lineRule="auto"/>
        <w:ind w:firstLine="480" w:firstLineChars="200"/>
        <w:rPr>
          <w:rFonts w:eastAsia="仿宋_GB2312"/>
          <w:bCs/>
          <w:iCs/>
          <w:color w:val="000000" w:themeColor="text1"/>
        </w:rPr>
      </w:pPr>
      <w:r>
        <w:rPr>
          <w:rFonts w:eastAsia="仿宋_GB2312"/>
          <w:bCs/>
          <w:iCs/>
          <w:color w:val="000000" w:themeColor="text1"/>
        </w:rPr>
        <w:t>（4）《生产建设项目水土保持监测与评价标准》（GB/T 51240-2018）；</w:t>
      </w:r>
    </w:p>
    <w:p>
      <w:pPr>
        <w:spacing w:line="360" w:lineRule="auto"/>
        <w:ind w:firstLine="480" w:firstLineChars="200"/>
        <w:rPr>
          <w:rFonts w:eastAsia="仿宋_GB2312"/>
          <w:bCs/>
          <w:iCs/>
          <w:color w:val="000000" w:themeColor="text1"/>
        </w:rPr>
      </w:pPr>
      <w:r>
        <w:rPr>
          <w:rFonts w:eastAsia="仿宋_GB2312"/>
          <w:bCs/>
          <w:iCs/>
          <w:color w:val="000000" w:themeColor="text1"/>
        </w:rPr>
        <w:t>（5）《水利水电工程制图标准 水土保持图》（SL73.6-2015）；</w:t>
      </w:r>
    </w:p>
    <w:p>
      <w:pPr>
        <w:spacing w:line="360" w:lineRule="auto"/>
        <w:ind w:firstLine="480" w:firstLineChars="200"/>
        <w:rPr>
          <w:rFonts w:eastAsia="仿宋_GB2312"/>
          <w:bCs/>
          <w:iCs/>
          <w:color w:val="000000" w:themeColor="text1"/>
        </w:rPr>
      </w:pPr>
      <w:r>
        <w:rPr>
          <w:rFonts w:eastAsia="仿宋_GB2312"/>
          <w:bCs/>
          <w:iCs/>
          <w:color w:val="000000" w:themeColor="text1"/>
        </w:rPr>
        <w:t>（6）《土地利用现状分类》（GB/T21010-2017）。</w:t>
      </w:r>
    </w:p>
    <w:p>
      <w:pPr>
        <w:keepNext/>
        <w:spacing w:line="360" w:lineRule="auto"/>
        <w:rPr>
          <w:rFonts w:eastAsia="仿宋_GB2312"/>
          <w:b/>
          <w:color w:val="000000" w:themeColor="text1"/>
          <w:kern w:val="2"/>
          <w:szCs w:val="24"/>
        </w:rPr>
      </w:pPr>
      <w:r>
        <w:rPr>
          <w:rFonts w:eastAsia="仿宋_GB2312"/>
          <w:b/>
          <w:color w:val="000000" w:themeColor="text1"/>
          <w:kern w:val="2"/>
          <w:szCs w:val="24"/>
        </w:rPr>
        <w:t>1.2.3技术资料</w:t>
      </w:r>
    </w:p>
    <w:p>
      <w:pPr>
        <w:spacing w:line="360" w:lineRule="auto"/>
        <w:ind w:firstLine="480" w:firstLineChars="200"/>
        <w:rPr>
          <w:rFonts w:eastAsia="仿宋_GB2312"/>
          <w:color w:val="000000" w:themeColor="text1"/>
        </w:rPr>
      </w:pPr>
      <w:r>
        <w:rPr>
          <w:rFonts w:eastAsia="仿宋_GB2312"/>
          <w:color w:val="000000" w:themeColor="text1"/>
        </w:rPr>
        <w:t>（1）《全国水土保持规划（2015～2030年）》；</w:t>
      </w:r>
    </w:p>
    <w:p>
      <w:pPr>
        <w:spacing w:line="360" w:lineRule="auto"/>
        <w:ind w:firstLine="480" w:firstLineChars="200"/>
        <w:rPr>
          <w:rFonts w:eastAsia="仿宋_GB2312"/>
          <w:color w:val="000000" w:themeColor="text1"/>
        </w:rPr>
      </w:pPr>
      <w:r>
        <w:rPr>
          <w:rFonts w:eastAsia="仿宋_GB2312"/>
          <w:color w:val="000000" w:themeColor="text1"/>
        </w:rPr>
        <w:t>（2）《吉林省水土保持规划（2016～2030年）》；</w:t>
      </w:r>
    </w:p>
    <w:p>
      <w:pPr>
        <w:spacing w:line="360" w:lineRule="auto"/>
        <w:ind w:firstLine="480" w:firstLineChars="200"/>
        <w:rPr>
          <w:rFonts w:eastAsia="仿宋_GB2312"/>
          <w:color w:val="000000" w:themeColor="text1"/>
        </w:rPr>
      </w:pPr>
      <w:r>
        <w:rPr>
          <w:rFonts w:eastAsia="仿宋_GB2312"/>
          <w:color w:val="000000" w:themeColor="text1"/>
        </w:rPr>
        <w:t>（3）《长春市水土保持规划（2018～2030年）》；</w:t>
      </w:r>
    </w:p>
    <w:p>
      <w:pPr>
        <w:spacing w:line="360" w:lineRule="auto"/>
        <w:ind w:firstLine="480" w:firstLineChars="200"/>
        <w:rPr>
          <w:rFonts w:eastAsia="仿宋_GB2312"/>
          <w:color w:val="000000" w:themeColor="text1"/>
        </w:rPr>
      </w:pPr>
      <w:r>
        <w:rPr>
          <w:rFonts w:eastAsia="仿宋_GB2312"/>
          <w:color w:val="000000" w:themeColor="text1"/>
        </w:rPr>
        <w:t>（4）《农安县水土保持规划（2016～2030年》；</w:t>
      </w:r>
    </w:p>
    <w:p>
      <w:pPr>
        <w:spacing w:line="360" w:lineRule="auto"/>
        <w:ind w:firstLine="480" w:firstLineChars="200"/>
        <w:rPr>
          <w:rFonts w:eastAsia="仿宋_GB2312"/>
          <w:color w:val="000000" w:themeColor="text1"/>
        </w:rPr>
      </w:pPr>
      <w:r>
        <w:rPr>
          <w:rFonts w:eastAsia="仿宋_GB2312"/>
          <w:color w:val="000000" w:themeColor="text1"/>
        </w:rPr>
        <w:t>（5）《吉林省水土保持公报》（吉林省水利厅，20</w:t>
      </w:r>
      <w:r>
        <w:rPr>
          <w:rFonts w:hint="eastAsia" w:eastAsia="仿宋_GB2312"/>
          <w:color w:val="000000" w:themeColor="text1"/>
        </w:rPr>
        <w:t>20</w:t>
      </w:r>
      <w:r>
        <w:rPr>
          <w:rFonts w:eastAsia="仿宋_GB2312"/>
          <w:color w:val="000000" w:themeColor="text1"/>
        </w:rPr>
        <w:t>年）；</w:t>
      </w:r>
    </w:p>
    <w:p>
      <w:pPr>
        <w:spacing w:line="360" w:lineRule="auto"/>
        <w:ind w:firstLine="480" w:firstLineChars="200"/>
        <w:rPr>
          <w:rFonts w:eastAsia="仿宋_GB2312"/>
          <w:color w:val="000000" w:themeColor="text1"/>
        </w:rPr>
      </w:pPr>
      <w:r>
        <w:rPr>
          <w:rFonts w:eastAsia="仿宋_GB2312"/>
          <w:color w:val="000000" w:themeColor="text1"/>
        </w:rPr>
        <w:t>（</w:t>
      </w:r>
      <w:r>
        <w:rPr>
          <w:rFonts w:hint="eastAsia" w:eastAsia="仿宋_GB2312"/>
          <w:color w:val="000000" w:themeColor="text1"/>
        </w:rPr>
        <w:t>6</w:t>
      </w:r>
      <w:r>
        <w:rPr>
          <w:rFonts w:eastAsia="仿宋_GB2312"/>
          <w:color w:val="000000" w:themeColor="text1"/>
        </w:rPr>
        <w:t>）《</w:t>
      </w:r>
      <w:r>
        <w:rPr>
          <w:rFonts w:hint="eastAsia" w:eastAsia="仿宋_GB2312"/>
          <w:color w:val="000000" w:themeColor="text1"/>
        </w:rPr>
        <w:t>农安县</w:t>
      </w:r>
      <w:r>
        <w:rPr>
          <w:rFonts w:hint="eastAsia" w:eastAsia="仿宋_GB2312"/>
          <w:color w:val="000000" w:themeColor="text1"/>
          <w:lang w:eastAsia="zh-CN"/>
        </w:rPr>
        <w:t>农安县东兴实业有限公司蒸压加气泥凝块年产40万立方项目</w:t>
      </w:r>
      <w:r>
        <w:rPr>
          <w:rFonts w:hint="eastAsia" w:eastAsia="仿宋_GB2312"/>
          <w:color w:val="000000" w:themeColor="text1"/>
        </w:rPr>
        <w:t>平面布置图</w:t>
      </w:r>
      <w:r>
        <w:rPr>
          <w:rFonts w:eastAsia="仿宋_GB2312"/>
          <w:color w:val="000000" w:themeColor="text1"/>
        </w:rPr>
        <w:t>》（</w:t>
      </w:r>
      <w:r>
        <w:rPr>
          <w:rFonts w:hint="eastAsia" w:eastAsia="仿宋_GB2312"/>
          <w:color w:val="000000" w:themeColor="text1"/>
        </w:rPr>
        <w:t>中外建华诚工程技术集团有限公司，2022年5月</w:t>
      </w:r>
      <w:r>
        <w:rPr>
          <w:rFonts w:eastAsia="仿宋_GB2312"/>
          <w:color w:val="000000" w:themeColor="text1"/>
        </w:rPr>
        <w:t>）</w:t>
      </w:r>
      <w:r>
        <w:rPr>
          <w:rFonts w:hint="eastAsia" w:eastAsia="仿宋_GB2312"/>
          <w:color w:val="000000" w:themeColor="text1"/>
        </w:rPr>
        <w:t>；</w:t>
      </w:r>
    </w:p>
    <w:p>
      <w:pPr>
        <w:spacing w:line="360" w:lineRule="auto"/>
        <w:ind w:firstLine="480" w:firstLineChars="200"/>
        <w:rPr>
          <w:rFonts w:eastAsia="仿宋_GB2312"/>
          <w:bCs/>
          <w:iCs/>
          <w:color w:val="000000" w:themeColor="text1"/>
        </w:rPr>
      </w:pPr>
      <w:r>
        <w:rPr>
          <w:rFonts w:hint="eastAsia" w:eastAsia="仿宋_GB2312"/>
          <w:color w:val="000000" w:themeColor="text1"/>
        </w:rPr>
        <w:t>（7）《建设用地规划许可证》（农安县自然资源局，2022年8月5日）</w:t>
      </w:r>
      <w:r>
        <w:rPr>
          <w:rFonts w:eastAsia="仿宋_GB2312"/>
          <w:color w:val="000000" w:themeColor="text1"/>
        </w:rPr>
        <w:t>。</w:t>
      </w:r>
    </w:p>
    <w:p>
      <w:pPr>
        <w:pStyle w:val="4"/>
        <w:spacing w:before="0" w:after="0" w:line="360" w:lineRule="auto"/>
        <w:rPr>
          <w:rFonts w:ascii="Times New Roman" w:hAnsi="Times New Roman" w:eastAsia="仿宋_GB2312"/>
          <w:color w:val="000000" w:themeColor="text1"/>
          <w:sz w:val="28"/>
          <w:szCs w:val="28"/>
        </w:rPr>
      </w:pPr>
      <w:bookmarkStart w:id="5" w:name="_Toc32144"/>
      <w:r>
        <w:rPr>
          <w:rFonts w:ascii="Times New Roman" w:hAnsi="Times New Roman" w:eastAsia="仿宋_GB2312"/>
          <w:color w:val="000000" w:themeColor="text1"/>
          <w:sz w:val="28"/>
          <w:szCs w:val="28"/>
        </w:rPr>
        <w:t>1.3设计水平年</w:t>
      </w:r>
      <w:bookmarkEnd w:id="5"/>
    </w:p>
    <w:p>
      <w:pPr>
        <w:pStyle w:val="54"/>
        <w:ind w:firstLine="480"/>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本项目</w:t>
      </w:r>
      <w:r>
        <w:rPr>
          <w:rFonts w:hint="eastAsia" w:ascii="Times New Roman" w:hAnsi="Times New Roman" w:eastAsia="仿宋_GB2312" w:cs="Times New Roman"/>
          <w:color w:val="000000" w:themeColor="text1"/>
          <w:sz w:val="24"/>
          <w:szCs w:val="24"/>
          <w:lang w:val="en-US" w:eastAsia="zh-CN"/>
        </w:rPr>
        <w:t>已于2021年9月开工，计划于2023年8月完工，总工期24个月</w:t>
      </w:r>
      <w:r>
        <w:rPr>
          <w:rFonts w:ascii="Times New Roman" w:hAnsi="Times New Roman" w:eastAsia="仿宋_GB2312" w:cs="Times New Roman"/>
          <w:color w:val="000000" w:themeColor="text1"/>
          <w:sz w:val="24"/>
          <w:szCs w:val="24"/>
        </w:rPr>
        <w:t>。根据工程特点及水土保持工程施工进度安排，确定本项目的水土保持方案设计水平年为主体工程完工后</w:t>
      </w:r>
      <w:r>
        <w:rPr>
          <w:rFonts w:hint="eastAsia" w:ascii="Times New Roman" w:hAnsi="Times New Roman" w:eastAsia="仿宋_GB2312" w:cs="Times New Roman"/>
          <w:color w:val="000000" w:themeColor="text1"/>
          <w:sz w:val="24"/>
          <w:szCs w:val="24"/>
        </w:rPr>
        <w:t>当年</w:t>
      </w:r>
      <w:r>
        <w:rPr>
          <w:rFonts w:ascii="Times New Roman" w:hAnsi="Times New Roman" w:eastAsia="仿宋_GB2312" w:cs="Times New Roman"/>
          <w:color w:val="000000" w:themeColor="text1"/>
          <w:sz w:val="24"/>
          <w:szCs w:val="24"/>
        </w:rPr>
        <w:t>，即20</w:t>
      </w:r>
      <w:r>
        <w:rPr>
          <w:rFonts w:hint="eastAsia" w:ascii="Times New Roman" w:hAnsi="Times New Roman" w:eastAsia="仿宋_GB2312" w:cs="Times New Roman"/>
          <w:color w:val="000000" w:themeColor="text1"/>
          <w:sz w:val="24"/>
          <w:szCs w:val="24"/>
        </w:rPr>
        <w:t>24</w:t>
      </w:r>
      <w:r>
        <w:rPr>
          <w:rFonts w:ascii="Times New Roman" w:hAnsi="Times New Roman" w:eastAsia="仿宋_GB2312" w:cs="Times New Roman"/>
          <w:color w:val="000000" w:themeColor="text1"/>
          <w:sz w:val="24"/>
          <w:szCs w:val="24"/>
        </w:rPr>
        <w:t>年。</w:t>
      </w:r>
    </w:p>
    <w:p>
      <w:pPr>
        <w:pStyle w:val="4"/>
        <w:spacing w:before="0" w:after="0" w:line="360" w:lineRule="auto"/>
        <w:rPr>
          <w:rFonts w:ascii="Times New Roman" w:hAnsi="Times New Roman" w:eastAsia="仿宋_GB2312"/>
          <w:color w:val="000000" w:themeColor="text1"/>
          <w:sz w:val="28"/>
          <w:szCs w:val="28"/>
        </w:rPr>
      </w:pPr>
      <w:bookmarkStart w:id="6" w:name="_Toc31011"/>
      <w:r>
        <w:rPr>
          <w:rFonts w:ascii="Times New Roman" w:hAnsi="Times New Roman" w:eastAsia="仿宋_GB2312"/>
          <w:color w:val="000000" w:themeColor="text1"/>
          <w:sz w:val="28"/>
          <w:szCs w:val="28"/>
        </w:rPr>
        <w:t>1.4水土流失防治责任范围</w:t>
      </w:r>
      <w:bookmarkEnd w:id="6"/>
    </w:p>
    <w:p>
      <w:pPr>
        <w:spacing w:line="360" w:lineRule="auto"/>
        <w:ind w:firstLine="480" w:firstLineChars="200"/>
        <w:jc w:val="both"/>
        <w:rPr>
          <w:rFonts w:eastAsia="仿宋_GB2312"/>
          <w:color w:val="000000" w:themeColor="text1"/>
          <w:szCs w:val="24"/>
        </w:rPr>
      </w:pPr>
      <w:r>
        <w:rPr>
          <w:rFonts w:eastAsia="仿宋_GB2312"/>
          <w:color w:val="000000" w:themeColor="text1"/>
        </w:rPr>
        <w:t>根据主体工程设计文件，经现场勘察，本项目水土流失防治责任范围为项目</w:t>
      </w:r>
      <w:r>
        <w:rPr>
          <w:rFonts w:eastAsia="仿宋_GB2312"/>
          <w:color w:val="000000" w:themeColor="text1"/>
          <w:szCs w:val="24"/>
        </w:rPr>
        <w:t>永久占地</w:t>
      </w:r>
      <w:r>
        <w:rPr>
          <w:rFonts w:eastAsia="仿宋_GB2312"/>
          <w:color w:val="000000" w:themeColor="text1"/>
        </w:rPr>
        <w:t>，水土流失防治责任范围</w:t>
      </w:r>
      <w:r>
        <w:rPr>
          <w:rFonts w:hint="eastAsia" w:eastAsia="仿宋_GB2312"/>
          <w:color w:val="000000" w:themeColor="text1"/>
          <w:lang w:eastAsia="zh-CN"/>
        </w:rPr>
        <w:t>13022</w:t>
      </w:r>
      <w:r>
        <w:rPr>
          <w:rFonts w:eastAsia="仿宋_GB2312"/>
          <w:color w:val="000000" w:themeColor="text1"/>
        </w:rPr>
        <w:t>m</w:t>
      </w:r>
      <w:r>
        <w:rPr>
          <w:rFonts w:eastAsia="仿宋_GB2312"/>
          <w:color w:val="000000" w:themeColor="text1"/>
          <w:vertAlign w:val="superscript"/>
        </w:rPr>
        <w:t>2</w:t>
      </w:r>
      <w:r>
        <w:rPr>
          <w:rFonts w:eastAsia="仿宋_GB2312"/>
          <w:color w:val="000000" w:themeColor="text1"/>
        </w:rPr>
        <w:t>，水土流失防治责任主体为</w:t>
      </w:r>
      <w:r>
        <w:rPr>
          <w:rFonts w:hint="eastAsia" w:eastAsia="仿宋_GB2312"/>
          <w:color w:val="000000" w:themeColor="text1"/>
          <w:lang w:eastAsia="zh-CN"/>
        </w:rPr>
        <w:t>农安县东兴实业有限公司</w:t>
      </w:r>
      <w:r>
        <w:rPr>
          <w:rFonts w:eastAsia="仿宋_GB2312"/>
          <w:color w:val="000000" w:themeColor="text1"/>
          <w:szCs w:val="24"/>
        </w:rPr>
        <w:t>。</w:t>
      </w:r>
    </w:p>
    <w:p>
      <w:pPr>
        <w:pStyle w:val="4"/>
        <w:spacing w:before="0" w:after="0" w:line="360" w:lineRule="auto"/>
        <w:rPr>
          <w:rFonts w:ascii="Times New Roman" w:hAnsi="Times New Roman" w:eastAsia="仿宋_GB2312"/>
          <w:color w:val="000000" w:themeColor="text1"/>
          <w:sz w:val="28"/>
          <w:szCs w:val="28"/>
        </w:rPr>
      </w:pPr>
      <w:bookmarkStart w:id="7" w:name="_Toc9685"/>
      <w:r>
        <w:rPr>
          <w:rFonts w:ascii="Times New Roman" w:hAnsi="Times New Roman" w:eastAsia="仿宋_GB2312"/>
          <w:color w:val="000000" w:themeColor="text1"/>
          <w:sz w:val="28"/>
          <w:szCs w:val="28"/>
        </w:rPr>
        <w:t>1.5水土流失防治目标</w:t>
      </w:r>
      <w:bookmarkEnd w:id="7"/>
    </w:p>
    <w:p>
      <w:pPr>
        <w:spacing w:line="360" w:lineRule="auto"/>
        <w:jc w:val="both"/>
        <w:rPr>
          <w:rFonts w:eastAsia="仿宋_GB2312"/>
          <w:color w:val="000000" w:themeColor="text1"/>
        </w:rPr>
      </w:pPr>
      <w:r>
        <w:rPr>
          <w:rFonts w:eastAsia="仿宋_GB2312"/>
          <w:b/>
          <w:color w:val="000000" w:themeColor="text1"/>
          <w:sz w:val="28"/>
          <w:szCs w:val="28"/>
        </w:rPr>
        <w:t>1.5.1</w:t>
      </w:r>
      <w:r>
        <w:rPr>
          <w:rFonts w:eastAsia="仿宋_GB2312"/>
          <w:b/>
          <w:color w:val="000000" w:themeColor="text1"/>
          <w:szCs w:val="24"/>
        </w:rPr>
        <w:t>执行标准等级</w:t>
      </w:r>
    </w:p>
    <w:p>
      <w:pPr>
        <w:spacing w:line="360" w:lineRule="auto"/>
        <w:ind w:firstLine="480" w:firstLineChars="200"/>
        <w:rPr>
          <w:color w:val="000000" w:themeColor="text1"/>
        </w:rPr>
      </w:pPr>
      <w:r>
        <w:rPr>
          <w:rFonts w:eastAsia="仿宋_GB2312"/>
          <w:color w:val="000000" w:themeColor="text1"/>
          <w:szCs w:val="22"/>
        </w:rPr>
        <w:t>根据《全国水土保持规划（2015—2030年）》、《吉林省水土保持规划(2016—2030年)》，</w:t>
      </w:r>
      <w:r>
        <w:rPr>
          <w:rFonts w:hint="eastAsia" w:eastAsia="仿宋_GB2312"/>
          <w:color w:val="000000" w:themeColor="text1"/>
          <w:szCs w:val="24"/>
        </w:rPr>
        <w:t>本项目不属于国家和省级重点防治区，不涉及水土保持敏感区</w:t>
      </w:r>
      <w:r>
        <w:rPr>
          <w:rFonts w:eastAsia="仿宋_GB2312"/>
          <w:color w:val="000000" w:themeColor="text1"/>
          <w:szCs w:val="22"/>
        </w:rPr>
        <w:t>。根据《生产建设项目水土流失防治标准》（GB/T50434-2018），项目区水土保持区划属东北黑土区，执行东北黑土区水土流失防治一级标准。</w:t>
      </w:r>
    </w:p>
    <w:p>
      <w:pPr>
        <w:spacing w:line="360" w:lineRule="auto"/>
        <w:jc w:val="both"/>
        <w:rPr>
          <w:rFonts w:eastAsia="仿宋_GB2312"/>
          <w:b/>
          <w:color w:val="000000" w:themeColor="text1"/>
          <w:szCs w:val="24"/>
        </w:rPr>
      </w:pPr>
      <w:r>
        <w:rPr>
          <w:rFonts w:eastAsia="仿宋_GB2312"/>
          <w:b/>
          <w:color w:val="000000" w:themeColor="text1"/>
          <w:sz w:val="28"/>
          <w:szCs w:val="28"/>
        </w:rPr>
        <w:t>1.5.2</w:t>
      </w:r>
      <w:r>
        <w:rPr>
          <w:rFonts w:eastAsia="仿宋_GB2312"/>
          <w:b/>
          <w:color w:val="000000" w:themeColor="text1"/>
          <w:szCs w:val="24"/>
        </w:rPr>
        <w:t>防治目标</w:t>
      </w:r>
    </w:p>
    <w:p>
      <w:pPr>
        <w:spacing w:line="360" w:lineRule="auto"/>
        <w:ind w:firstLine="480" w:firstLineChars="200"/>
        <w:jc w:val="both"/>
        <w:rPr>
          <w:rFonts w:eastAsia="仿宋_GB2312"/>
          <w:color w:val="000000" w:themeColor="text1"/>
          <w:szCs w:val="24"/>
        </w:rPr>
      </w:pPr>
      <w:r>
        <w:rPr>
          <w:rFonts w:eastAsia="仿宋_GB2312"/>
          <w:color w:val="000000" w:themeColor="text1"/>
          <w:szCs w:val="24"/>
        </w:rPr>
        <w:t>按照《生产建设项目水土保持技术标准》（GB50433-2018）和《生产建设项目水土流失防治标准》（GB/T50434-2018）规定，本工程水土流失防治应达到下列基本目标：项目建设范围内的新增水土流失应得到有效控制，原有水土流失得到治理；水土保持设施应安全有效；水土资源、林草植被应得到最大限度的保护与恢复。</w:t>
      </w:r>
    </w:p>
    <w:p>
      <w:pPr>
        <w:snapToGrid w:val="0"/>
        <w:spacing w:line="360" w:lineRule="auto"/>
        <w:ind w:firstLine="480" w:firstLineChars="200"/>
        <w:rPr>
          <w:rFonts w:eastAsia="仿宋_GB2312"/>
          <w:color w:val="000000" w:themeColor="text1"/>
        </w:rPr>
      </w:pPr>
      <w:r>
        <w:rPr>
          <w:rFonts w:eastAsia="仿宋_GB2312"/>
          <w:color w:val="000000" w:themeColor="text1"/>
          <w:szCs w:val="24"/>
        </w:rPr>
        <w:t>设计水平年水土流失防治指标为：水土流失治理度达到97%，土壤流失控制比达到1.0，渣土防护率达到98%，林草植被恢复率达到97％，林草覆盖率</w:t>
      </w:r>
      <w:r>
        <w:rPr>
          <w:rFonts w:hint="eastAsia" w:eastAsia="仿宋_GB2312"/>
          <w:color w:val="000000" w:themeColor="text1"/>
          <w:szCs w:val="24"/>
        </w:rPr>
        <w:t>达到</w:t>
      </w:r>
      <w:r>
        <w:rPr>
          <w:rFonts w:hint="eastAsia" w:eastAsia="仿宋_GB2312"/>
          <w:color w:val="000000" w:themeColor="text1"/>
          <w:szCs w:val="24"/>
          <w:lang w:val="en-US" w:eastAsia="zh-CN"/>
        </w:rPr>
        <w:t>26</w:t>
      </w:r>
      <w:r>
        <w:rPr>
          <w:rFonts w:eastAsia="仿宋_GB2312"/>
          <w:color w:val="000000" w:themeColor="text1"/>
          <w:szCs w:val="24"/>
        </w:rPr>
        <w:t>%。</w:t>
      </w:r>
    </w:p>
    <w:p>
      <w:pPr>
        <w:pStyle w:val="4"/>
        <w:spacing w:before="0" w:after="0" w:line="360" w:lineRule="auto"/>
        <w:rPr>
          <w:rFonts w:ascii="Times New Roman" w:hAnsi="Times New Roman" w:eastAsia="仿宋_GB2312"/>
          <w:color w:val="000000" w:themeColor="text1"/>
          <w:sz w:val="28"/>
          <w:szCs w:val="28"/>
        </w:rPr>
      </w:pPr>
      <w:bookmarkStart w:id="8" w:name="_Toc19691"/>
      <w:r>
        <w:rPr>
          <w:rFonts w:ascii="Times New Roman" w:hAnsi="Times New Roman" w:eastAsia="仿宋_GB2312"/>
          <w:color w:val="000000" w:themeColor="text1"/>
          <w:sz w:val="28"/>
          <w:szCs w:val="28"/>
        </w:rPr>
        <w:t>1.6项目水土保持评价结论</w:t>
      </w:r>
      <w:bookmarkEnd w:id="8"/>
    </w:p>
    <w:p>
      <w:pPr>
        <w:spacing w:line="360" w:lineRule="auto"/>
        <w:jc w:val="both"/>
        <w:rPr>
          <w:rFonts w:eastAsia="仿宋_GB2312"/>
          <w:color w:val="000000" w:themeColor="text1"/>
        </w:rPr>
      </w:pPr>
      <w:r>
        <w:rPr>
          <w:rFonts w:eastAsia="仿宋_GB2312"/>
          <w:b/>
          <w:color w:val="000000" w:themeColor="text1"/>
          <w:sz w:val="28"/>
          <w:szCs w:val="28"/>
        </w:rPr>
        <w:t>1.6.1</w:t>
      </w:r>
      <w:r>
        <w:rPr>
          <w:rFonts w:eastAsia="仿宋_GB2312"/>
          <w:b/>
          <w:color w:val="000000" w:themeColor="text1"/>
          <w:szCs w:val="24"/>
        </w:rPr>
        <w:t>主体工程选址评价</w:t>
      </w:r>
    </w:p>
    <w:p>
      <w:pPr>
        <w:spacing w:line="360" w:lineRule="auto"/>
        <w:ind w:firstLine="480" w:firstLineChars="200"/>
        <w:rPr>
          <w:rFonts w:eastAsia="仿宋_GB2312"/>
          <w:b/>
          <w:color w:val="000000" w:themeColor="text1"/>
          <w:szCs w:val="24"/>
        </w:rPr>
      </w:pPr>
      <w:r>
        <w:rPr>
          <w:rFonts w:eastAsia="仿宋_GB2312"/>
          <w:color w:val="000000" w:themeColor="text1"/>
        </w:rPr>
        <w:t>本项目不属于国家级、省级水土流失重点预防区和重点治理区；不涉及和影响饮水安全、防洪安全、水资源安全；不属于重要基础设施建设、重要民生工程、国防工程等项目。项目区不属于水土流失严重、生态脆弱的地区。主体工程选址不位于全国监测网络中的水土保持监测站点、重点试验区及国家确定的水土保持长期定位观测站，不位于河流两岸、湖泊和水库周边的植物保护带。本项目</w:t>
      </w:r>
      <w:r>
        <w:rPr>
          <w:rFonts w:hint="eastAsia" w:eastAsia="仿宋_GB2312"/>
          <w:color w:val="000000" w:themeColor="text1"/>
        </w:rPr>
        <w:t>不需</w:t>
      </w:r>
      <w:r>
        <w:rPr>
          <w:rFonts w:eastAsia="仿宋_GB2312"/>
          <w:color w:val="000000" w:themeColor="text1"/>
        </w:rPr>
        <w:t>设置弃土场和取土场。</w:t>
      </w:r>
      <w:r>
        <w:rPr>
          <w:rFonts w:eastAsia="仿宋_GB2312"/>
          <w:color w:val="000000" w:themeColor="text1"/>
          <w:szCs w:val="24"/>
        </w:rPr>
        <w:t>基本满足《中华人民共和国水土保持法》、《生产建设项目水土保持技术标准》（GB50433-2018）及规范性文件对主体工程选址水土保持约束性规定的要求，从水土保持角度分析，主体工程选址方案可行。</w:t>
      </w:r>
    </w:p>
    <w:p>
      <w:pPr>
        <w:spacing w:line="360" w:lineRule="auto"/>
        <w:jc w:val="both"/>
        <w:rPr>
          <w:rFonts w:eastAsia="仿宋_GB2312"/>
          <w:color w:val="000000" w:themeColor="text1"/>
        </w:rPr>
      </w:pPr>
      <w:r>
        <w:rPr>
          <w:rFonts w:eastAsia="仿宋_GB2312"/>
          <w:b/>
          <w:color w:val="000000" w:themeColor="text1"/>
          <w:sz w:val="28"/>
          <w:szCs w:val="28"/>
        </w:rPr>
        <w:t>1.6.2</w:t>
      </w:r>
      <w:r>
        <w:rPr>
          <w:rFonts w:eastAsia="仿宋_GB2312"/>
          <w:b/>
          <w:color w:val="000000" w:themeColor="text1"/>
          <w:szCs w:val="24"/>
        </w:rPr>
        <w:t>建设方案与布局评价</w:t>
      </w:r>
    </w:p>
    <w:p>
      <w:pPr>
        <w:autoSpaceDE w:val="0"/>
        <w:autoSpaceDN w:val="0"/>
        <w:spacing w:line="360" w:lineRule="auto"/>
        <w:ind w:firstLine="480" w:firstLineChars="200"/>
        <w:rPr>
          <w:rFonts w:eastAsia="仿宋_GB2312"/>
          <w:color w:val="000000" w:themeColor="text1"/>
          <w:szCs w:val="24"/>
        </w:rPr>
      </w:pPr>
      <w:r>
        <w:rPr>
          <w:rFonts w:eastAsia="仿宋_GB2312"/>
          <w:color w:val="000000" w:themeColor="text1"/>
          <w:szCs w:val="24"/>
        </w:rPr>
        <w:t>本项目总平面布局合理紧凑，施工生产生活区及临时堆土场布置在工程建设区内，绿化系数</w:t>
      </w:r>
      <w:r>
        <w:rPr>
          <w:rFonts w:hint="eastAsia" w:eastAsia="仿宋_GB2312"/>
          <w:color w:val="000000" w:themeColor="text1"/>
          <w:szCs w:val="24"/>
        </w:rPr>
        <w:t>符合项目规划</w:t>
      </w:r>
      <w:r>
        <w:rPr>
          <w:rFonts w:eastAsia="仿宋_GB2312"/>
          <w:color w:val="000000" w:themeColor="text1"/>
          <w:szCs w:val="24"/>
        </w:rPr>
        <w:t>；竖向布置采取平坡式布置方式，排水设施全部采用管线方式，减少了开挖面；建构筑物采用钢筋混凝土桩基础框架结构和钢结构。施工道路利用既有乡道，工程建设方案总体布局在充分利用现有条件的前提下，尽量满足工程布局合理、交通运输方便、节约国土资源、减少土石方量的要求，本项目位于</w:t>
      </w:r>
      <w:r>
        <w:rPr>
          <w:rFonts w:hint="eastAsia" w:eastAsia="仿宋_GB2312"/>
          <w:color w:val="000000" w:themeColor="text1"/>
          <w:szCs w:val="24"/>
        </w:rPr>
        <w:t>城市</w:t>
      </w:r>
      <w:r>
        <w:rPr>
          <w:rFonts w:eastAsia="仿宋_GB2312"/>
          <w:color w:val="000000" w:themeColor="text1"/>
          <w:szCs w:val="24"/>
        </w:rPr>
        <w:t>区域内，主体工程绿化采用园林式绿化工程设计标准，植被恢复工程设计标准采用1级标准。雨水管线工程按照《室外排水设计规范（2016年版）》（GB 50014—2006）要求设计重现期以2年进行设计，</w:t>
      </w:r>
      <w:r>
        <w:rPr>
          <w:rFonts w:eastAsia="仿宋_GB2312"/>
          <w:color w:val="000000" w:themeColor="text1"/>
          <w:szCs w:val="22"/>
        </w:rPr>
        <w:t>降雨历时为15分钟。</w:t>
      </w:r>
      <w:r>
        <w:rPr>
          <w:rFonts w:eastAsia="仿宋_GB2312"/>
          <w:color w:val="000000" w:themeColor="text1"/>
          <w:szCs w:val="24"/>
        </w:rPr>
        <w:t>本项目建设方案符合相关规定的要求，主体工程建设方案可行。</w:t>
      </w:r>
    </w:p>
    <w:p>
      <w:pPr>
        <w:autoSpaceDE w:val="0"/>
        <w:autoSpaceDN w:val="0"/>
        <w:spacing w:line="360" w:lineRule="auto"/>
        <w:ind w:firstLine="480" w:firstLineChars="200"/>
        <w:rPr>
          <w:rFonts w:eastAsia="仿宋_GB2312"/>
          <w:color w:val="000000" w:themeColor="text1"/>
          <w:spacing w:val="5"/>
          <w:highlight w:val="cyan"/>
        </w:rPr>
      </w:pPr>
      <w:r>
        <w:rPr>
          <w:rFonts w:eastAsia="仿宋_GB2312"/>
          <w:color w:val="000000" w:themeColor="text1"/>
          <w:szCs w:val="24"/>
        </w:rPr>
        <w:t>本项目占地类型为</w:t>
      </w:r>
      <w:r>
        <w:rPr>
          <w:rFonts w:hint="eastAsia" w:eastAsia="仿宋_GB2312"/>
          <w:color w:val="000000" w:themeColor="text1"/>
          <w:szCs w:val="24"/>
          <w:lang w:val="en-US" w:eastAsia="zh-CN"/>
        </w:rPr>
        <w:t>工业</w:t>
      </w:r>
      <w:r>
        <w:rPr>
          <w:rFonts w:hint="eastAsia" w:eastAsia="仿宋_GB2312"/>
          <w:color w:val="000000" w:themeColor="text1"/>
          <w:szCs w:val="24"/>
        </w:rPr>
        <w:t>用地</w:t>
      </w:r>
      <w:r>
        <w:rPr>
          <w:rFonts w:eastAsia="仿宋_GB2312"/>
          <w:color w:val="000000" w:themeColor="text1"/>
          <w:szCs w:val="24"/>
        </w:rPr>
        <w:t>，不占用耕地、林地等农林用地，对当地土地生产力不造成影响，工程占地符合节约用地和减少扰动的要求。</w:t>
      </w:r>
      <w:r>
        <w:rPr>
          <w:rFonts w:eastAsia="仿宋_GB2312"/>
          <w:color w:val="000000" w:themeColor="text1"/>
          <w:highlight w:val="none"/>
        </w:rPr>
        <w:t>施工生产生活区位于项目区内</w:t>
      </w:r>
      <w:r>
        <w:rPr>
          <w:rFonts w:hint="eastAsia" w:eastAsia="仿宋_GB2312"/>
          <w:color w:val="000000" w:themeColor="text1"/>
          <w:highlight w:val="none"/>
          <w:lang w:val="en-US" w:eastAsia="zh-CN"/>
        </w:rPr>
        <w:t>北</w:t>
      </w:r>
      <w:r>
        <w:rPr>
          <w:rFonts w:hint="eastAsia" w:eastAsia="仿宋_GB2312"/>
          <w:color w:val="000000" w:themeColor="text1"/>
          <w:highlight w:val="none"/>
        </w:rPr>
        <w:t>侧</w:t>
      </w:r>
      <w:r>
        <w:rPr>
          <w:rFonts w:eastAsia="仿宋_GB2312"/>
          <w:color w:val="000000" w:themeColor="text1"/>
          <w:highlight w:val="none"/>
        </w:rPr>
        <w:t>，临时堆放场位于项目区内</w:t>
      </w:r>
      <w:r>
        <w:rPr>
          <w:rFonts w:hint="eastAsia" w:eastAsia="仿宋_GB2312"/>
          <w:color w:val="000000" w:themeColor="text1"/>
          <w:highlight w:val="none"/>
        </w:rPr>
        <w:t>东</w:t>
      </w:r>
      <w:r>
        <w:rPr>
          <w:rFonts w:hint="eastAsia" w:eastAsia="仿宋_GB2312"/>
          <w:color w:val="000000" w:themeColor="text1"/>
          <w:highlight w:val="none"/>
          <w:lang w:val="en-US" w:eastAsia="zh-CN"/>
        </w:rPr>
        <w:t>北</w:t>
      </w:r>
      <w:r>
        <w:rPr>
          <w:rFonts w:hint="eastAsia" w:eastAsia="仿宋_GB2312"/>
          <w:color w:val="000000" w:themeColor="text1"/>
          <w:highlight w:val="none"/>
        </w:rPr>
        <w:t>侧</w:t>
      </w:r>
      <w:r>
        <w:rPr>
          <w:rFonts w:eastAsia="仿宋_GB2312"/>
          <w:color w:val="000000" w:themeColor="text1"/>
          <w:highlight w:val="none"/>
        </w:rPr>
        <w:t>，施工占地满足施工要求</w:t>
      </w:r>
      <w:r>
        <w:rPr>
          <w:rFonts w:eastAsia="仿宋_GB2312"/>
          <w:color w:val="000000" w:themeColor="text1"/>
          <w:szCs w:val="24"/>
          <w:highlight w:val="none"/>
        </w:rPr>
        <w:t>。</w:t>
      </w:r>
    </w:p>
    <w:p>
      <w:pPr>
        <w:autoSpaceDE w:val="0"/>
        <w:autoSpaceDN w:val="0"/>
        <w:spacing w:line="360" w:lineRule="auto"/>
        <w:ind w:firstLine="500" w:firstLineChars="200"/>
        <w:rPr>
          <w:rFonts w:eastAsia="仿宋_GB2312"/>
          <w:color w:val="000000" w:themeColor="text1"/>
          <w:spacing w:val="5"/>
        </w:rPr>
      </w:pPr>
      <w:r>
        <w:rPr>
          <w:rFonts w:eastAsia="仿宋_GB2312"/>
          <w:color w:val="000000" w:themeColor="text1"/>
          <w:spacing w:val="5"/>
        </w:rPr>
        <w:t>本项目土石方量来源及去向明确，土石方挖填数量符合最优化原则，土石方调运符合节点适宜、时序可行、运距合理原则。主体工程土石方调配遵循“移挖作填”的原则，通过内部调运，充分利用土石方。</w:t>
      </w:r>
    </w:p>
    <w:p>
      <w:pPr>
        <w:autoSpaceDE w:val="0"/>
        <w:autoSpaceDN w:val="0"/>
        <w:spacing w:line="360" w:lineRule="auto"/>
        <w:ind w:firstLine="500" w:firstLineChars="200"/>
        <w:rPr>
          <w:rFonts w:eastAsia="仿宋_GB2312"/>
          <w:color w:val="000000" w:themeColor="text1"/>
          <w:spacing w:val="5"/>
        </w:rPr>
      </w:pPr>
      <w:r>
        <w:rPr>
          <w:rFonts w:eastAsia="仿宋_GB2312"/>
          <w:color w:val="000000" w:themeColor="text1"/>
          <w:spacing w:val="5"/>
        </w:rPr>
        <w:t>本项目建设过程中会造成大面积的地表扰动，产生新增水土流失。但是本工程施工时序及施工工艺较为合理，有利于水土保持工作的顺利开展，在加强施工管理，采取相应水土保持措施的前提下，可以最大限度的控制水土流失。</w:t>
      </w:r>
    </w:p>
    <w:p>
      <w:pPr>
        <w:spacing w:line="360" w:lineRule="auto"/>
        <w:ind w:firstLine="480" w:firstLineChars="200"/>
        <w:rPr>
          <w:rFonts w:eastAsia="仿宋_GB2312"/>
          <w:color w:val="000000" w:themeColor="text1"/>
          <w:szCs w:val="24"/>
        </w:rPr>
      </w:pPr>
      <w:r>
        <w:rPr>
          <w:rFonts w:eastAsia="仿宋_GB2312"/>
          <w:color w:val="000000" w:themeColor="text1"/>
          <w:szCs w:val="24"/>
        </w:rPr>
        <w:t>主体工程设计的</w:t>
      </w:r>
      <w:r>
        <w:rPr>
          <w:rFonts w:hint="eastAsia" w:eastAsia="仿宋_GB2312"/>
          <w:color w:val="000000" w:themeColor="text1"/>
          <w:szCs w:val="24"/>
        </w:rPr>
        <w:t>绿化用土</w:t>
      </w:r>
      <w:r>
        <w:rPr>
          <w:rFonts w:eastAsia="仿宋_GB2312"/>
          <w:color w:val="000000" w:themeColor="text1"/>
          <w:szCs w:val="24"/>
        </w:rPr>
        <w:t>回覆、雨水排水管线及雨水口、景观绿化、临时堆土防护具有防治水土流失的功能，本方案将主体工程设计的绿化用土回覆、雨水排水管线及雨水口、景观绿化、临时堆土防护界定为水土保持措施并计列投资。但主体设计中缺少全面整地措施，本方案予以补充</w:t>
      </w:r>
      <w:r>
        <w:rPr>
          <w:rFonts w:eastAsia="仿宋_GB2312"/>
          <w:color w:val="000000" w:themeColor="text1"/>
          <w:spacing w:val="5"/>
        </w:rPr>
        <w:t>，以形成完善的水土流失防治体系</w:t>
      </w:r>
      <w:r>
        <w:rPr>
          <w:rFonts w:eastAsia="仿宋_GB2312"/>
          <w:color w:val="000000" w:themeColor="text1"/>
          <w:szCs w:val="24"/>
        </w:rPr>
        <w:t>。</w:t>
      </w:r>
    </w:p>
    <w:p>
      <w:pPr>
        <w:pStyle w:val="4"/>
        <w:spacing w:before="0" w:after="0" w:line="360" w:lineRule="auto"/>
        <w:rPr>
          <w:rFonts w:ascii="Times New Roman" w:hAnsi="Times New Roman" w:eastAsia="仿宋_GB2312"/>
          <w:color w:val="000000" w:themeColor="text1"/>
        </w:rPr>
      </w:pPr>
      <w:bookmarkStart w:id="9" w:name="_Toc28120"/>
      <w:r>
        <w:rPr>
          <w:rFonts w:ascii="Times New Roman" w:hAnsi="Times New Roman" w:eastAsia="仿宋_GB2312"/>
          <w:color w:val="000000" w:themeColor="text1"/>
          <w:sz w:val="28"/>
          <w:szCs w:val="28"/>
        </w:rPr>
        <w:t>1.7水土流失预测结果</w:t>
      </w:r>
      <w:bookmarkEnd w:id="9"/>
    </w:p>
    <w:p>
      <w:pPr>
        <w:spacing w:line="360" w:lineRule="auto"/>
        <w:ind w:firstLine="480" w:firstLineChars="200"/>
        <w:jc w:val="both"/>
        <w:rPr>
          <w:rFonts w:eastAsia="仿宋_GB2312"/>
          <w:color w:val="000000" w:themeColor="text1"/>
          <w:highlight w:val="cyan"/>
        </w:rPr>
      </w:pPr>
      <w:r>
        <w:rPr>
          <w:rFonts w:eastAsia="仿宋_GB2312"/>
          <w:color w:val="000000" w:themeColor="text1"/>
          <w:szCs w:val="24"/>
        </w:rPr>
        <w:t>本项目预测施工过程可能产生土壤流失总量</w:t>
      </w:r>
      <w:r>
        <w:rPr>
          <w:rFonts w:hint="eastAsia" w:eastAsia="仿宋_GB2312"/>
          <w:color w:val="000000" w:themeColor="text1"/>
          <w:szCs w:val="24"/>
          <w:highlight w:val="none"/>
          <w:lang w:eastAsia="zh-CN"/>
        </w:rPr>
        <w:t>84.54</w:t>
      </w:r>
      <w:r>
        <w:rPr>
          <w:rFonts w:eastAsia="仿宋_GB2312"/>
          <w:color w:val="000000" w:themeColor="text1"/>
          <w:szCs w:val="24"/>
          <w:highlight w:val="none"/>
        </w:rPr>
        <w:t>t，新增土壤流失量</w:t>
      </w:r>
      <w:r>
        <w:rPr>
          <w:rFonts w:hint="eastAsia" w:eastAsia="仿宋_GB2312"/>
          <w:color w:val="000000" w:themeColor="text1"/>
          <w:szCs w:val="24"/>
          <w:highlight w:val="none"/>
          <w:lang w:eastAsia="zh-CN"/>
        </w:rPr>
        <w:t>75.58</w:t>
      </w:r>
      <w:r>
        <w:rPr>
          <w:rFonts w:eastAsia="仿宋_GB2312"/>
          <w:color w:val="000000" w:themeColor="text1"/>
          <w:szCs w:val="24"/>
          <w:highlight w:val="none"/>
        </w:rPr>
        <w:t>t</w:t>
      </w:r>
      <w:r>
        <w:rPr>
          <w:rFonts w:eastAsia="仿宋_GB2312"/>
          <w:color w:val="000000" w:themeColor="text1"/>
          <w:szCs w:val="24"/>
        </w:rPr>
        <w:t>。本项目水土流失重点部位为</w:t>
      </w:r>
      <w:r>
        <w:rPr>
          <w:rFonts w:hint="eastAsia" w:eastAsia="仿宋_GB2312"/>
          <w:color w:val="000000" w:themeColor="text1"/>
          <w:szCs w:val="24"/>
          <w:highlight w:val="none"/>
          <w:lang w:val="en-US" w:eastAsia="zh-CN"/>
        </w:rPr>
        <w:t>建筑物区域</w:t>
      </w:r>
      <w:r>
        <w:rPr>
          <w:rFonts w:eastAsia="仿宋_GB2312"/>
          <w:color w:val="000000" w:themeColor="text1"/>
          <w:szCs w:val="24"/>
        </w:rPr>
        <w:t>，重点时段为施工期。本项目建设产生的水土流失主要危害：地表挖损改变地貌，造成地表裸露，施工机械、人员交通碾压，造成水土流失。</w:t>
      </w:r>
    </w:p>
    <w:p>
      <w:pPr>
        <w:pStyle w:val="4"/>
        <w:spacing w:before="0" w:after="0" w:line="360" w:lineRule="auto"/>
        <w:rPr>
          <w:rFonts w:ascii="Times New Roman" w:hAnsi="Times New Roman" w:eastAsia="仿宋_GB2312"/>
          <w:color w:val="000000" w:themeColor="text1"/>
          <w:sz w:val="28"/>
          <w:szCs w:val="28"/>
        </w:rPr>
      </w:pPr>
      <w:bookmarkStart w:id="10" w:name="_Toc12154"/>
      <w:r>
        <w:rPr>
          <w:rFonts w:ascii="Times New Roman" w:hAnsi="Times New Roman" w:eastAsia="仿宋_GB2312"/>
          <w:color w:val="000000" w:themeColor="text1"/>
          <w:sz w:val="28"/>
          <w:szCs w:val="28"/>
        </w:rPr>
        <w:t>1.8水土保持措施布设成果</w:t>
      </w:r>
      <w:bookmarkEnd w:id="10"/>
    </w:p>
    <w:p>
      <w:pPr>
        <w:spacing w:line="360" w:lineRule="auto"/>
        <w:rPr>
          <w:rFonts w:eastAsia="仿宋_GB2312"/>
          <w:color w:val="000000" w:themeColor="text1"/>
        </w:rPr>
      </w:pPr>
      <w:r>
        <w:rPr>
          <w:rFonts w:eastAsia="仿宋_GB2312"/>
          <w:b/>
          <w:color w:val="000000" w:themeColor="text1"/>
          <w:sz w:val="28"/>
          <w:szCs w:val="28"/>
        </w:rPr>
        <w:t>1.8.1</w:t>
      </w:r>
      <w:r>
        <w:rPr>
          <w:rFonts w:eastAsia="仿宋_GB2312"/>
          <w:b/>
          <w:color w:val="000000" w:themeColor="text1"/>
          <w:szCs w:val="24"/>
        </w:rPr>
        <w:t>防治区措施布设情况</w:t>
      </w:r>
    </w:p>
    <w:p>
      <w:pPr>
        <w:snapToGrid w:val="0"/>
        <w:spacing w:line="360" w:lineRule="auto"/>
        <w:ind w:firstLine="480" w:firstLineChars="200"/>
        <w:rPr>
          <w:rFonts w:eastAsia="仿宋_GB2312"/>
          <w:color w:val="000000" w:themeColor="text1"/>
        </w:rPr>
      </w:pPr>
      <w:r>
        <w:rPr>
          <w:rFonts w:eastAsia="仿宋_GB2312"/>
          <w:color w:val="000000" w:themeColor="text1"/>
        </w:rPr>
        <w:t>本项目水土流失防治分区分为工程建设区1个防治分区，防治措施布设如下：</w:t>
      </w:r>
    </w:p>
    <w:p>
      <w:pPr>
        <w:snapToGrid w:val="0"/>
        <w:spacing w:line="360" w:lineRule="auto"/>
        <w:ind w:firstLine="480" w:firstLineChars="200"/>
        <w:rPr>
          <w:rFonts w:eastAsia="仿宋_GB2312"/>
          <w:b/>
          <w:color w:val="000000" w:themeColor="text1"/>
          <w:szCs w:val="24"/>
        </w:rPr>
      </w:pPr>
      <w:r>
        <w:rPr>
          <w:rFonts w:eastAsia="仿宋_GB2312"/>
          <w:color w:val="000000" w:themeColor="text1"/>
          <w:szCs w:val="24"/>
        </w:rPr>
        <w:t>施工过程中对临时堆土进行临时防护；主体工程施工结束后对绿化区域进行绿化用土回覆、全面整地后采取景观绿化。</w:t>
      </w:r>
    </w:p>
    <w:p>
      <w:pPr>
        <w:spacing w:line="360" w:lineRule="auto"/>
        <w:jc w:val="both"/>
        <w:rPr>
          <w:rFonts w:eastAsia="仿宋_GB2312"/>
          <w:b/>
          <w:color w:val="000000" w:themeColor="text1"/>
          <w:szCs w:val="24"/>
        </w:rPr>
      </w:pPr>
      <w:r>
        <w:rPr>
          <w:rFonts w:eastAsia="仿宋_GB2312"/>
          <w:b/>
          <w:color w:val="000000" w:themeColor="text1"/>
          <w:sz w:val="28"/>
          <w:szCs w:val="28"/>
        </w:rPr>
        <w:t>1.8.2</w:t>
      </w:r>
      <w:r>
        <w:rPr>
          <w:rFonts w:eastAsia="仿宋_GB2312"/>
          <w:b/>
          <w:color w:val="000000" w:themeColor="text1"/>
          <w:szCs w:val="24"/>
        </w:rPr>
        <w:t>水土保持措施主要工程量</w:t>
      </w:r>
    </w:p>
    <w:p>
      <w:pPr>
        <w:spacing w:line="360" w:lineRule="auto"/>
        <w:ind w:firstLine="480" w:firstLineChars="200"/>
        <w:rPr>
          <w:rFonts w:eastAsia="仿宋_GB2312"/>
          <w:color w:val="000000" w:themeColor="text1"/>
          <w:szCs w:val="24"/>
          <w:highlight w:val="none"/>
        </w:rPr>
      </w:pPr>
      <w:r>
        <w:rPr>
          <w:rFonts w:eastAsia="仿宋_GB2312"/>
          <w:color w:val="000000" w:themeColor="text1"/>
          <w:szCs w:val="24"/>
          <w:highlight w:val="none"/>
        </w:rPr>
        <w:t>工程建设区</w:t>
      </w:r>
    </w:p>
    <w:p>
      <w:pPr>
        <w:spacing w:line="360" w:lineRule="auto"/>
        <w:ind w:firstLine="480" w:firstLineChars="200"/>
        <w:rPr>
          <w:rFonts w:eastAsia="仿宋_GB2312"/>
          <w:color w:val="000000" w:themeColor="text1"/>
          <w:szCs w:val="24"/>
          <w:highlight w:val="none"/>
        </w:rPr>
      </w:pPr>
      <w:r>
        <w:rPr>
          <w:rFonts w:eastAsia="仿宋_GB2312"/>
          <w:color w:val="000000" w:themeColor="text1"/>
          <w:szCs w:val="24"/>
          <w:highlight w:val="none"/>
        </w:rPr>
        <w:t>工程措施：绿化用土回覆</w:t>
      </w:r>
      <w:r>
        <w:rPr>
          <w:rFonts w:hint="eastAsia" w:eastAsia="仿宋_GB2312"/>
          <w:color w:val="000000" w:themeColor="text1"/>
          <w:szCs w:val="24"/>
          <w:highlight w:val="none"/>
        </w:rPr>
        <w:t>0.</w:t>
      </w:r>
      <w:r>
        <w:rPr>
          <w:rFonts w:hint="eastAsia" w:eastAsia="仿宋_GB2312"/>
          <w:color w:val="000000" w:themeColor="text1"/>
          <w:szCs w:val="24"/>
          <w:highlight w:val="none"/>
          <w:lang w:val="en-US" w:eastAsia="zh-CN"/>
        </w:rPr>
        <w:t>04</w:t>
      </w:r>
      <w:r>
        <w:rPr>
          <w:rFonts w:eastAsia="仿宋_GB2312"/>
          <w:color w:val="000000" w:themeColor="text1"/>
          <w:szCs w:val="24"/>
          <w:highlight w:val="none"/>
        </w:rPr>
        <w:t>万m</w:t>
      </w:r>
      <w:r>
        <w:rPr>
          <w:rFonts w:eastAsia="仿宋_GB2312"/>
          <w:color w:val="000000" w:themeColor="text1"/>
          <w:szCs w:val="24"/>
          <w:highlight w:val="none"/>
          <w:vertAlign w:val="superscript"/>
        </w:rPr>
        <w:t>3</w:t>
      </w:r>
      <w:r>
        <w:rPr>
          <w:rFonts w:eastAsia="仿宋_GB2312"/>
          <w:color w:val="000000" w:themeColor="text1"/>
          <w:szCs w:val="24"/>
          <w:highlight w:val="none"/>
        </w:rPr>
        <w:t>（计划于202</w:t>
      </w:r>
      <w:r>
        <w:rPr>
          <w:rFonts w:hint="eastAsia" w:eastAsia="仿宋_GB2312"/>
          <w:color w:val="000000" w:themeColor="text1"/>
          <w:szCs w:val="24"/>
          <w:highlight w:val="none"/>
        </w:rPr>
        <w:t>3</w:t>
      </w:r>
      <w:r>
        <w:rPr>
          <w:rFonts w:eastAsia="仿宋_GB2312"/>
          <w:color w:val="000000" w:themeColor="text1"/>
          <w:szCs w:val="24"/>
          <w:highlight w:val="none"/>
        </w:rPr>
        <w:t>年</w:t>
      </w:r>
      <w:r>
        <w:rPr>
          <w:rFonts w:hint="eastAsia" w:eastAsia="仿宋_GB2312"/>
          <w:color w:val="000000" w:themeColor="text1"/>
          <w:szCs w:val="24"/>
          <w:highlight w:val="none"/>
          <w:lang w:val="en-US" w:eastAsia="zh-CN"/>
        </w:rPr>
        <w:t>7</w:t>
      </w:r>
      <w:r>
        <w:rPr>
          <w:rFonts w:eastAsia="仿宋_GB2312"/>
          <w:color w:val="000000" w:themeColor="text1"/>
          <w:szCs w:val="24"/>
          <w:highlight w:val="none"/>
        </w:rPr>
        <w:t>月施工），全面整地0.</w:t>
      </w:r>
      <w:r>
        <w:rPr>
          <w:rFonts w:hint="eastAsia" w:eastAsia="仿宋_GB2312"/>
          <w:color w:val="000000" w:themeColor="text1"/>
          <w:szCs w:val="24"/>
          <w:highlight w:val="none"/>
          <w:lang w:val="en-US" w:eastAsia="zh-CN"/>
        </w:rPr>
        <w:t>13</w:t>
      </w:r>
      <w:r>
        <w:rPr>
          <w:rFonts w:eastAsia="仿宋_GB2312"/>
          <w:color w:val="000000" w:themeColor="text1"/>
          <w:szCs w:val="24"/>
          <w:highlight w:val="none"/>
        </w:rPr>
        <w:t>hm</w:t>
      </w:r>
      <w:r>
        <w:rPr>
          <w:rFonts w:eastAsia="仿宋_GB2312"/>
          <w:color w:val="000000" w:themeColor="text1"/>
          <w:szCs w:val="24"/>
          <w:highlight w:val="none"/>
          <w:vertAlign w:val="superscript"/>
        </w:rPr>
        <w:t>2</w:t>
      </w:r>
      <w:r>
        <w:rPr>
          <w:rFonts w:eastAsia="仿宋_GB2312"/>
          <w:color w:val="000000" w:themeColor="text1"/>
          <w:szCs w:val="24"/>
          <w:highlight w:val="none"/>
        </w:rPr>
        <w:t>（计划于202</w:t>
      </w:r>
      <w:r>
        <w:rPr>
          <w:rFonts w:hint="eastAsia" w:eastAsia="仿宋_GB2312"/>
          <w:color w:val="000000" w:themeColor="text1"/>
          <w:szCs w:val="24"/>
          <w:highlight w:val="none"/>
        </w:rPr>
        <w:t>3</w:t>
      </w:r>
      <w:r>
        <w:rPr>
          <w:rFonts w:eastAsia="仿宋_GB2312"/>
          <w:color w:val="000000" w:themeColor="text1"/>
          <w:szCs w:val="24"/>
          <w:highlight w:val="none"/>
        </w:rPr>
        <w:t>年</w:t>
      </w:r>
      <w:r>
        <w:rPr>
          <w:rFonts w:hint="eastAsia" w:eastAsia="仿宋_GB2312"/>
          <w:color w:val="000000" w:themeColor="text1"/>
          <w:szCs w:val="24"/>
          <w:highlight w:val="none"/>
          <w:lang w:val="en-US" w:eastAsia="zh-CN"/>
        </w:rPr>
        <w:t>7</w:t>
      </w:r>
      <w:r>
        <w:rPr>
          <w:rFonts w:eastAsia="仿宋_GB2312"/>
          <w:color w:val="000000" w:themeColor="text1"/>
          <w:szCs w:val="24"/>
          <w:highlight w:val="none"/>
        </w:rPr>
        <w:t>月施工）</w:t>
      </w:r>
      <w:r>
        <w:rPr>
          <w:rFonts w:hint="eastAsia" w:eastAsia="仿宋_GB2312"/>
          <w:color w:val="000000" w:themeColor="text1"/>
          <w:szCs w:val="24"/>
          <w:highlight w:val="none"/>
        </w:rPr>
        <w:t>，雨水排水管线4</w:t>
      </w:r>
      <w:r>
        <w:rPr>
          <w:rFonts w:hint="eastAsia" w:eastAsia="仿宋_GB2312"/>
          <w:color w:val="000000" w:themeColor="text1"/>
          <w:szCs w:val="24"/>
          <w:highlight w:val="none"/>
          <w:lang w:val="en-US" w:eastAsia="zh-CN"/>
        </w:rPr>
        <w:t>11</w:t>
      </w:r>
      <w:r>
        <w:rPr>
          <w:rFonts w:hint="eastAsia" w:eastAsia="仿宋_GB2312"/>
          <w:color w:val="000000" w:themeColor="text1"/>
          <w:szCs w:val="24"/>
          <w:highlight w:val="none"/>
        </w:rPr>
        <w:t>m（</w:t>
      </w:r>
      <w:r>
        <w:rPr>
          <w:rFonts w:hint="eastAsia" w:eastAsia="仿宋_GB2312"/>
          <w:color w:val="000000" w:themeColor="text1"/>
          <w:szCs w:val="24"/>
          <w:highlight w:val="none"/>
          <w:lang w:val="en-US" w:eastAsia="zh-CN"/>
        </w:rPr>
        <w:t>已</w:t>
      </w:r>
      <w:r>
        <w:rPr>
          <w:rFonts w:eastAsia="仿宋_GB2312"/>
          <w:color w:val="000000" w:themeColor="text1"/>
          <w:szCs w:val="24"/>
          <w:highlight w:val="none"/>
        </w:rPr>
        <w:t>于202</w:t>
      </w:r>
      <w:r>
        <w:rPr>
          <w:rFonts w:hint="eastAsia" w:eastAsia="仿宋_GB2312"/>
          <w:color w:val="000000" w:themeColor="text1"/>
          <w:szCs w:val="24"/>
          <w:highlight w:val="none"/>
          <w:lang w:val="en-US" w:eastAsia="zh-CN"/>
        </w:rPr>
        <w:t>2</w:t>
      </w:r>
      <w:r>
        <w:rPr>
          <w:rFonts w:eastAsia="仿宋_GB2312"/>
          <w:color w:val="000000" w:themeColor="text1"/>
          <w:szCs w:val="24"/>
          <w:highlight w:val="none"/>
        </w:rPr>
        <w:t>年</w:t>
      </w:r>
      <w:r>
        <w:rPr>
          <w:rFonts w:hint="eastAsia" w:eastAsia="仿宋_GB2312"/>
          <w:color w:val="000000" w:themeColor="text1"/>
          <w:szCs w:val="24"/>
          <w:highlight w:val="none"/>
          <w:lang w:val="en-US" w:eastAsia="zh-CN"/>
        </w:rPr>
        <w:t>6</w:t>
      </w:r>
      <w:r>
        <w:rPr>
          <w:rFonts w:eastAsia="仿宋_GB2312"/>
          <w:color w:val="000000" w:themeColor="text1"/>
          <w:szCs w:val="24"/>
          <w:highlight w:val="none"/>
        </w:rPr>
        <w:t>月施工</w:t>
      </w:r>
      <w:r>
        <w:rPr>
          <w:rFonts w:hint="eastAsia" w:eastAsia="仿宋_GB2312"/>
          <w:color w:val="000000" w:themeColor="text1"/>
          <w:szCs w:val="24"/>
          <w:highlight w:val="none"/>
        </w:rPr>
        <w:t>），雨水口</w:t>
      </w:r>
      <w:r>
        <w:rPr>
          <w:rFonts w:hint="eastAsia" w:eastAsia="仿宋_GB2312"/>
          <w:color w:val="000000" w:themeColor="text1"/>
          <w:szCs w:val="24"/>
          <w:highlight w:val="none"/>
          <w:lang w:val="en-US" w:eastAsia="zh-CN"/>
        </w:rPr>
        <w:t>2</w:t>
      </w:r>
      <w:r>
        <w:rPr>
          <w:rFonts w:hint="eastAsia" w:eastAsia="仿宋_GB2312"/>
          <w:color w:val="000000" w:themeColor="text1"/>
          <w:szCs w:val="24"/>
          <w:highlight w:val="none"/>
        </w:rPr>
        <w:t>0个（</w:t>
      </w:r>
      <w:r>
        <w:rPr>
          <w:rFonts w:hint="eastAsia" w:eastAsia="仿宋_GB2312"/>
          <w:color w:val="000000" w:themeColor="text1"/>
          <w:szCs w:val="24"/>
          <w:highlight w:val="none"/>
          <w:lang w:val="en-US" w:eastAsia="zh-CN"/>
        </w:rPr>
        <w:t>已</w:t>
      </w:r>
      <w:r>
        <w:rPr>
          <w:rFonts w:eastAsia="仿宋_GB2312"/>
          <w:color w:val="000000" w:themeColor="text1"/>
          <w:szCs w:val="24"/>
          <w:highlight w:val="none"/>
        </w:rPr>
        <w:t>于202</w:t>
      </w:r>
      <w:r>
        <w:rPr>
          <w:rFonts w:hint="eastAsia" w:eastAsia="仿宋_GB2312"/>
          <w:color w:val="000000" w:themeColor="text1"/>
          <w:szCs w:val="24"/>
          <w:highlight w:val="none"/>
          <w:lang w:val="en-US" w:eastAsia="zh-CN"/>
        </w:rPr>
        <w:t>2</w:t>
      </w:r>
      <w:r>
        <w:rPr>
          <w:rFonts w:eastAsia="仿宋_GB2312"/>
          <w:color w:val="000000" w:themeColor="text1"/>
          <w:szCs w:val="24"/>
          <w:highlight w:val="none"/>
        </w:rPr>
        <w:t>年</w:t>
      </w:r>
      <w:r>
        <w:rPr>
          <w:rFonts w:hint="eastAsia" w:eastAsia="仿宋_GB2312"/>
          <w:color w:val="000000" w:themeColor="text1"/>
          <w:szCs w:val="24"/>
          <w:highlight w:val="none"/>
          <w:lang w:val="en-US" w:eastAsia="zh-CN"/>
        </w:rPr>
        <w:t>10</w:t>
      </w:r>
      <w:r>
        <w:rPr>
          <w:rFonts w:eastAsia="仿宋_GB2312"/>
          <w:color w:val="000000" w:themeColor="text1"/>
          <w:szCs w:val="24"/>
          <w:highlight w:val="none"/>
        </w:rPr>
        <w:t>月施工</w:t>
      </w:r>
      <w:r>
        <w:rPr>
          <w:rFonts w:hint="eastAsia" w:eastAsia="仿宋_GB2312"/>
          <w:color w:val="000000" w:themeColor="text1"/>
          <w:szCs w:val="24"/>
          <w:highlight w:val="none"/>
        </w:rPr>
        <w:t>）。</w:t>
      </w:r>
    </w:p>
    <w:p>
      <w:pPr>
        <w:spacing w:line="360" w:lineRule="auto"/>
        <w:ind w:firstLine="480" w:firstLineChars="200"/>
        <w:rPr>
          <w:rFonts w:eastAsia="仿宋_GB2312"/>
          <w:color w:val="000000" w:themeColor="text1"/>
          <w:szCs w:val="24"/>
          <w:highlight w:val="none"/>
        </w:rPr>
      </w:pPr>
      <w:r>
        <w:rPr>
          <w:rFonts w:eastAsia="仿宋_GB2312"/>
          <w:color w:val="000000" w:themeColor="text1"/>
          <w:szCs w:val="24"/>
          <w:highlight w:val="none"/>
        </w:rPr>
        <w:t>植物措施：景观绿化</w:t>
      </w:r>
      <w:r>
        <w:rPr>
          <w:rFonts w:hint="eastAsia" w:eastAsia="仿宋_GB2312"/>
          <w:color w:val="000000" w:themeColor="text1"/>
          <w:szCs w:val="24"/>
          <w:highlight w:val="none"/>
          <w:lang w:val="en-US" w:eastAsia="zh-CN"/>
        </w:rPr>
        <w:t>0.13</w:t>
      </w:r>
      <w:r>
        <w:rPr>
          <w:rFonts w:eastAsia="仿宋_GB2312"/>
          <w:color w:val="000000" w:themeColor="text1"/>
          <w:szCs w:val="24"/>
          <w:highlight w:val="none"/>
        </w:rPr>
        <w:t>hm</w:t>
      </w:r>
      <w:r>
        <w:rPr>
          <w:rFonts w:eastAsia="仿宋_GB2312"/>
          <w:color w:val="000000" w:themeColor="text1"/>
          <w:szCs w:val="24"/>
          <w:highlight w:val="none"/>
          <w:vertAlign w:val="superscript"/>
        </w:rPr>
        <w:t>2</w:t>
      </w:r>
      <w:r>
        <w:rPr>
          <w:rFonts w:eastAsia="仿宋_GB2312"/>
          <w:color w:val="000000" w:themeColor="text1"/>
          <w:szCs w:val="24"/>
          <w:highlight w:val="none"/>
        </w:rPr>
        <w:t>（计划于202</w:t>
      </w:r>
      <w:r>
        <w:rPr>
          <w:rFonts w:hint="eastAsia" w:eastAsia="仿宋_GB2312"/>
          <w:color w:val="000000" w:themeColor="text1"/>
          <w:szCs w:val="24"/>
          <w:highlight w:val="none"/>
        </w:rPr>
        <w:t>3</w:t>
      </w:r>
      <w:r>
        <w:rPr>
          <w:rFonts w:eastAsia="仿宋_GB2312"/>
          <w:color w:val="000000" w:themeColor="text1"/>
          <w:szCs w:val="24"/>
          <w:highlight w:val="none"/>
        </w:rPr>
        <w:t>年</w:t>
      </w:r>
      <w:r>
        <w:rPr>
          <w:rFonts w:hint="eastAsia" w:eastAsia="仿宋_GB2312"/>
          <w:color w:val="000000" w:themeColor="text1"/>
          <w:szCs w:val="24"/>
          <w:highlight w:val="none"/>
          <w:lang w:val="en-US" w:eastAsia="zh-CN"/>
        </w:rPr>
        <w:t>7</w:t>
      </w:r>
      <w:r>
        <w:rPr>
          <w:rFonts w:eastAsia="仿宋_GB2312"/>
          <w:color w:val="000000" w:themeColor="text1"/>
          <w:szCs w:val="24"/>
          <w:highlight w:val="none"/>
        </w:rPr>
        <w:t>月</w:t>
      </w:r>
      <w:r>
        <w:rPr>
          <w:rFonts w:hint="eastAsia" w:eastAsia="仿宋_GB2312"/>
          <w:color w:val="000000" w:themeColor="text1"/>
          <w:szCs w:val="24"/>
          <w:highlight w:val="none"/>
        </w:rPr>
        <w:t>至</w:t>
      </w:r>
      <w:r>
        <w:rPr>
          <w:rFonts w:eastAsia="仿宋_GB2312"/>
          <w:color w:val="000000" w:themeColor="text1"/>
          <w:szCs w:val="24"/>
          <w:highlight w:val="none"/>
        </w:rPr>
        <w:t>202</w:t>
      </w:r>
      <w:r>
        <w:rPr>
          <w:rFonts w:hint="eastAsia" w:eastAsia="仿宋_GB2312"/>
          <w:color w:val="000000" w:themeColor="text1"/>
          <w:szCs w:val="24"/>
          <w:highlight w:val="none"/>
        </w:rPr>
        <w:t>3</w:t>
      </w:r>
      <w:r>
        <w:rPr>
          <w:rFonts w:eastAsia="仿宋_GB2312"/>
          <w:color w:val="000000" w:themeColor="text1"/>
          <w:szCs w:val="24"/>
          <w:highlight w:val="none"/>
        </w:rPr>
        <w:t>年</w:t>
      </w:r>
      <w:r>
        <w:rPr>
          <w:rFonts w:hint="eastAsia" w:eastAsia="仿宋_GB2312"/>
          <w:color w:val="000000" w:themeColor="text1"/>
          <w:szCs w:val="24"/>
          <w:highlight w:val="none"/>
          <w:lang w:val="en-US" w:eastAsia="zh-CN"/>
        </w:rPr>
        <w:t>8</w:t>
      </w:r>
      <w:r>
        <w:rPr>
          <w:rFonts w:eastAsia="仿宋_GB2312"/>
          <w:color w:val="000000" w:themeColor="text1"/>
          <w:szCs w:val="24"/>
          <w:highlight w:val="none"/>
        </w:rPr>
        <w:t>月施工）。</w:t>
      </w:r>
    </w:p>
    <w:p>
      <w:pPr>
        <w:spacing w:line="360" w:lineRule="auto"/>
        <w:ind w:firstLine="480" w:firstLineChars="200"/>
        <w:rPr>
          <w:rFonts w:eastAsia="仿宋_GB2312"/>
          <w:color w:val="000000" w:themeColor="text1"/>
          <w:szCs w:val="24"/>
          <w:highlight w:val="none"/>
        </w:rPr>
      </w:pPr>
      <w:r>
        <w:rPr>
          <w:rFonts w:eastAsia="仿宋_GB2312"/>
          <w:color w:val="000000" w:themeColor="text1"/>
          <w:szCs w:val="24"/>
          <w:highlight w:val="none"/>
        </w:rPr>
        <w:t>临时措施：密目网覆盖</w:t>
      </w:r>
      <w:r>
        <w:rPr>
          <w:rFonts w:hint="eastAsia" w:eastAsia="仿宋_GB2312"/>
          <w:color w:val="000000" w:themeColor="text1"/>
          <w:szCs w:val="24"/>
          <w:highlight w:val="none"/>
          <w:lang w:val="en-US" w:eastAsia="zh-CN"/>
        </w:rPr>
        <w:t>156</w:t>
      </w:r>
      <w:r>
        <w:rPr>
          <w:rFonts w:hint="eastAsia" w:eastAsia="仿宋_GB2312"/>
          <w:color w:val="000000" w:themeColor="text1"/>
          <w:szCs w:val="24"/>
          <w:highlight w:val="none"/>
        </w:rPr>
        <w:t>0</w:t>
      </w:r>
      <w:r>
        <w:rPr>
          <w:rFonts w:eastAsia="仿宋_GB2312"/>
          <w:color w:val="000000" w:themeColor="text1"/>
          <w:szCs w:val="24"/>
          <w:highlight w:val="none"/>
        </w:rPr>
        <w:t>m</w:t>
      </w:r>
      <w:r>
        <w:rPr>
          <w:rFonts w:eastAsia="仿宋_GB2312"/>
          <w:color w:val="000000" w:themeColor="text1"/>
          <w:szCs w:val="24"/>
          <w:highlight w:val="none"/>
          <w:vertAlign w:val="superscript"/>
        </w:rPr>
        <w:t>2</w:t>
      </w:r>
      <w:r>
        <w:rPr>
          <w:rFonts w:eastAsia="仿宋_GB2312"/>
          <w:color w:val="000000" w:themeColor="text1"/>
          <w:szCs w:val="24"/>
          <w:highlight w:val="none"/>
        </w:rPr>
        <w:t>（</w:t>
      </w:r>
      <w:r>
        <w:rPr>
          <w:rFonts w:hint="eastAsia" w:eastAsia="仿宋_GB2312"/>
          <w:color w:val="000000" w:themeColor="text1"/>
          <w:szCs w:val="24"/>
          <w:highlight w:val="none"/>
          <w:lang w:val="en-US" w:eastAsia="zh-CN"/>
        </w:rPr>
        <w:t>已</w:t>
      </w:r>
      <w:r>
        <w:rPr>
          <w:rFonts w:eastAsia="仿宋_GB2312"/>
          <w:color w:val="000000" w:themeColor="text1"/>
          <w:szCs w:val="24"/>
          <w:highlight w:val="none"/>
        </w:rPr>
        <w:t>于20</w:t>
      </w:r>
      <w:r>
        <w:rPr>
          <w:rFonts w:hint="eastAsia" w:eastAsia="仿宋_GB2312"/>
          <w:color w:val="000000" w:themeColor="text1"/>
          <w:szCs w:val="24"/>
          <w:highlight w:val="none"/>
        </w:rPr>
        <w:t>2</w:t>
      </w:r>
      <w:r>
        <w:rPr>
          <w:rFonts w:hint="eastAsia" w:eastAsia="仿宋_GB2312"/>
          <w:color w:val="000000" w:themeColor="text1"/>
          <w:szCs w:val="24"/>
          <w:highlight w:val="none"/>
          <w:lang w:val="en-US" w:eastAsia="zh-CN"/>
        </w:rPr>
        <w:t>1</w:t>
      </w:r>
      <w:r>
        <w:rPr>
          <w:rFonts w:eastAsia="仿宋_GB2312"/>
          <w:color w:val="000000" w:themeColor="text1"/>
          <w:szCs w:val="24"/>
          <w:highlight w:val="none"/>
        </w:rPr>
        <w:t>年</w:t>
      </w:r>
      <w:r>
        <w:rPr>
          <w:rFonts w:hint="eastAsia" w:eastAsia="仿宋_GB2312"/>
          <w:color w:val="000000" w:themeColor="text1"/>
          <w:szCs w:val="24"/>
          <w:highlight w:val="none"/>
          <w:lang w:val="en-US" w:eastAsia="zh-CN"/>
        </w:rPr>
        <w:t>9</w:t>
      </w:r>
      <w:r>
        <w:rPr>
          <w:rFonts w:eastAsia="仿宋_GB2312"/>
          <w:color w:val="000000" w:themeColor="text1"/>
          <w:szCs w:val="24"/>
          <w:highlight w:val="none"/>
        </w:rPr>
        <w:t>月施工），编织袋土砌筑</w:t>
      </w:r>
      <w:r>
        <w:rPr>
          <w:rFonts w:hint="eastAsia" w:eastAsia="仿宋_GB2312"/>
          <w:color w:val="000000" w:themeColor="text1"/>
          <w:szCs w:val="24"/>
          <w:highlight w:val="none"/>
          <w:lang w:val="en-US" w:eastAsia="zh-CN"/>
        </w:rPr>
        <w:t>46</w:t>
      </w:r>
      <w:r>
        <w:rPr>
          <w:rFonts w:eastAsia="仿宋_GB2312"/>
          <w:color w:val="000000" w:themeColor="text1"/>
          <w:szCs w:val="24"/>
          <w:highlight w:val="none"/>
        </w:rPr>
        <w:t>m</w:t>
      </w:r>
      <w:r>
        <w:rPr>
          <w:rFonts w:eastAsia="仿宋_GB2312"/>
          <w:color w:val="000000" w:themeColor="text1"/>
          <w:szCs w:val="24"/>
          <w:highlight w:val="none"/>
          <w:vertAlign w:val="superscript"/>
        </w:rPr>
        <w:t>3</w:t>
      </w:r>
      <w:r>
        <w:rPr>
          <w:rFonts w:eastAsia="仿宋_GB2312"/>
          <w:color w:val="000000" w:themeColor="text1"/>
          <w:szCs w:val="24"/>
          <w:highlight w:val="none"/>
        </w:rPr>
        <w:t>（</w:t>
      </w:r>
      <w:r>
        <w:rPr>
          <w:rFonts w:hint="eastAsia" w:eastAsia="仿宋_GB2312"/>
          <w:color w:val="000000" w:themeColor="text1"/>
          <w:szCs w:val="24"/>
          <w:highlight w:val="none"/>
          <w:lang w:val="en-US" w:eastAsia="zh-CN"/>
        </w:rPr>
        <w:t>已</w:t>
      </w:r>
      <w:r>
        <w:rPr>
          <w:rFonts w:eastAsia="仿宋_GB2312"/>
          <w:color w:val="000000" w:themeColor="text1"/>
          <w:szCs w:val="24"/>
          <w:highlight w:val="none"/>
        </w:rPr>
        <w:t>于20</w:t>
      </w:r>
      <w:r>
        <w:rPr>
          <w:rFonts w:hint="eastAsia" w:eastAsia="仿宋_GB2312"/>
          <w:color w:val="000000" w:themeColor="text1"/>
          <w:szCs w:val="24"/>
          <w:highlight w:val="none"/>
        </w:rPr>
        <w:t>2</w:t>
      </w:r>
      <w:r>
        <w:rPr>
          <w:rFonts w:hint="eastAsia" w:eastAsia="仿宋_GB2312"/>
          <w:color w:val="000000" w:themeColor="text1"/>
          <w:szCs w:val="24"/>
          <w:highlight w:val="none"/>
          <w:lang w:val="en-US" w:eastAsia="zh-CN"/>
        </w:rPr>
        <w:t>1</w:t>
      </w:r>
      <w:r>
        <w:rPr>
          <w:rFonts w:eastAsia="仿宋_GB2312"/>
          <w:color w:val="000000" w:themeColor="text1"/>
          <w:szCs w:val="24"/>
          <w:highlight w:val="none"/>
        </w:rPr>
        <w:t>年</w:t>
      </w:r>
      <w:r>
        <w:rPr>
          <w:rFonts w:hint="eastAsia" w:eastAsia="仿宋_GB2312"/>
          <w:color w:val="000000" w:themeColor="text1"/>
          <w:szCs w:val="24"/>
          <w:highlight w:val="none"/>
          <w:lang w:val="en-US" w:eastAsia="zh-CN"/>
        </w:rPr>
        <w:t>9</w:t>
      </w:r>
      <w:r>
        <w:rPr>
          <w:rFonts w:eastAsia="仿宋_GB2312"/>
          <w:color w:val="000000" w:themeColor="text1"/>
          <w:szCs w:val="24"/>
          <w:highlight w:val="none"/>
        </w:rPr>
        <w:t>月施工），编织袋装土拆除</w:t>
      </w:r>
      <w:r>
        <w:rPr>
          <w:rFonts w:hint="eastAsia" w:eastAsia="仿宋_GB2312"/>
          <w:color w:val="000000" w:themeColor="text1"/>
          <w:szCs w:val="24"/>
          <w:highlight w:val="none"/>
          <w:lang w:val="en-US" w:eastAsia="zh-CN"/>
        </w:rPr>
        <w:t>46</w:t>
      </w:r>
      <w:r>
        <w:rPr>
          <w:rFonts w:eastAsia="仿宋_GB2312"/>
          <w:color w:val="000000" w:themeColor="text1"/>
          <w:szCs w:val="24"/>
          <w:highlight w:val="none"/>
        </w:rPr>
        <w:t>m</w:t>
      </w:r>
      <w:r>
        <w:rPr>
          <w:rFonts w:eastAsia="仿宋_GB2312"/>
          <w:color w:val="000000" w:themeColor="text1"/>
          <w:szCs w:val="24"/>
          <w:highlight w:val="none"/>
          <w:vertAlign w:val="superscript"/>
        </w:rPr>
        <w:t>3</w:t>
      </w:r>
      <w:r>
        <w:rPr>
          <w:rFonts w:eastAsia="仿宋_GB2312"/>
          <w:color w:val="000000" w:themeColor="text1"/>
          <w:szCs w:val="24"/>
          <w:highlight w:val="none"/>
        </w:rPr>
        <w:t>（</w:t>
      </w:r>
      <w:r>
        <w:rPr>
          <w:rFonts w:hint="eastAsia" w:eastAsia="仿宋_GB2312"/>
          <w:color w:val="000000" w:themeColor="text1"/>
          <w:szCs w:val="24"/>
          <w:highlight w:val="none"/>
          <w:lang w:val="en-US" w:eastAsia="zh-CN"/>
        </w:rPr>
        <w:t>已</w:t>
      </w:r>
      <w:r>
        <w:rPr>
          <w:rFonts w:eastAsia="仿宋_GB2312"/>
          <w:color w:val="000000" w:themeColor="text1"/>
          <w:szCs w:val="24"/>
          <w:highlight w:val="none"/>
        </w:rPr>
        <w:t>于202</w:t>
      </w:r>
      <w:r>
        <w:rPr>
          <w:rFonts w:hint="eastAsia" w:eastAsia="仿宋_GB2312"/>
          <w:color w:val="000000" w:themeColor="text1"/>
          <w:szCs w:val="24"/>
          <w:highlight w:val="none"/>
          <w:lang w:val="en-US" w:eastAsia="zh-CN"/>
        </w:rPr>
        <w:t>1</w:t>
      </w:r>
      <w:r>
        <w:rPr>
          <w:rFonts w:eastAsia="仿宋_GB2312"/>
          <w:color w:val="000000" w:themeColor="text1"/>
          <w:szCs w:val="24"/>
          <w:highlight w:val="none"/>
        </w:rPr>
        <w:t>年</w:t>
      </w:r>
      <w:r>
        <w:rPr>
          <w:rFonts w:hint="eastAsia" w:eastAsia="仿宋_GB2312"/>
          <w:color w:val="000000" w:themeColor="text1"/>
          <w:szCs w:val="24"/>
          <w:highlight w:val="none"/>
          <w:lang w:val="en-US" w:eastAsia="zh-CN"/>
        </w:rPr>
        <w:t>11</w:t>
      </w:r>
      <w:r>
        <w:rPr>
          <w:rFonts w:eastAsia="仿宋_GB2312"/>
          <w:color w:val="000000" w:themeColor="text1"/>
          <w:szCs w:val="24"/>
          <w:highlight w:val="none"/>
        </w:rPr>
        <w:t>月施工）。</w:t>
      </w:r>
    </w:p>
    <w:p>
      <w:pPr>
        <w:pStyle w:val="4"/>
        <w:spacing w:before="0" w:after="0" w:line="360" w:lineRule="auto"/>
        <w:rPr>
          <w:rFonts w:ascii="Times New Roman" w:hAnsi="Times New Roman" w:eastAsia="仿宋_GB2312"/>
          <w:color w:val="000000" w:themeColor="text1"/>
          <w:sz w:val="28"/>
          <w:szCs w:val="28"/>
        </w:rPr>
      </w:pPr>
      <w:bookmarkStart w:id="11" w:name="_Toc2185"/>
      <w:r>
        <w:rPr>
          <w:rFonts w:ascii="Times New Roman" w:hAnsi="Times New Roman" w:eastAsia="仿宋_GB2312"/>
          <w:color w:val="000000" w:themeColor="text1"/>
          <w:sz w:val="28"/>
          <w:szCs w:val="28"/>
        </w:rPr>
        <w:t>1.9水土保持监测方案</w:t>
      </w:r>
      <w:bookmarkEnd w:id="11"/>
    </w:p>
    <w:p>
      <w:pPr>
        <w:spacing w:line="360" w:lineRule="auto"/>
        <w:ind w:firstLine="480" w:firstLineChars="200"/>
        <w:jc w:val="both"/>
        <w:rPr>
          <w:rFonts w:eastAsia="仿宋_GB2312"/>
          <w:color w:val="000000" w:themeColor="text1"/>
          <w:szCs w:val="24"/>
          <w:highlight w:val="cyan"/>
        </w:rPr>
      </w:pPr>
      <w:r>
        <w:rPr>
          <w:rFonts w:eastAsia="仿宋_GB2312"/>
          <w:bCs/>
          <w:color w:val="000000" w:themeColor="text1"/>
          <w:szCs w:val="24"/>
        </w:rPr>
        <w:t>本工程监测内容应包括水土流失本底值、水土流失自然影响因素、扰动土地、水土流失状况、水土流失防治成效、水土流失危害等；监测时间段为</w:t>
      </w:r>
      <w:r>
        <w:rPr>
          <w:rFonts w:eastAsia="仿宋_GB2312"/>
          <w:color w:val="000000" w:themeColor="text1"/>
        </w:rPr>
        <w:t>202</w:t>
      </w:r>
      <w:r>
        <w:rPr>
          <w:rFonts w:hint="eastAsia" w:eastAsia="仿宋_GB2312"/>
          <w:color w:val="000000" w:themeColor="text1"/>
          <w:lang w:val="en-US" w:eastAsia="zh-CN"/>
        </w:rPr>
        <w:t>3</w:t>
      </w:r>
      <w:r>
        <w:rPr>
          <w:rFonts w:eastAsia="仿宋_GB2312"/>
          <w:color w:val="000000" w:themeColor="text1"/>
        </w:rPr>
        <w:t>年</w:t>
      </w:r>
      <w:r>
        <w:rPr>
          <w:rFonts w:hint="eastAsia" w:eastAsia="仿宋_GB2312"/>
          <w:color w:val="000000" w:themeColor="text1"/>
          <w:lang w:val="en-US" w:eastAsia="zh-CN"/>
        </w:rPr>
        <w:t>2</w:t>
      </w:r>
      <w:r>
        <w:rPr>
          <w:rFonts w:eastAsia="仿宋_GB2312"/>
          <w:color w:val="000000" w:themeColor="text1"/>
        </w:rPr>
        <w:t>月</w:t>
      </w:r>
      <w:r>
        <w:rPr>
          <w:rFonts w:eastAsia="仿宋_GB2312"/>
          <w:color w:val="000000" w:themeColor="text1"/>
          <w:szCs w:val="24"/>
        </w:rPr>
        <w:t>至202</w:t>
      </w:r>
      <w:r>
        <w:rPr>
          <w:rFonts w:hint="eastAsia" w:eastAsia="仿宋_GB2312"/>
          <w:color w:val="000000" w:themeColor="text1"/>
          <w:szCs w:val="24"/>
        </w:rPr>
        <w:t>4</w:t>
      </w:r>
      <w:r>
        <w:rPr>
          <w:rFonts w:eastAsia="仿宋_GB2312"/>
          <w:color w:val="000000" w:themeColor="text1"/>
          <w:szCs w:val="24"/>
        </w:rPr>
        <w:t>年12月</w:t>
      </w:r>
      <w:r>
        <w:rPr>
          <w:rFonts w:eastAsia="仿宋_GB2312"/>
          <w:bCs/>
          <w:color w:val="000000" w:themeColor="text1"/>
          <w:szCs w:val="24"/>
        </w:rPr>
        <w:t>；监测采用地面观测、实地调查量测、无人机遥感等监测方法。本工程在绿化区域布设1个监测点位，共计布设</w:t>
      </w:r>
      <w:r>
        <w:rPr>
          <w:rFonts w:hint="eastAsia" w:eastAsia="仿宋_GB2312"/>
          <w:bCs/>
          <w:color w:val="000000" w:themeColor="text1"/>
          <w:szCs w:val="24"/>
        </w:rPr>
        <w:t>1</w:t>
      </w:r>
      <w:r>
        <w:rPr>
          <w:rFonts w:eastAsia="仿宋_GB2312"/>
          <w:bCs/>
          <w:color w:val="000000" w:themeColor="text1"/>
          <w:szCs w:val="24"/>
        </w:rPr>
        <w:t>个监测点位。</w:t>
      </w:r>
    </w:p>
    <w:p>
      <w:pPr>
        <w:pStyle w:val="4"/>
        <w:spacing w:before="0" w:after="0" w:line="360" w:lineRule="auto"/>
        <w:rPr>
          <w:rFonts w:ascii="Times New Roman" w:hAnsi="Times New Roman" w:eastAsia="仿宋_GB2312"/>
          <w:b w:val="0"/>
          <w:color w:val="000000" w:themeColor="text1"/>
          <w:sz w:val="28"/>
          <w:szCs w:val="28"/>
          <w:highlight w:val="cyan"/>
        </w:rPr>
      </w:pPr>
      <w:bookmarkStart w:id="12" w:name="_Toc16876"/>
      <w:r>
        <w:rPr>
          <w:rFonts w:ascii="Times New Roman" w:hAnsi="Times New Roman" w:eastAsia="仿宋_GB2312"/>
          <w:color w:val="000000" w:themeColor="text1"/>
          <w:sz w:val="28"/>
          <w:szCs w:val="28"/>
        </w:rPr>
        <w:t>1.10水土保持投资及效益分析成果</w:t>
      </w:r>
      <w:bookmarkEnd w:id="12"/>
    </w:p>
    <w:p>
      <w:pPr>
        <w:spacing w:line="360" w:lineRule="auto"/>
        <w:ind w:firstLine="480" w:firstLineChars="200"/>
        <w:rPr>
          <w:rFonts w:eastAsia="仿宋_GB2312"/>
          <w:bCs/>
          <w:color w:val="000000" w:themeColor="text1"/>
          <w:szCs w:val="24"/>
          <w:highlight w:val="yellow"/>
        </w:rPr>
      </w:pPr>
      <w:r>
        <w:rPr>
          <w:rFonts w:eastAsia="仿宋_GB2312"/>
          <w:color w:val="000000" w:themeColor="text1"/>
          <w:szCs w:val="24"/>
        </w:rPr>
        <w:t>本项目水土保持总投资为</w:t>
      </w:r>
      <w:r>
        <w:rPr>
          <w:rFonts w:hint="eastAsia" w:eastAsia="仿宋_GB2312"/>
          <w:color w:val="000000" w:themeColor="text1"/>
          <w:szCs w:val="24"/>
          <w:highlight w:val="none"/>
          <w:lang w:eastAsia="zh-CN"/>
        </w:rPr>
        <w:t>57.15</w:t>
      </w:r>
      <w:r>
        <w:rPr>
          <w:rFonts w:eastAsia="仿宋_GB2312"/>
          <w:color w:val="000000" w:themeColor="text1"/>
          <w:szCs w:val="24"/>
          <w:highlight w:val="none"/>
        </w:rPr>
        <w:t>万元，</w:t>
      </w:r>
      <w:r>
        <w:rPr>
          <w:rFonts w:eastAsia="仿宋_GB2312"/>
          <w:bCs/>
          <w:color w:val="000000" w:themeColor="text1"/>
          <w:szCs w:val="24"/>
          <w:highlight w:val="none"/>
        </w:rPr>
        <w:t>其中工程措施投资</w:t>
      </w:r>
      <w:r>
        <w:rPr>
          <w:rFonts w:hint="eastAsia" w:eastAsia="仿宋_GB2312"/>
          <w:bCs/>
          <w:color w:val="000000" w:themeColor="text1"/>
          <w:szCs w:val="24"/>
          <w:highlight w:val="none"/>
          <w:lang w:val="en-US" w:eastAsia="zh-CN"/>
        </w:rPr>
        <w:t>19.73</w:t>
      </w:r>
      <w:r>
        <w:rPr>
          <w:rFonts w:eastAsia="仿宋_GB2312"/>
          <w:bCs/>
          <w:color w:val="000000" w:themeColor="text1"/>
          <w:szCs w:val="24"/>
          <w:highlight w:val="none"/>
        </w:rPr>
        <w:t>万元、植物措施投资</w:t>
      </w:r>
      <w:r>
        <w:rPr>
          <w:rFonts w:hint="eastAsia" w:eastAsia="仿宋_GB2312"/>
          <w:bCs/>
          <w:color w:val="000000" w:themeColor="text1"/>
          <w:szCs w:val="24"/>
          <w:highlight w:val="none"/>
          <w:lang w:val="en-US" w:eastAsia="zh-CN"/>
        </w:rPr>
        <w:t>10.07</w:t>
      </w:r>
      <w:r>
        <w:rPr>
          <w:rFonts w:eastAsia="仿宋_GB2312"/>
          <w:bCs/>
          <w:color w:val="000000" w:themeColor="text1"/>
          <w:szCs w:val="24"/>
          <w:highlight w:val="none"/>
        </w:rPr>
        <w:t>万元、临时措施投资</w:t>
      </w:r>
      <w:r>
        <w:rPr>
          <w:rFonts w:hint="eastAsia" w:eastAsia="仿宋_GB2312"/>
          <w:bCs/>
          <w:color w:val="000000" w:themeColor="text1"/>
          <w:szCs w:val="24"/>
          <w:highlight w:val="none"/>
          <w:lang w:eastAsia="zh-CN"/>
        </w:rPr>
        <w:t>2.68</w:t>
      </w:r>
      <w:r>
        <w:rPr>
          <w:rFonts w:eastAsia="仿宋_GB2312"/>
          <w:bCs/>
          <w:color w:val="000000" w:themeColor="text1"/>
          <w:szCs w:val="24"/>
          <w:highlight w:val="none"/>
        </w:rPr>
        <w:t>万元、独立费用</w:t>
      </w:r>
      <w:r>
        <w:rPr>
          <w:rFonts w:hint="eastAsia" w:eastAsia="仿宋_GB2312"/>
          <w:bCs/>
          <w:color w:val="000000" w:themeColor="text1"/>
          <w:szCs w:val="24"/>
          <w:highlight w:val="none"/>
        </w:rPr>
        <w:t>22.72</w:t>
      </w:r>
      <w:r>
        <w:rPr>
          <w:rFonts w:eastAsia="仿宋_GB2312"/>
          <w:bCs/>
          <w:color w:val="000000" w:themeColor="text1"/>
          <w:szCs w:val="24"/>
          <w:highlight w:val="none"/>
        </w:rPr>
        <w:t>万元（其中水土保持监理费5.50万元、水土保持监测费</w:t>
      </w:r>
      <w:r>
        <w:rPr>
          <w:rFonts w:hint="eastAsia" w:eastAsia="仿宋_GB2312"/>
          <w:bCs/>
          <w:color w:val="000000" w:themeColor="text1"/>
          <w:szCs w:val="24"/>
          <w:highlight w:val="none"/>
        </w:rPr>
        <w:t>6.21</w:t>
      </w:r>
      <w:r>
        <w:rPr>
          <w:rFonts w:eastAsia="仿宋_GB2312"/>
          <w:bCs/>
          <w:color w:val="000000" w:themeColor="text1"/>
          <w:szCs w:val="24"/>
          <w:highlight w:val="none"/>
        </w:rPr>
        <w:t>万元）、基本预备费1.36万元、水土保持补偿费</w:t>
      </w:r>
      <w:r>
        <w:rPr>
          <w:rFonts w:hint="eastAsia" w:eastAsia="仿宋_GB2312"/>
          <w:bCs/>
          <w:color w:val="000000" w:themeColor="text1"/>
          <w:szCs w:val="24"/>
          <w:highlight w:val="none"/>
          <w:lang w:eastAsia="zh-CN"/>
        </w:rPr>
        <w:t>0.59</w:t>
      </w:r>
      <w:r>
        <w:rPr>
          <w:rFonts w:eastAsia="仿宋_GB2312"/>
          <w:bCs/>
          <w:color w:val="000000" w:themeColor="text1"/>
          <w:szCs w:val="24"/>
          <w:highlight w:val="none"/>
        </w:rPr>
        <w:t>万元。</w:t>
      </w:r>
    </w:p>
    <w:p>
      <w:pPr>
        <w:spacing w:line="360" w:lineRule="auto"/>
        <w:ind w:firstLine="480" w:firstLineChars="200"/>
        <w:jc w:val="both"/>
        <w:rPr>
          <w:rFonts w:eastAsia="仿宋_GB2312"/>
          <w:color w:val="000000" w:themeColor="text1"/>
          <w:highlight w:val="cyan"/>
        </w:rPr>
      </w:pPr>
      <w:r>
        <w:rPr>
          <w:rFonts w:eastAsia="仿宋_GB2312"/>
          <w:color w:val="000000" w:themeColor="text1"/>
        </w:rPr>
        <w:t>该项工程建设占地面积</w:t>
      </w:r>
      <w:r>
        <w:rPr>
          <w:rFonts w:hint="eastAsia" w:eastAsia="仿宋_GB2312"/>
          <w:color w:val="000000" w:themeColor="text1"/>
          <w:lang w:val="en-US" w:eastAsia="zh-CN"/>
        </w:rPr>
        <w:t>1.30</w:t>
      </w:r>
      <w:r>
        <w:rPr>
          <w:rFonts w:hint="eastAsia" w:eastAsia="仿宋_GB2312"/>
          <w:color w:val="000000" w:themeColor="text1"/>
        </w:rPr>
        <w:t>h</w:t>
      </w:r>
      <w:r>
        <w:rPr>
          <w:rFonts w:eastAsia="仿宋_GB2312"/>
          <w:color w:val="000000" w:themeColor="text1"/>
          <w:szCs w:val="24"/>
        </w:rPr>
        <w:t>m</w:t>
      </w:r>
      <w:r>
        <w:rPr>
          <w:rFonts w:eastAsia="仿宋_GB2312"/>
          <w:color w:val="000000" w:themeColor="text1"/>
          <w:szCs w:val="24"/>
          <w:vertAlign w:val="superscript"/>
        </w:rPr>
        <w:t>2</w:t>
      </w:r>
      <w:r>
        <w:rPr>
          <w:rFonts w:eastAsia="仿宋_GB2312"/>
          <w:color w:val="000000" w:themeColor="text1"/>
          <w:szCs w:val="24"/>
        </w:rPr>
        <w:t>，林草植被建设面积0.</w:t>
      </w:r>
      <w:r>
        <w:rPr>
          <w:rFonts w:hint="eastAsia" w:eastAsia="仿宋_GB2312"/>
          <w:color w:val="000000" w:themeColor="text1"/>
          <w:szCs w:val="24"/>
          <w:lang w:val="en-US" w:eastAsia="zh-CN"/>
        </w:rPr>
        <w:t>13</w:t>
      </w:r>
      <w:r>
        <w:rPr>
          <w:rFonts w:eastAsia="仿宋_GB2312"/>
          <w:color w:val="000000" w:themeColor="text1"/>
          <w:szCs w:val="24"/>
        </w:rPr>
        <w:t>h</w:t>
      </w:r>
      <w:r>
        <w:rPr>
          <w:rFonts w:eastAsia="仿宋_GB2312"/>
          <w:color w:val="000000" w:themeColor="text1"/>
        </w:rPr>
        <w:t>m</w:t>
      </w:r>
      <w:r>
        <w:rPr>
          <w:rFonts w:eastAsia="仿宋_GB2312"/>
          <w:color w:val="000000" w:themeColor="text1"/>
          <w:vertAlign w:val="superscript"/>
        </w:rPr>
        <w:t>2</w:t>
      </w:r>
      <w:r>
        <w:rPr>
          <w:rFonts w:eastAsia="仿宋_GB2312"/>
          <w:color w:val="000000" w:themeColor="text1"/>
        </w:rPr>
        <w:t>，</w:t>
      </w:r>
      <w:r>
        <w:rPr>
          <w:rFonts w:eastAsia="仿宋_GB2312"/>
          <w:color w:val="000000" w:themeColor="text1"/>
          <w:szCs w:val="24"/>
        </w:rPr>
        <w:t>水土流失治理达标面积</w:t>
      </w:r>
      <w:r>
        <w:rPr>
          <w:rFonts w:hint="eastAsia" w:eastAsia="仿宋_GB2312"/>
          <w:color w:val="000000" w:themeColor="text1"/>
          <w:szCs w:val="24"/>
        </w:rPr>
        <w:t>1.</w:t>
      </w:r>
      <w:r>
        <w:rPr>
          <w:rFonts w:hint="eastAsia" w:eastAsia="仿宋_GB2312"/>
          <w:color w:val="000000" w:themeColor="text1"/>
          <w:szCs w:val="24"/>
          <w:lang w:val="en-US" w:eastAsia="zh-CN"/>
        </w:rPr>
        <w:t>27</w:t>
      </w:r>
      <w:r>
        <w:rPr>
          <w:rFonts w:eastAsia="仿宋_GB2312"/>
          <w:color w:val="000000" w:themeColor="text1"/>
          <w:szCs w:val="24"/>
        </w:rPr>
        <w:t>hm</w:t>
      </w:r>
      <w:r>
        <w:rPr>
          <w:rFonts w:eastAsia="仿宋_GB2312"/>
          <w:color w:val="000000" w:themeColor="text1"/>
          <w:szCs w:val="24"/>
          <w:vertAlign w:val="superscript"/>
        </w:rPr>
        <w:t>2</w:t>
      </w:r>
      <w:r>
        <w:rPr>
          <w:rFonts w:eastAsia="仿宋_GB2312"/>
          <w:color w:val="000000" w:themeColor="text1"/>
        </w:rPr>
        <w:t>，可减少水土流失量</w:t>
      </w:r>
      <w:r>
        <w:rPr>
          <w:rFonts w:hint="eastAsia" w:eastAsia="仿宋_GB2312"/>
          <w:color w:val="000000" w:themeColor="text1"/>
          <w:highlight w:val="none"/>
          <w:lang w:eastAsia="zh-CN"/>
        </w:rPr>
        <w:t>79.34</w:t>
      </w:r>
      <w:r>
        <w:rPr>
          <w:rFonts w:eastAsia="仿宋_GB2312"/>
          <w:color w:val="000000" w:themeColor="text1"/>
        </w:rPr>
        <w:t>t。</w:t>
      </w:r>
      <w:r>
        <w:rPr>
          <w:rFonts w:eastAsia="仿宋_GB2312"/>
          <w:color w:val="000000" w:themeColor="text1"/>
          <w:szCs w:val="24"/>
        </w:rPr>
        <w:t>设计水平年的防治指标可能实现情况为：水土流失治理度达到99％；土壤流失控制比达到1.0；渣土防护率达到98％，林草植被恢复率达到99％，林草覆盖率达到</w:t>
      </w:r>
      <w:r>
        <w:rPr>
          <w:rFonts w:hint="eastAsia" w:eastAsia="仿宋_GB2312"/>
          <w:color w:val="000000" w:themeColor="text1"/>
          <w:szCs w:val="24"/>
          <w:lang w:val="en-US" w:eastAsia="zh-CN"/>
        </w:rPr>
        <w:t>9</w:t>
      </w:r>
      <w:r>
        <w:rPr>
          <w:rFonts w:eastAsia="仿宋_GB2312"/>
          <w:color w:val="000000" w:themeColor="text1"/>
          <w:szCs w:val="24"/>
        </w:rPr>
        <w:t>%。</w:t>
      </w:r>
    </w:p>
    <w:p>
      <w:pPr>
        <w:pStyle w:val="4"/>
        <w:spacing w:before="0" w:after="0" w:line="360" w:lineRule="auto"/>
        <w:rPr>
          <w:rFonts w:ascii="Times New Roman" w:hAnsi="Times New Roman" w:eastAsia="仿宋_GB2312"/>
          <w:color w:val="000000" w:themeColor="text1"/>
          <w:sz w:val="28"/>
          <w:szCs w:val="28"/>
        </w:rPr>
      </w:pPr>
      <w:bookmarkStart w:id="13" w:name="_Toc11453"/>
      <w:r>
        <w:rPr>
          <w:rFonts w:ascii="Times New Roman" w:hAnsi="Times New Roman" w:eastAsia="仿宋_GB2312"/>
          <w:color w:val="000000" w:themeColor="text1"/>
          <w:sz w:val="28"/>
          <w:szCs w:val="28"/>
        </w:rPr>
        <w:t>1.11结论</w:t>
      </w:r>
      <w:bookmarkEnd w:id="13"/>
    </w:p>
    <w:p>
      <w:pPr>
        <w:spacing w:line="360" w:lineRule="auto"/>
        <w:ind w:firstLine="480" w:firstLineChars="200"/>
        <w:jc w:val="both"/>
        <w:rPr>
          <w:rFonts w:eastAsia="仿宋_GB2312"/>
          <w:color w:val="000000" w:themeColor="text1"/>
        </w:rPr>
      </w:pPr>
      <w:r>
        <w:rPr>
          <w:rFonts w:eastAsia="仿宋_GB2312"/>
          <w:color w:val="000000" w:themeColor="text1"/>
        </w:rPr>
        <w:t>本工程选址、建设方案、工程占地、土石方平衡、施工方法与工艺、具有水土保持功能工程等方面基本符合水土保持法律法规及技术标准的规定，方案实施后可达到控制水土流失、保护生态环境的目的。</w:t>
      </w:r>
    </w:p>
    <w:p>
      <w:pPr>
        <w:spacing w:line="360" w:lineRule="auto"/>
        <w:ind w:firstLine="480" w:firstLineChars="200"/>
        <w:jc w:val="both"/>
        <w:rPr>
          <w:rFonts w:eastAsia="仿宋_GB2312"/>
          <w:color w:val="000000" w:themeColor="text1"/>
        </w:rPr>
      </w:pPr>
      <w:r>
        <w:rPr>
          <w:rFonts w:eastAsia="仿宋_GB2312"/>
          <w:color w:val="000000" w:themeColor="text1"/>
        </w:rPr>
        <w:t>建设单位应根据本项目水土保持方案报告表及其行政许可的要求，及时缴纳水土保持补偿费，严格要求水土保持施工单位落实水土保持工程，加强施工管理，按本方案要求实施水土保持工程，保证水土保持工程的数量和质量；加强水土流失监测，在项目主体完工后、正式投入使用前及时组织水土保持设施验收工作，将验收成果向社会公开，并向水土保持方案审批机关报备。</w:t>
      </w:r>
    </w:p>
    <w:p>
      <w:pPr>
        <w:rPr>
          <w:rFonts w:eastAsia="仿宋_GB2312"/>
          <w:color w:val="000000" w:themeColor="text1"/>
        </w:rPr>
      </w:pPr>
      <w:r>
        <w:rPr>
          <w:rFonts w:eastAsia="仿宋_GB2312"/>
          <w:color w:val="000000" w:themeColor="text1"/>
        </w:rPr>
        <w:br w:type="page"/>
      </w:r>
    </w:p>
    <w:p>
      <w:pPr>
        <w:spacing w:line="360" w:lineRule="auto"/>
        <w:ind w:firstLine="462" w:firstLineChars="200"/>
        <w:jc w:val="center"/>
        <w:rPr>
          <w:rFonts w:eastAsia="仿宋_GB2312"/>
          <w:b/>
          <w:color w:val="000000" w:themeColor="text1"/>
        </w:rPr>
      </w:pPr>
      <w:r>
        <w:rPr>
          <w:rFonts w:hint="eastAsia" w:eastAsia="仿宋_GB2312"/>
          <w:b/>
          <w:color w:val="000000" w:themeColor="text1"/>
          <w:sz w:val="23"/>
          <w:szCs w:val="23"/>
          <w:lang w:eastAsia="zh-CN"/>
        </w:rPr>
        <w:t>农安县东兴实业有限公司蒸压加气泥凝块年产40万立方项目</w:t>
      </w:r>
      <w:r>
        <w:rPr>
          <w:rFonts w:eastAsia="仿宋_GB2312"/>
          <w:b/>
          <w:color w:val="000000" w:themeColor="text1"/>
          <w:sz w:val="23"/>
          <w:szCs w:val="23"/>
        </w:rPr>
        <w:t>水土保持方案特性表</w:t>
      </w:r>
    </w:p>
    <w:tbl>
      <w:tblPr>
        <w:tblStyle w:val="23"/>
        <w:tblW w:w="9071"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475"/>
        <w:gridCol w:w="825"/>
        <w:gridCol w:w="236"/>
        <w:gridCol w:w="983"/>
        <w:gridCol w:w="720"/>
        <w:gridCol w:w="1233"/>
        <w:gridCol w:w="387"/>
        <w:gridCol w:w="557"/>
        <w:gridCol w:w="405"/>
        <w:gridCol w:w="1019"/>
        <w:gridCol w:w="316"/>
        <w:gridCol w:w="435"/>
        <w:gridCol w:w="148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00" w:type="dxa"/>
            <w:gridSpan w:val="2"/>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项目名称</w:t>
            </w:r>
          </w:p>
        </w:tc>
        <w:tc>
          <w:tcPr>
            <w:tcW w:w="3559" w:type="dxa"/>
            <w:gridSpan w:val="5"/>
            <w:tcBorders>
              <w:tl2br w:val="nil"/>
              <w:tr2bl w:val="nil"/>
            </w:tcBorders>
            <w:vAlign w:val="center"/>
          </w:tcPr>
          <w:p>
            <w:pPr>
              <w:pStyle w:val="77"/>
              <w:rPr>
                <w:rFonts w:hint="eastAsia" w:ascii="Times New Roman" w:hAnsi="Times New Roman" w:eastAsia="仿宋_GB2312"/>
                <w:color w:val="000000" w:themeColor="text1"/>
                <w:sz w:val="18"/>
                <w:szCs w:val="18"/>
                <w:lang w:eastAsia="zh-CN"/>
              </w:rPr>
            </w:pPr>
            <w:r>
              <w:rPr>
                <w:rFonts w:hint="eastAsia" w:ascii="Times New Roman" w:hAnsi="Times New Roman" w:eastAsia="仿宋_GB2312"/>
                <w:color w:val="000000" w:themeColor="text1"/>
                <w:sz w:val="18"/>
                <w:szCs w:val="18"/>
                <w:lang w:eastAsia="zh-CN"/>
              </w:rPr>
              <w:t>农安县东兴实业有限公司蒸压加气泥凝块年产40万立方项目</w:t>
            </w:r>
          </w:p>
        </w:tc>
        <w:tc>
          <w:tcPr>
            <w:tcW w:w="1981" w:type="dxa"/>
            <w:gridSpan w:val="3"/>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流域管理机构</w:t>
            </w:r>
          </w:p>
        </w:tc>
        <w:tc>
          <w:tcPr>
            <w:tcW w:w="2231" w:type="dxa"/>
            <w:gridSpan w:val="3"/>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水利部松辽水利委员会</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00" w:type="dxa"/>
            <w:gridSpan w:val="2"/>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涉及省</w:t>
            </w:r>
          </w:p>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（市、区）</w:t>
            </w:r>
          </w:p>
        </w:tc>
        <w:tc>
          <w:tcPr>
            <w:tcW w:w="1939" w:type="dxa"/>
            <w:gridSpan w:val="3"/>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吉林省</w:t>
            </w:r>
          </w:p>
        </w:tc>
        <w:tc>
          <w:tcPr>
            <w:tcW w:w="1620" w:type="dxa"/>
            <w:gridSpan w:val="2"/>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涉及地市或个数</w:t>
            </w:r>
          </w:p>
        </w:tc>
        <w:tc>
          <w:tcPr>
            <w:tcW w:w="962" w:type="dxa"/>
            <w:gridSpan w:val="2"/>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长春市</w:t>
            </w:r>
          </w:p>
        </w:tc>
        <w:tc>
          <w:tcPr>
            <w:tcW w:w="1770" w:type="dxa"/>
            <w:gridSpan w:val="3"/>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涉及县（区）或个数</w:t>
            </w:r>
          </w:p>
        </w:tc>
        <w:tc>
          <w:tcPr>
            <w:tcW w:w="1480" w:type="dxa"/>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农安县</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00" w:type="dxa"/>
            <w:gridSpan w:val="2"/>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项目规模</w:t>
            </w:r>
          </w:p>
        </w:tc>
        <w:tc>
          <w:tcPr>
            <w:tcW w:w="1939" w:type="dxa"/>
            <w:gridSpan w:val="3"/>
            <w:tcBorders>
              <w:tl2br w:val="nil"/>
              <w:tr2bl w:val="nil"/>
            </w:tcBorders>
            <w:vAlign w:val="center"/>
          </w:tcPr>
          <w:p>
            <w:pPr>
              <w:pStyle w:val="77"/>
              <w:jc w:val="both"/>
              <w:rPr>
                <w:rFonts w:ascii="Times New Roman" w:hAnsi="Times New Roman" w:eastAsia="仿宋_GB2312"/>
                <w:color w:val="000000" w:themeColor="text1"/>
                <w:sz w:val="18"/>
                <w:szCs w:val="18"/>
                <w:vertAlign w:val="baseline"/>
              </w:rPr>
            </w:pPr>
            <w:r>
              <w:rPr>
                <w:rFonts w:ascii="Times New Roman" w:hAnsi="Times New Roman" w:eastAsia="仿宋_GB2312"/>
                <w:color w:val="000000" w:themeColor="text1"/>
                <w:sz w:val="18"/>
                <w:szCs w:val="18"/>
              </w:rPr>
              <w:t>本项目建设</w:t>
            </w:r>
            <w:r>
              <w:rPr>
                <w:rFonts w:ascii="Times New Roman" w:hAnsi="Times New Roman" w:eastAsia="仿宋_GB2312"/>
                <w:color w:val="000000" w:themeColor="text1"/>
                <w:sz w:val="18"/>
                <w:szCs w:val="18"/>
                <w:lang w:val="en-US" w:eastAsia="zh-CN"/>
              </w:rPr>
              <w:t>生产车间、罩棚</w:t>
            </w:r>
            <w:r>
              <w:rPr>
                <w:rFonts w:hint="eastAsia" w:ascii="Times New Roman" w:hAnsi="Times New Roman" w:eastAsia="仿宋_GB2312"/>
                <w:color w:val="000000" w:themeColor="text1"/>
                <w:sz w:val="18"/>
                <w:szCs w:val="18"/>
                <w:lang w:val="en-US" w:eastAsia="zh-CN"/>
              </w:rPr>
              <w:t>、灰库及相关附属设施，购置设备两百余台，利用蒸气加压技术年产蒸压加气混凝土砌块40万m³。总建筑面积8004.42m</w:t>
            </w:r>
            <w:r>
              <w:rPr>
                <w:rFonts w:hint="eastAsia" w:ascii="Times New Roman" w:hAnsi="Times New Roman" w:eastAsia="仿宋_GB2312"/>
                <w:color w:val="000000" w:themeColor="text1"/>
                <w:sz w:val="18"/>
                <w:szCs w:val="18"/>
                <w:vertAlign w:val="superscript"/>
                <w:lang w:val="en-US" w:eastAsia="zh-CN"/>
              </w:rPr>
              <w:t>2</w:t>
            </w:r>
            <w:r>
              <w:rPr>
                <w:rFonts w:hint="eastAsia" w:ascii="Times New Roman" w:hAnsi="Times New Roman" w:eastAsia="仿宋_GB2312"/>
                <w:color w:val="000000" w:themeColor="text1"/>
                <w:sz w:val="18"/>
                <w:szCs w:val="18"/>
                <w:lang w:val="en-US" w:eastAsia="zh-CN"/>
              </w:rPr>
              <w:t>，总占地面积13022m</w:t>
            </w:r>
            <w:r>
              <w:rPr>
                <w:rFonts w:hint="eastAsia" w:ascii="Times New Roman" w:hAnsi="Times New Roman" w:eastAsia="仿宋_GB2312"/>
                <w:color w:val="000000" w:themeColor="text1"/>
                <w:sz w:val="18"/>
                <w:szCs w:val="18"/>
                <w:vertAlign w:val="superscript"/>
                <w:lang w:val="en-US" w:eastAsia="zh-CN"/>
              </w:rPr>
              <w:t>2</w:t>
            </w:r>
            <w:r>
              <w:rPr>
                <w:rFonts w:hint="eastAsia" w:ascii="Times New Roman" w:hAnsi="Times New Roman" w:eastAsia="仿宋_GB2312"/>
                <w:color w:val="000000" w:themeColor="text1"/>
                <w:sz w:val="18"/>
                <w:szCs w:val="18"/>
                <w:vertAlign w:val="baseline"/>
                <w:lang w:val="en-US" w:eastAsia="zh-CN"/>
              </w:rPr>
              <w:t>。</w:t>
            </w:r>
          </w:p>
        </w:tc>
        <w:tc>
          <w:tcPr>
            <w:tcW w:w="1620" w:type="dxa"/>
            <w:gridSpan w:val="2"/>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总投资（万元）</w:t>
            </w:r>
          </w:p>
        </w:tc>
        <w:tc>
          <w:tcPr>
            <w:tcW w:w="962" w:type="dxa"/>
            <w:gridSpan w:val="2"/>
            <w:tcBorders>
              <w:tl2br w:val="nil"/>
              <w:tr2bl w:val="nil"/>
            </w:tcBorders>
            <w:vAlign w:val="center"/>
          </w:tcPr>
          <w:p>
            <w:pPr>
              <w:pStyle w:val="77"/>
              <w:rPr>
                <w:rFonts w:hint="default" w:ascii="Times New Roman" w:hAnsi="Times New Roman" w:eastAsia="仿宋_GB2312"/>
                <w:color w:val="000000" w:themeColor="text1"/>
                <w:sz w:val="18"/>
                <w:szCs w:val="18"/>
                <w:lang w:val="en-US" w:eastAsia="zh-CN"/>
              </w:rPr>
            </w:pPr>
            <w:r>
              <w:rPr>
                <w:rFonts w:hint="eastAsia" w:ascii="Times New Roman" w:hAnsi="Times New Roman" w:eastAsia="仿宋_GB2312"/>
                <w:color w:val="000000" w:themeColor="text1"/>
                <w:sz w:val="18"/>
                <w:szCs w:val="18"/>
                <w:lang w:val="en-US" w:eastAsia="zh-CN"/>
              </w:rPr>
              <w:t>8000</w:t>
            </w:r>
          </w:p>
        </w:tc>
        <w:tc>
          <w:tcPr>
            <w:tcW w:w="1770" w:type="dxa"/>
            <w:gridSpan w:val="3"/>
            <w:tcBorders>
              <w:tl2br w:val="nil"/>
              <w:tr2bl w:val="nil"/>
            </w:tcBorders>
            <w:vAlign w:val="center"/>
          </w:tcPr>
          <w:p>
            <w:pPr>
              <w:pStyle w:val="77"/>
              <w:jc w:val="left"/>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土建投资（万元）</w:t>
            </w:r>
          </w:p>
        </w:tc>
        <w:tc>
          <w:tcPr>
            <w:tcW w:w="1480" w:type="dxa"/>
            <w:tcBorders>
              <w:tl2br w:val="nil"/>
              <w:tr2bl w:val="nil"/>
            </w:tcBorders>
            <w:vAlign w:val="center"/>
          </w:tcPr>
          <w:p>
            <w:pPr>
              <w:pStyle w:val="77"/>
              <w:rPr>
                <w:rFonts w:hint="eastAsia" w:ascii="Times New Roman" w:hAnsi="Times New Roman" w:eastAsia="仿宋_GB2312"/>
                <w:color w:val="000000" w:themeColor="text1"/>
                <w:sz w:val="18"/>
                <w:szCs w:val="18"/>
                <w:lang w:eastAsia="zh-CN"/>
              </w:rPr>
            </w:pPr>
            <w:r>
              <w:rPr>
                <w:rFonts w:hint="eastAsia" w:ascii="Times New Roman" w:hAnsi="Times New Roman" w:eastAsia="仿宋_GB2312"/>
                <w:color w:val="000000" w:themeColor="text1"/>
                <w:sz w:val="18"/>
                <w:szCs w:val="18"/>
                <w:highlight w:val="yellow"/>
                <w:lang w:eastAsia="zh-CN"/>
              </w:rPr>
              <w:t>7944.86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00" w:type="dxa"/>
            <w:gridSpan w:val="2"/>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动工时间</w:t>
            </w:r>
          </w:p>
        </w:tc>
        <w:tc>
          <w:tcPr>
            <w:tcW w:w="1219" w:type="dxa"/>
            <w:gridSpan w:val="2"/>
            <w:tcBorders>
              <w:tl2br w:val="nil"/>
              <w:tr2bl w:val="nil"/>
            </w:tcBorders>
            <w:vAlign w:val="center"/>
          </w:tcPr>
          <w:p>
            <w:pPr>
              <w:pStyle w:val="77"/>
              <w:rPr>
                <w:rFonts w:ascii="Times New Roman" w:hAnsi="Times New Roman" w:eastAsia="仿宋_GB2312"/>
                <w:color w:val="000000" w:themeColor="text1"/>
                <w:sz w:val="18"/>
                <w:szCs w:val="18"/>
              </w:rPr>
            </w:pPr>
            <w:r>
              <w:rPr>
                <w:rFonts w:hint="eastAsia" w:ascii="Times New Roman" w:hAnsi="Times New Roman" w:eastAsia="仿宋_GB2312"/>
                <w:color w:val="000000" w:themeColor="text1"/>
                <w:sz w:val="18"/>
                <w:szCs w:val="18"/>
              </w:rPr>
              <w:t>202</w:t>
            </w:r>
            <w:r>
              <w:rPr>
                <w:rFonts w:hint="eastAsia" w:ascii="Times New Roman" w:hAnsi="Times New Roman" w:eastAsia="仿宋_GB2312"/>
                <w:color w:val="000000" w:themeColor="text1"/>
                <w:sz w:val="18"/>
                <w:szCs w:val="18"/>
                <w:lang w:val="en-US" w:eastAsia="zh-CN"/>
              </w:rPr>
              <w:t>1</w:t>
            </w:r>
            <w:r>
              <w:rPr>
                <w:rFonts w:hint="eastAsia" w:ascii="Times New Roman" w:hAnsi="Times New Roman" w:eastAsia="仿宋_GB2312"/>
                <w:color w:val="000000" w:themeColor="text1"/>
                <w:sz w:val="18"/>
                <w:szCs w:val="18"/>
              </w:rPr>
              <w:t>年</w:t>
            </w:r>
            <w:r>
              <w:rPr>
                <w:rFonts w:hint="eastAsia" w:ascii="Times New Roman" w:hAnsi="Times New Roman" w:eastAsia="仿宋_GB2312"/>
                <w:color w:val="000000" w:themeColor="text1"/>
                <w:sz w:val="18"/>
                <w:szCs w:val="18"/>
                <w:lang w:val="en-US" w:eastAsia="zh-CN"/>
              </w:rPr>
              <w:t>9</w:t>
            </w:r>
            <w:r>
              <w:rPr>
                <w:rFonts w:hint="eastAsia" w:ascii="Times New Roman" w:hAnsi="Times New Roman" w:eastAsia="仿宋_GB2312"/>
                <w:color w:val="000000" w:themeColor="text1"/>
                <w:sz w:val="18"/>
                <w:szCs w:val="18"/>
              </w:rPr>
              <w:t>月</w:t>
            </w:r>
          </w:p>
        </w:tc>
        <w:tc>
          <w:tcPr>
            <w:tcW w:w="1953" w:type="dxa"/>
            <w:gridSpan w:val="2"/>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完工时间</w:t>
            </w:r>
          </w:p>
        </w:tc>
        <w:tc>
          <w:tcPr>
            <w:tcW w:w="1349" w:type="dxa"/>
            <w:gridSpan w:val="3"/>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202</w:t>
            </w:r>
            <w:r>
              <w:rPr>
                <w:rFonts w:hint="eastAsia" w:ascii="Times New Roman" w:hAnsi="Times New Roman" w:eastAsia="仿宋_GB2312"/>
                <w:color w:val="000000" w:themeColor="text1"/>
                <w:sz w:val="18"/>
                <w:szCs w:val="18"/>
              </w:rPr>
              <w:t>3</w:t>
            </w:r>
            <w:r>
              <w:rPr>
                <w:rFonts w:ascii="Times New Roman" w:hAnsi="Times New Roman" w:eastAsia="仿宋_GB2312"/>
                <w:color w:val="000000" w:themeColor="text1"/>
                <w:sz w:val="18"/>
                <w:szCs w:val="18"/>
              </w:rPr>
              <w:t>年</w:t>
            </w:r>
            <w:r>
              <w:rPr>
                <w:rFonts w:hint="eastAsia" w:ascii="Times New Roman" w:hAnsi="Times New Roman" w:eastAsia="仿宋_GB2312"/>
                <w:color w:val="000000" w:themeColor="text1"/>
                <w:sz w:val="18"/>
                <w:szCs w:val="18"/>
                <w:lang w:val="en-US" w:eastAsia="zh-CN"/>
              </w:rPr>
              <w:t>8</w:t>
            </w:r>
            <w:r>
              <w:rPr>
                <w:rFonts w:ascii="Times New Roman" w:hAnsi="Times New Roman" w:eastAsia="仿宋_GB2312"/>
                <w:color w:val="000000" w:themeColor="text1"/>
                <w:sz w:val="18"/>
                <w:szCs w:val="18"/>
              </w:rPr>
              <w:t>月</w:t>
            </w:r>
          </w:p>
        </w:tc>
        <w:tc>
          <w:tcPr>
            <w:tcW w:w="1770" w:type="dxa"/>
            <w:gridSpan w:val="3"/>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设计水平年</w:t>
            </w:r>
          </w:p>
        </w:tc>
        <w:tc>
          <w:tcPr>
            <w:tcW w:w="1480" w:type="dxa"/>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202</w:t>
            </w:r>
            <w:r>
              <w:rPr>
                <w:rFonts w:hint="eastAsia" w:ascii="Times New Roman" w:hAnsi="Times New Roman" w:eastAsia="仿宋_GB2312"/>
                <w:color w:val="000000" w:themeColor="text1"/>
                <w:sz w:val="18"/>
                <w:szCs w:val="18"/>
              </w:rPr>
              <w:t>4</w:t>
            </w:r>
            <w:r>
              <w:rPr>
                <w:rFonts w:ascii="Times New Roman" w:hAnsi="Times New Roman" w:eastAsia="仿宋_GB2312"/>
                <w:color w:val="000000" w:themeColor="text1"/>
                <w:sz w:val="18"/>
                <w:szCs w:val="18"/>
              </w:rPr>
              <w:t>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00" w:type="dxa"/>
            <w:gridSpan w:val="2"/>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工程占地（hm</w:t>
            </w:r>
            <w:r>
              <w:rPr>
                <w:rFonts w:ascii="Times New Roman" w:hAnsi="Times New Roman" w:eastAsia="仿宋_GB2312"/>
                <w:color w:val="000000" w:themeColor="text1"/>
                <w:sz w:val="18"/>
                <w:szCs w:val="18"/>
                <w:vertAlign w:val="superscript"/>
              </w:rPr>
              <w:t>2</w:t>
            </w:r>
            <w:r>
              <w:rPr>
                <w:rFonts w:ascii="Times New Roman" w:hAnsi="Times New Roman" w:eastAsia="仿宋_GB2312"/>
                <w:color w:val="000000" w:themeColor="text1"/>
                <w:sz w:val="18"/>
                <w:szCs w:val="18"/>
              </w:rPr>
              <w:t>）</w:t>
            </w:r>
          </w:p>
        </w:tc>
        <w:tc>
          <w:tcPr>
            <w:tcW w:w="1219" w:type="dxa"/>
            <w:gridSpan w:val="2"/>
            <w:tcBorders>
              <w:tl2br w:val="nil"/>
              <w:tr2bl w:val="nil"/>
            </w:tcBorders>
            <w:vAlign w:val="center"/>
          </w:tcPr>
          <w:p>
            <w:pPr>
              <w:pStyle w:val="77"/>
              <w:rPr>
                <w:rFonts w:hint="default" w:ascii="Times New Roman" w:hAnsi="Times New Roman" w:eastAsia="仿宋_GB2312"/>
                <w:color w:val="000000" w:themeColor="text1"/>
                <w:sz w:val="18"/>
                <w:szCs w:val="18"/>
                <w:lang w:val="en-US" w:eastAsia="zh-CN"/>
              </w:rPr>
            </w:pPr>
            <w:r>
              <w:rPr>
                <w:rFonts w:hint="eastAsia" w:ascii="Times New Roman" w:hAnsi="Times New Roman" w:eastAsia="仿宋_GB2312"/>
                <w:color w:val="000000" w:themeColor="text1"/>
                <w:sz w:val="18"/>
                <w:szCs w:val="18"/>
                <w:lang w:val="en-US" w:eastAsia="zh-CN"/>
              </w:rPr>
              <w:t>1.30</w:t>
            </w:r>
          </w:p>
        </w:tc>
        <w:tc>
          <w:tcPr>
            <w:tcW w:w="1953" w:type="dxa"/>
            <w:gridSpan w:val="2"/>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永久占地（hm</w:t>
            </w:r>
            <w:r>
              <w:rPr>
                <w:rFonts w:ascii="Times New Roman" w:hAnsi="Times New Roman" w:eastAsia="仿宋_GB2312"/>
                <w:color w:val="000000" w:themeColor="text1"/>
                <w:sz w:val="18"/>
                <w:szCs w:val="18"/>
                <w:vertAlign w:val="superscript"/>
              </w:rPr>
              <w:t>2</w:t>
            </w:r>
            <w:r>
              <w:rPr>
                <w:rFonts w:ascii="Times New Roman" w:hAnsi="Times New Roman" w:eastAsia="仿宋_GB2312"/>
                <w:color w:val="000000" w:themeColor="text1"/>
                <w:sz w:val="18"/>
                <w:szCs w:val="18"/>
              </w:rPr>
              <w:t>）</w:t>
            </w:r>
          </w:p>
        </w:tc>
        <w:tc>
          <w:tcPr>
            <w:tcW w:w="944" w:type="dxa"/>
            <w:gridSpan w:val="2"/>
            <w:tcBorders>
              <w:tl2br w:val="nil"/>
              <w:tr2bl w:val="nil"/>
            </w:tcBorders>
            <w:vAlign w:val="center"/>
          </w:tcPr>
          <w:p>
            <w:pPr>
              <w:pStyle w:val="77"/>
              <w:rPr>
                <w:rFonts w:hint="default" w:ascii="Times New Roman" w:hAnsi="Times New Roman" w:eastAsia="仿宋_GB2312"/>
                <w:color w:val="000000" w:themeColor="text1"/>
                <w:sz w:val="18"/>
                <w:szCs w:val="18"/>
                <w:lang w:val="en-US" w:eastAsia="zh-CN"/>
              </w:rPr>
            </w:pPr>
            <w:r>
              <w:rPr>
                <w:rFonts w:hint="eastAsia" w:ascii="Times New Roman" w:hAnsi="Times New Roman" w:eastAsia="仿宋_GB2312"/>
                <w:color w:val="000000" w:themeColor="text1"/>
                <w:sz w:val="18"/>
                <w:szCs w:val="18"/>
                <w:lang w:val="en-US" w:eastAsia="zh-CN"/>
              </w:rPr>
              <w:t>1.30</w:t>
            </w:r>
          </w:p>
        </w:tc>
        <w:tc>
          <w:tcPr>
            <w:tcW w:w="1740" w:type="dxa"/>
            <w:gridSpan w:val="3"/>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临时占地（hm</w:t>
            </w:r>
            <w:r>
              <w:rPr>
                <w:rFonts w:ascii="Times New Roman" w:hAnsi="Times New Roman" w:eastAsia="仿宋_GB2312"/>
                <w:color w:val="000000" w:themeColor="text1"/>
                <w:sz w:val="18"/>
                <w:szCs w:val="18"/>
                <w:vertAlign w:val="superscript"/>
              </w:rPr>
              <w:t>2</w:t>
            </w:r>
            <w:r>
              <w:rPr>
                <w:rFonts w:ascii="Times New Roman" w:hAnsi="Times New Roman" w:eastAsia="仿宋_GB2312"/>
                <w:color w:val="000000" w:themeColor="text1"/>
                <w:sz w:val="18"/>
                <w:szCs w:val="18"/>
              </w:rPr>
              <w:t>）</w:t>
            </w:r>
          </w:p>
        </w:tc>
        <w:tc>
          <w:tcPr>
            <w:tcW w:w="1915" w:type="dxa"/>
            <w:gridSpan w:val="2"/>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19" w:type="dxa"/>
            <w:gridSpan w:val="4"/>
            <w:vMerge w:val="restart"/>
            <w:tcBorders>
              <w:tl2br w:val="nil"/>
              <w:tr2bl w:val="nil"/>
            </w:tcBorders>
            <w:vAlign w:val="center"/>
          </w:tcPr>
          <w:p>
            <w:pPr>
              <w:pStyle w:val="77"/>
              <w:widowControl w:val="0"/>
              <w:adjustRightInd w:val="0"/>
              <w:snapToGrid w:val="0"/>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土石方量（万m³）</w:t>
            </w:r>
          </w:p>
        </w:tc>
        <w:tc>
          <w:tcPr>
            <w:tcW w:w="1953" w:type="dxa"/>
            <w:gridSpan w:val="2"/>
            <w:tcBorders>
              <w:tl2br w:val="nil"/>
              <w:tr2bl w:val="nil"/>
            </w:tcBorders>
            <w:vAlign w:val="center"/>
          </w:tcPr>
          <w:p>
            <w:pPr>
              <w:widowControl/>
              <w:spacing w:line="240" w:lineRule="auto"/>
              <w:jc w:val="center"/>
              <w:rPr>
                <w:rFonts w:eastAsia="仿宋_GB2312"/>
                <w:color w:val="000000" w:themeColor="text1"/>
                <w:sz w:val="18"/>
                <w:szCs w:val="18"/>
              </w:rPr>
            </w:pPr>
            <w:r>
              <w:rPr>
                <w:rFonts w:eastAsia="仿宋_GB2312"/>
                <w:color w:val="000000" w:themeColor="text1"/>
                <w:sz w:val="18"/>
                <w:szCs w:val="18"/>
              </w:rPr>
              <w:t>挖方</w:t>
            </w:r>
          </w:p>
        </w:tc>
        <w:tc>
          <w:tcPr>
            <w:tcW w:w="944" w:type="dxa"/>
            <w:gridSpan w:val="2"/>
            <w:tcBorders>
              <w:tl2br w:val="nil"/>
              <w:tr2bl w:val="nil"/>
            </w:tcBorders>
            <w:vAlign w:val="center"/>
          </w:tcPr>
          <w:p>
            <w:pPr>
              <w:widowControl/>
              <w:spacing w:line="240" w:lineRule="auto"/>
              <w:jc w:val="center"/>
              <w:rPr>
                <w:rFonts w:eastAsia="仿宋_GB2312"/>
                <w:color w:val="000000" w:themeColor="text1"/>
                <w:sz w:val="18"/>
                <w:szCs w:val="18"/>
              </w:rPr>
            </w:pPr>
            <w:r>
              <w:rPr>
                <w:rFonts w:eastAsia="仿宋_GB2312"/>
                <w:color w:val="000000" w:themeColor="text1"/>
                <w:sz w:val="18"/>
                <w:szCs w:val="18"/>
              </w:rPr>
              <w:t>填方</w:t>
            </w:r>
          </w:p>
        </w:tc>
        <w:tc>
          <w:tcPr>
            <w:tcW w:w="1740" w:type="dxa"/>
            <w:gridSpan w:val="3"/>
            <w:tcBorders>
              <w:tl2br w:val="nil"/>
              <w:tr2bl w:val="nil"/>
            </w:tcBorders>
            <w:vAlign w:val="center"/>
          </w:tcPr>
          <w:p>
            <w:pPr>
              <w:widowControl/>
              <w:spacing w:line="240" w:lineRule="auto"/>
              <w:jc w:val="center"/>
              <w:rPr>
                <w:rFonts w:eastAsia="仿宋_GB2312"/>
                <w:color w:val="000000" w:themeColor="text1"/>
                <w:sz w:val="18"/>
                <w:szCs w:val="18"/>
              </w:rPr>
            </w:pPr>
            <w:r>
              <w:rPr>
                <w:rFonts w:eastAsia="仿宋_GB2312"/>
                <w:color w:val="000000" w:themeColor="text1"/>
                <w:sz w:val="18"/>
                <w:szCs w:val="18"/>
              </w:rPr>
              <w:t>借方</w:t>
            </w:r>
          </w:p>
        </w:tc>
        <w:tc>
          <w:tcPr>
            <w:tcW w:w="1915" w:type="dxa"/>
            <w:gridSpan w:val="2"/>
            <w:tcBorders>
              <w:tl2br w:val="nil"/>
              <w:tr2bl w:val="nil"/>
            </w:tcBorders>
            <w:vAlign w:val="center"/>
          </w:tcPr>
          <w:p>
            <w:pPr>
              <w:widowControl/>
              <w:spacing w:line="240" w:lineRule="auto"/>
              <w:jc w:val="center"/>
              <w:rPr>
                <w:rFonts w:eastAsia="仿宋_GB2312"/>
                <w:color w:val="000000" w:themeColor="text1"/>
                <w:sz w:val="18"/>
                <w:szCs w:val="18"/>
              </w:rPr>
            </w:pPr>
            <w:r>
              <w:rPr>
                <w:rFonts w:eastAsia="仿宋_GB2312"/>
                <w:color w:val="000000" w:themeColor="text1"/>
                <w:sz w:val="18"/>
                <w:szCs w:val="18"/>
              </w:rPr>
              <w:t>余（弃）方</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19" w:type="dxa"/>
            <w:gridSpan w:val="4"/>
            <w:vMerge w:val="continue"/>
            <w:tcBorders>
              <w:tl2br w:val="nil"/>
              <w:tr2bl w:val="nil"/>
            </w:tcBorders>
            <w:vAlign w:val="center"/>
          </w:tcPr>
          <w:p>
            <w:pPr>
              <w:pStyle w:val="77"/>
              <w:widowControl w:val="0"/>
              <w:adjustRightInd w:val="0"/>
              <w:snapToGrid w:val="0"/>
              <w:rPr>
                <w:rFonts w:ascii="Times New Roman" w:hAnsi="Times New Roman" w:eastAsia="仿宋_GB2312"/>
                <w:color w:val="000000" w:themeColor="text1"/>
                <w:sz w:val="18"/>
                <w:szCs w:val="18"/>
              </w:rPr>
            </w:pPr>
          </w:p>
        </w:tc>
        <w:tc>
          <w:tcPr>
            <w:tcW w:w="1953" w:type="dxa"/>
            <w:gridSpan w:val="2"/>
            <w:tcBorders>
              <w:tl2br w:val="nil"/>
              <w:tr2bl w:val="nil"/>
            </w:tcBorders>
            <w:vAlign w:val="center"/>
          </w:tcPr>
          <w:p>
            <w:pPr>
              <w:adjustRightInd/>
              <w:spacing w:line="240" w:lineRule="auto"/>
              <w:jc w:val="center"/>
              <w:textAlignment w:val="auto"/>
              <w:rPr>
                <w:rFonts w:hint="default" w:eastAsia="仿宋_GB2312"/>
                <w:color w:val="000000" w:themeColor="text1"/>
                <w:sz w:val="18"/>
                <w:szCs w:val="18"/>
                <w:highlight w:val="none"/>
                <w:lang w:val="en-US" w:eastAsia="zh-CN"/>
              </w:rPr>
            </w:pPr>
            <w:r>
              <w:rPr>
                <w:rFonts w:hint="eastAsia" w:eastAsia="仿宋_GB2312"/>
                <w:color w:val="000000" w:themeColor="text1"/>
                <w:sz w:val="18"/>
                <w:szCs w:val="18"/>
                <w:highlight w:val="none"/>
                <w:lang w:val="en-US" w:eastAsia="zh-CN"/>
              </w:rPr>
              <w:t>0.49</w:t>
            </w:r>
          </w:p>
        </w:tc>
        <w:tc>
          <w:tcPr>
            <w:tcW w:w="944" w:type="dxa"/>
            <w:gridSpan w:val="2"/>
            <w:tcBorders>
              <w:tl2br w:val="nil"/>
              <w:tr2bl w:val="nil"/>
            </w:tcBorders>
            <w:vAlign w:val="center"/>
          </w:tcPr>
          <w:p>
            <w:pPr>
              <w:adjustRightInd/>
              <w:spacing w:line="240" w:lineRule="auto"/>
              <w:jc w:val="center"/>
              <w:textAlignment w:val="auto"/>
              <w:rPr>
                <w:rFonts w:hint="default" w:eastAsia="仿宋_GB2312"/>
                <w:color w:val="000000" w:themeColor="text1"/>
                <w:sz w:val="18"/>
                <w:szCs w:val="18"/>
                <w:highlight w:val="none"/>
                <w:lang w:val="en-US" w:eastAsia="zh-CN"/>
              </w:rPr>
            </w:pPr>
            <w:r>
              <w:rPr>
                <w:rFonts w:hint="eastAsia" w:eastAsia="仿宋_GB2312"/>
                <w:color w:val="000000" w:themeColor="text1"/>
                <w:sz w:val="18"/>
                <w:szCs w:val="18"/>
                <w:highlight w:val="none"/>
                <w:lang w:val="en-US" w:eastAsia="zh-CN"/>
              </w:rPr>
              <w:t>0.53</w:t>
            </w:r>
          </w:p>
        </w:tc>
        <w:tc>
          <w:tcPr>
            <w:tcW w:w="1740" w:type="dxa"/>
            <w:gridSpan w:val="3"/>
            <w:tcBorders>
              <w:tl2br w:val="nil"/>
              <w:tr2bl w:val="nil"/>
            </w:tcBorders>
            <w:vAlign w:val="center"/>
          </w:tcPr>
          <w:p>
            <w:pPr>
              <w:adjustRightInd/>
              <w:spacing w:line="240" w:lineRule="auto"/>
              <w:jc w:val="center"/>
              <w:textAlignment w:val="auto"/>
              <w:rPr>
                <w:rFonts w:hint="default" w:eastAsia="仿宋_GB2312"/>
                <w:color w:val="000000" w:themeColor="text1"/>
                <w:sz w:val="18"/>
                <w:szCs w:val="18"/>
                <w:lang w:val="en-US" w:eastAsia="zh-CN"/>
              </w:rPr>
            </w:pPr>
            <w:r>
              <w:rPr>
                <w:rFonts w:hint="eastAsia" w:eastAsia="仿宋_GB2312"/>
                <w:color w:val="000000" w:themeColor="text1"/>
                <w:sz w:val="18"/>
                <w:szCs w:val="18"/>
              </w:rPr>
              <w:t>0.</w:t>
            </w:r>
            <w:r>
              <w:rPr>
                <w:rFonts w:hint="eastAsia" w:eastAsia="仿宋_GB2312"/>
                <w:color w:val="000000" w:themeColor="text1"/>
                <w:sz w:val="18"/>
                <w:szCs w:val="18"/>
                <w:lang w:val="en-US" w:eastAsia="zh-CN"/>
              </w:rPr>
              <w:t>04</w:t>
            </w:r>
          </w:p>
        </w:tc>
        <w:tc>
          <w:tcPr>
            <w:tcW w:w="1915" w:type="dxa"/>
            <w:gridSpan w:val="2"/>
            <w:tcBorders>
              <w:tl2br w:val="nil"/>
              <w:tr2bl w:val="nil"/>
            </w:tcBorders>
            <w:vAlign w:val="center"/>
          </w:tcPr>
          <w:p>
            <w:pPr>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19" w:type="dxa"/>
            <w:gridSpan w:val="4"/>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重点防治区名称</w:t>
            </w:r>
          </w:p>
        </w:tc>
        <w:tc>
          <w:tcPr>
            <w:tcW w:w="6552" w:type="dxa"/>
            <w:gridSpan w:val="9"/>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19" w:type="dxa"/>
            <w:gridSpan w:val="4"/>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地貌类型</w:t>
            </w:r>
          </w:p>
        </w:tc>
        <w:tc>
          <w:tcPr>
            <w:tcW w:w="1953" w:type="dxa"/>
            <w:gridSpan w:val="2"/>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平原</w:t>
            </w:r>
          </w:p>
        </w:tc>
        <w:tc>
          <w:tcPr>
            <w:tcW w:w="2684" w:type="dxa"/>
            <w:gridSpan w:val="5"/>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水土保持区划</w:t>
            </w:r>
          </w:p>
        </w:tc>
        <w:tc>
          <w:tcPr>
            <w:tcW w:w="1915" w:type="dxa"/>
            <w:gridSpan w:val="2"/>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东北黑土区</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19" w:type="dxa"/>
            <w:gridSpan w:val="4"/>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土壤侵蚀类型</w:t>
            </w:r>
          </w:p>
        </w:tc>
        <w:tc>
          <w:tcPr>
            <w:tcW w:w="1953" w:type="dxa"/>
            <w:gridSpan w:val="2"/>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水力侵蚀</w:t>
            </w:r>
            <w:r>
              <w:rPr>
                <w:rFonts w:hint="eastAsia" w:ascii="Times New Roman" w:hAnsi="Times New Roman" w:eastAsia="仿宋_GB2312"/>
                <w:color w:val="000000" w:themeColor="text1"/>
                <w:sz w:val="18"/>
                <w:szCs w:val="18"/>
              </w:rPr>
              <w:t>为主</w:t>
            </w:r>
          </w:p>
        </w:tc>
        <w:tc>
          <w:tcPr>
            <w:tcW w:w="2684" w:type="dxa"/>
            <w:gridSpan w:val="5"/>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土壤侵蚀强度</w:t>
            </w:r>
          </w:p>
        </w:tc>
        <w:tc>
          <w:tcPr>
            <w:tcW w:w="1915" w:type="dxa"/>
            <w:gridSpan w:val="2"/>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轻度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19" w:type="dxa"/>
            <w:gridSpan w:val="4"/>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防治责任范围面积（hm²）</w:t>
            </w:r>
          </w:p>
        </w:tc>
        <w:tc>
          <w:tcPr>
            <w:tcW w:w="1953" w:type="dxa"/>
            <w:gridSpan w:val="2"/>
            <w:tcBorders>
              <w:tl2br w:val="nil"/>
              <w:tr2bl w:val="nil"/>
            </w:tcBorders>
            <w:vAlign w:val="center"/>
          </w:tcPr>
          <w:p>
            <w:pPr>
              <w:pStyle w:val="77"/>
              <w:rPr>
                <w:rFonts w:hint="default" w:ascii="Times New Roman" w:hAnsi="Times New Roman" w:eastAsia="仿宋_GB2312"/>
                <w:color w:val="000000" w:themeColor="text1"/>
                <w:sz w:val="18"/>
                <w:szCs w:val="18"/>
                <w:highlight w:val="cyan"/>
                <w:lang w:val="en-US" w:eastAsia="zh-CN"/>
              </w:rPr>
            </w:pPr>
            <w:r>
              <w:rPr>
                <w:rFonts w:hint="eastAsia" w:ascii="Times New Roman" w:hAnsi="Times New Roman" w:eastAsia="仿宋_GB2312"/>
                <w:color w:val="000000" w:themeColor="text1"/>
                <w:sz w:val="18"/>
                <w:szCs w:val="18"/>
                <w:lang w:val="en-US" w:eastAsia="zh-CN"/>
              </w:rPr>
              <w:t>1.30</w:t>
            </w:r>
          </w:p>
        </w:tc>
        <w:tc>
          <w:tcPr>
            <w:tcW w:w="2684" w:type="dxa"/>
            <w:gridSpan w:val="5"/>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容许土壤流失量[t/km</w:t>
            </w:r>
            <w:r>
              <w:rPr>
                <w:rFonts w:ascii="Times New Roman" w:hAnsi="Times New Roman" w:eastAsia="仿宋_GB2312"/>
                <w:color w:val="000000" w:themeColor="text1"/>
                <w:sz w:val="18"/>
                <w:szCs w:val="18"/>
                <w:vertAlign w:val="superscript"/>
              </w:rPr>
              <w:t>2</w:t>
            </w:r>
            <w:r>
              <w:rPr>
                <w:rFonts w:ascii="Times New Roman" w:hAnsi="Times New Roman" w:eastAsia="仿宋_GB2312"/>
                <w:color w:val="000000" w:themeColor="text1"/>
                <w:sz w:val="18"/>
                <w:szCs w:val="18"/>
              </w:rPr>
              <w:t>·a]</w:t>
            </w:r>
          </w:p>
        </w:tc>
        <w:tc>
          <w:tcPr>
            <w:tcW w:w="1915" w:type="dxa"/>
            <w:gridSpan w:val="2"/>
            <w:tcBorders>
              <w:tl2br w:val="nil"/>
              <w:tr2bl w:val="nil"/>
            </w:tcBorders>
            <w:vAlign w:val="center"/>
          </w:tcPr>
          <w:p>
            <w:pPr>
              <w:pStyle w:val="77"/>
              <w:rPr>
                <w:rFonts w:ascii="Times New Roman" w:hAnsi="Times New Roman" w:eastAsia="仿宋_GB2312"/>
                <w:color w:val="000000" w:themeColor="text1"/>
                <w:sz w:val="18"/>
                <w:szCs w:val="18"/>
                <w:highlight w:val="cyan"/>
              </w:rPr>
            </w:pPr>
            <w:r>
              <w:rPr>
                <w:rFonts w:ascii="Times New Roman" w:hAnsi="Times New Roman" w:eastAsia="仿宋_GB2312"/>
                <w:color w:val="000000" w:themeColor="text1"/>
                <w:sz w:val="18"/>
                <w:szCs w:val="18"/>
              </w:rPr>
              <w:t>200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19" w:type="dxa"/>
            <w:gridSpan w:val="4"/>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土壤流失预测总量（t）</w:t>
            </w:r>
          </w:p>
        </w:tc>
        <w:tc>
          <w:tcPr>
            <w:tcW w:w="1953" w:type="dxa"/>
            <w:gridSpan w:val="2"/>
            <w:tcBorders>
              <w:tl2br w:val="nil"/>
              <w:tr2bl w:val="nil"/>
            </w:tcBorders>
            <w:vAlign w:val="center"/>
          </w:tcPr>
          <w:p>
            <w:pPr>
              <w:pStyle w:val="77"/>
              <w:rPr>
                <w:rFonts w:hint="eastAsia" w:ascii="Times New Roman" w:hAnsi="Times New Roman" w:eastAsia="仿宋_GB2312"/>
                <w:color w:val="000000" w:themeColor="text1"/>
                <w:sz w:val="18"/>
                <w:szCs w:val="18"/>
                <w:lang w:eastAsia="zh-CN"/>
              </w:rPr>
            </w:pPr>
            <w:r>
              <w:rPr>
                <w:rFonts w:hint="eastAsia" w:ascii="Times New Roman" w:hAnsi="Times New Roman" w:eastAsia="仿宋_GB2312"/>
                <w:color w:val="000000" w:themeColor="text1"/>
                <w:sz w:val="18"/>
                <w:szCs w:val="18"/>
                <w:highlight w:val="none"/>
                <w:lang w:eastAsia="zh-CN"/>
              </w:rPr>
              <w:t>84.54</w:t>
            </w:r>
          </w:p>
        </w:tc>
        <w:tc>
          <w:tcPr>
            <w:tcW w:w="2684" w:type="dxa"/>
            <w:gridSpan w:val="5"/>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新增土壤流失量（t）</w:t>
            </w:r>
          </w:p>
        </w:tc>
        <w:tc>
          <w:tcPr>
            <w:tcW w:w="1915" w:type="dxa"/>
            <w:gridSpan w:val="2"/>
            <w:tcBorders>
              <w:tl2br w:val="nil"/>
              <w:tr2bl w:val="nil"/>
            </w:tcBorders>
            <w:vAlign w:val="center"/>
          </w:tcPr>
          <w:p>
            <w:pPr>
              <w:pStyle w:val="77"/>
              <w:rPr>
                <w:rFonts w:hint="eastAsia" w:ascii="Times New Roman" w:hAnsi="Times New Roman" w:eastAsia="仿宋_GB2312"/>
                <w:color w:val="000000" w:themeColor="text1"/>
                <w:sz w:val="18"/>
                <w:szCs w:val="18"/>
                <w:lang w:eastAsia="zh-CN"/>
              </w:rPr>
            </w:pPr>
            <w:r>
              <w:rPr>
                <w:rFonts w:hint="eastAsia" w:ascii="Times New Roman" w:hAnsi="Times New Roman" w:eastAsia="仿宋_GB2312"/>
                <w:color w:val="000000" w:themeColor="text1"/>
                <w:sz w:val="18"/>
                <w:szCs w:val="18"/>
                <w:highlight w:val="none"/>
                <w:lang w:eastAsia="zh-CN"/>
              </w:rPr>
              <w:t>75.58</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519" w:type="dxa"/>
            <w:gridSpan w:val="4"/>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水土流失防治标准执行等级</w:t>
            </w:r>
          </w:p>
        </w:tc>
        <w:tc>
          <w:tcPr>
            <w:tcW w:w="6552" w:type="dxa"/>
            <w:gridSpan w:val="9"/>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东北黑土区水土流失防治一级标准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75" w:type="dxa"/>
            <w:vMerge w:val="restart"/>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防治指标</w:t>
            </w:r>
          </w:p>
        </w:tc>
        <w:tc>
          <w:tcPr>
            <w:tcW w:w="2044" w:type="dxa"/>
            <w:gridSpan w:val="3"/>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水土流失治理度（％）</w:t>
            </w:r>
          </w:p>
        </w:tc>
        <w:tc>
          <w:tcPr>
            <w:tcW w:w="1953" w:type="dxa"/>
            <w:gridSpan w:val="2"/>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97</w:t>
            </w:r>
          </w:p>
        </w:tc>
        <w:tc>
          <w:tcPr>
            <w:tcW w:w="2368" w:type="dxa"/>
            <w:gridSpan w:val="4"/>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土壤流失控制比</w:t>
            </w:r>
          </w:p>
        </w:tc>
        <w:tc>
          <w:tcPr>
            <w:tcW w:w="2231" w:type="dxa"/>
            <w:gridSpan w:val="3"/>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1.0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75" w:type="dxa"/>
            <w:vMerge w:val="continue"/>
            <w:tcBorders>
              <w:tl2br w:val="nil"/>
              <w:tr2bl w:val="nil"/>
            </w:tcBorders>
            <w:vAlign w:val="center"/>
          </w:tcPr>
          <w:p>
            <w:pPr>
              <w:pStyle w:val="77"/>
              <w:rPr>
                <w:rFonts w:ascii="Times New Roman" w:hAnsi="Times New Roman" w:eastAsia="仿宋_GB2312"/>
                <w:color w:val="000000" w:themeColor="text1"/>
                <w:sz w:val="18"/>
                <w:szCs w:val="18"/>
              </w:rPr>
            </w:pPr>
          </w:p>
        </w:tc>
        <w:tc>
          <w:tcPr>
            <w:tcW w:w="2044" w:type="dxa"/>
            <w:gridSpan w:val="3"/>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渣土防护率（％）</w:t>
            </w:r>
          </w:p>
        </w:tc>
        <w:tc>
          <w:tcPr>
            <w:tcW w:w="1953" w:type="dxa"/>
            <w:gridSpan w:val="2"/>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98</w:t>
            </w:r>
          </w:p>
        </w:tc>
        <w:tc>
          <w:tcPr>
            <w:tcW w:w="2368" w:type="dxa"/>
            <w:gridSpan w:val="4"/>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表土保护率（％）</w:t>
            </w:r>
          </w:p>
        </w:tc>
        <w:tc>
          <w:tcPr>
            <w:tcW w:w="2231" w:type="dxa"/>
            <w:gridSpan w:val="3"/>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75" w:type="dxa"/>
            <w:vMerge w:val="continue"/>
            <w:tcBorders>
              <w:tl2br w:val="nil"/>
              <w:tr2bl w:val="nil"/>
            </w:tcBorders>
            <w:vAlign w:val="center"/>
          </w:tcPr>
          <w:p>
            <w:pPr>
              <w:pStyle w:val="77"/>
              <w:rPr>
                <w:rFonts w:ascii="Times New Roman" w:hAnsi="Times New Roman" w:eastAsia="仿宋_GB2312"/>
                <w:color w:val="000000" w:themeColor="text1"/>
                <w:sz w:val="18"/>
                <w:szCs w:val="18"/>
              </w:rPr>
            </w:pPr>
          </w:p>
        </w:tc>
        <w:tc>
          <w:tcPr>
            <w:tcW w:w="2044" w:type="dxa"/>
            <w:gridSpan w:val="3"/>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林草植被恢复率（％）</w:t>
            </w:r>
          </w:p>
        </w:tc>
        <w:tc>
          <w:tcPr>
            <w:tcW w:w="1953" w:type="dxa"/>
            <w:gridSpan w:val="2"/>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97</w:t>
            </w:r>
          </w:p>
        </w:tc>
        <w:tc>
          <w:tcPr>
            <w:tcW w:w="2368" w:type="dxa"/>
            <w:gridSpan w:val="4"/>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林草覆盖率（％）</w:t>
            </w:r>
          </w:p>
        </w:tc>
        <w:tc>
          <w:tcPr>
            <w:tcW w:w="2231" w:type="dxa"/>
            <w:gridSpan w:val="3"/>
            <w:tcBorders>
              <w:tl2br w:val="nil"/>
              <w:tr2bl w:val="nil"/>
            </w:tcBorders>
            <w:vAlign w:val="center"/>
          </w:tcPr>
          <w:p>
            <w:pPr>
              <w:pStyle w:val="77"/>
              <w:rPr>
                <w:rFonts w:hint="default" w:ascii="Times New Roman" w:hAnsi="Times New Roman" w:eastAsia="仿宋_GB2312"/>
                <w:color w:val="000000" w:themeColor="text1"/>
                <w:sz w:val="18"/>
                <w:szCs w:val="18"/>
                <w:lang w:val="en-US" w:eastAsia="zh-CN"/>
              </w:rPr>
            </w:pPr>
            <w:r>
              <w:rPr>
                <w:rFonts w:hint="eastAsia" w:ascii="Times New Roman" w:hAnsi="Times New Roman" w:eastAsia="仿宋_GB2312"/>
                <w:color w:val="000000" w:themeColor="text1"/>
                <w:sz w:val="18"/>
                <w:szCs w:val="18"/>
                <w:lang w:val="en-US" w:eastAsia="zh-CN"/>
              </w:rPr>
              <w:t>26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36" w:type="dxa"/>
            <w:gridSpan w:val="3"/>
            <w:vMerge w:val="restart"/>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防治措施</w:t>
            </w:r>
          </w:p>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及工程量</w:t>
            </w:r>
          </w:p>
        </w:tc>
        <w:tc>
          <w:tcPr>
            <w:tcW w:w="2936" w:type="dxa"/>
            <w:gridSpan w:val="3"/>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工程措施</w:t>
            </w:r>
          </w:p>
        </w:tc>
        <w:tc>
          <w:tcPr>
            <w:tcW w:w="2368" w:type="dxa"/>
            <w:gridSpan w:val="4"/>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植物措施</w:t>
            </w:r>
          </w:p>
        </w:tc>
        <w:tc>
          <w:tcPr>
            <w:tcW w:w="2231" w:type="dxa"/>
            <w:gridSpan w:val="3"/>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临时措施</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36" w:type="dxa"/>
            <w:gridSpan w:val="3"/>
            <w:vMerge w:val="continue"/>
            <w:tcBorders>
              <w:tl2br w:val="nil"/>
              <w:tr2bl w:val="nil"/>
            </w:tcBorders>
            <w:vAlign w:val="center"/>
          </w:tcPr>
          <w:p>
            <w:pPr>
              <w:pStyle w:val="77"/>
              <w:widowControl w:val="0"/>
              <w:adjustRightInd w:val="0"/>
              <w:snapToGrid w:val="0"/>
              <w:rPr>
                <w:rFonts w:ascii="Times New Roman" w:hAnsi="Times New Roman" w:eastAsia="仿宋_GB2312"/>
                <w:color w:val="000000" w:themeColor="text1"/>
                <w:sz w:val="18"/>
                <w:szCs w:val="18"/>
                <w:highlight w:val="cyan"/>
              </w:rPr>
            </w:pPr>
          </w:p>
        </w:tc>
        <w:tc>
          <w:tcPr>
            <w:tcW w:w="2936" w:type="dxa"/>
            <w:gridSpan w:val="3"/>
            <w:tcBorders>
              <w:tl2br w:val="nil"/>
              <w:tr2bl w:val="nil"/>
            </w:tcBorders>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雨水管线</w:t>
            </w:r>
            <w:r>
              <w:rPr>
                <w:rFonts w:hint="eastAsia" w:eastAsia="仿宋_GB2312"/>
                <w:color w:val="000000" w:themeColor="text1"/>
                <w:sz w:val="18"/>
                <w:szCs w:val="18"/>
              </w:rPr>
              <w:t>4</w:t>
            </w:r>
            <w:r>
              <w:rPr>
                <w:rFonts w:hint="eastAsia" w:eastAsia="仿宋_GB2312"/>
                <w:color w:val="000000" w:themeColor="text1"/>
                <w:sz w:val="18"/>
                <w:szCs w:val="18"/>
                <w:lang w:val="en-US" w:eastAsia="zh-CN"/>
              </w:rPr>
              <w:t>11</w:t>
            </w:r>
            <w:r>
              <w:rPr>
                <w:rFonts w:hint="eastAsia" w:eastAsia="仿宋_GB2312"/>
                <w:color w:val="000000" w:themeColor="text1"/>
                <w:sz w:val="18"/>
                <w:szCs w:val="18"/>
              </w:rPr>
              <w:t>m</w:t>
            </w:r>
            <w:r>
              <w:rPr>
                <w:rFonts w:eastAsia="仿宋_GB2312"/>
                <w:color w:val="000000" w:themeColor="text1"/>
                <w:sz w:val="18"/>
                <w:szCs w:val="18"/>
              </w:rPr>
              <w:t>，</w:t>
            </w:r>
          </w:p>
          <w:p>
            <w:pPr>
              <w:spacing w:line="240" w:lineRule="auto"/>
              <w:jc w:val="center"/>
              <w:rPr>
                <w:rFonts w:eastAsia="仿宋_GB2312"/>
                <w:color w:val="000000" w:themeColor="text1"/>
                <w:sz w:val="18"/>
                <w:szCs w:val="18"/>
              </w:rPr>
            </w:pPr>
            <w:r>
              <w:rPr>
                <w:rFonts w:eastAsia="仿宋_GB2312"/>
                <w:color w:val="000000" w:themeColor="text1"/>
                <w:sz w:val="18"/>
                <w:szCs w:val="18"/>
              </w:rPr>
              <w:t>雨水口</w:t>
            </w:r>
            <w:r>
              <w:rPr>
                <w:rFonts w:hint="eastAsia" w:eastAsia="仿宋_GB2312"/>
                <w:color w:val="000000" w:themeColor="text1"/>
                <w:sz w:val="18"/>
                <w:szCs w:val="18"/>
                <w:lang w:val="en-US" w:eastAsia="zh-CN"/>
              </w:rPr>
              <w:t>2</w:t>
            </w:r>
            <w:r>
              <w:rPr>
                <w:rFonts w:hint="eastAsia" w:eastAsia="仿宋_GB2312"/>
                <w:color w:val="000000" w:themeColor="text1"/>
                <w:sz w:val="18"/>
                <w:szCs w:val="18"/>
              </w:rPr>
              <w:t>0</w:t>
            </w:r>
            <w:r>
              <w:rPr>
                <w:rFonts w:eastAsia="仿宋_GB2312"/>
                <w:color w:val="000000" w:themeColor="text1"/>
                <w:sz w:val="18"/>
                <w:szCs w:val="18"/>
              </w:rPr>
              <w:t>个，</w:t>
            </w:r>
          </w:p>
          <w:p>
            <w:pPr>
              <w:spacing w:line="240" w:lineRule="auto"/>
              <w:jc w:val="center"/>
              <w:rPr>
                <w:rFonts w:eastAsia="仿宋_GB2312"/>
                <w:color w:val="000000" w:themeColor="text1"/>
                <w:sz w:val="18"/>
                <w:szCs w:val="18"/>
              </w:rPr>
            </w:pPr>
            <w:r>
              <w:rPr>
                <w:rFonts w:eastAsia="仿宋_GB2312"/>
                <w:color w:val="000000" w:themeColor="text1"/>
                <w:sz w:val="18"/>
                <w:szCs w:val="18"/>
              </w:rPr>
              <w:t>绿化用土回覆0.</w:t>
            </w:r>
            <w:r>
              <w:rPr>
                <w:rFonts w:hint="eastAsia" w:eastAsia="仿宋_GB2312"/>
                <w:color w:val="000000" w:themeColor="text1"/>
                <w:sz w:val="18"/>
                <w:szCs w:val="18"/>
                <w:lang w:val="en-US" w:eastAsia="zh-CN"/>
              </w:rPr>
              <w:t>04</w:t>
            </w:r>
            <w:r>
              <w:rPr>
                <w:rFonts w:eastAsia="仿宋_GB2312"/>
                <w:color w:val="000000" w:themeColor="text1"/>
                <w:sz w:val="18"/>
                <w:szCs w:val="18"/>
              </w:rPr>
              <w:t>万m</w:t>
            </w:r>
            <w:r>
              <w:rPr>
                <w:rFonts w:eastAsia="仿宋_GB2312"/>
                <w:color w:val="000000" w:themeColor="text1"/>
                <w:sz w:val="18"/>
                <w:szCs w:val="18"/>
                <w:vertAlign w:val="superscript"/>
              </w:rPr>
              <w:t>3</w:t>
            </w:r>
            <w:r>
              <w:rPr>
                <w:rFonts w:eastAsia="仿宋_GB2312"/>
                <w:color w:val="000000" w:themeColor="text1"/>
                <w:sz w:val="18"/>
                <w:szCs w:val="18"/>
              </w:rPr>
              <w:t>，</w:t>
            </w:r>
          </w:p>
          <w:p>
            <w:pPr>
              <w:spacing w:line="240" w:lineRule="auto"/>
              <w:jc w:val="center"/>
              <w:rPr>
                <w:rFonts w:eastAsia="仿宋_GB2312"/>
                <w:color w:val="000000" w:themeColor="text1"/>
                <w:sz w:val="18"/>
                <w:szCs w:val="18"/>
                <w:highlight w:val="cyan"/>
              </w:rPr>
            </w:pPr>
            <w:r>
              <w:rPr>
                <w:rFonts w:eastAsia="仿宋_GB2312"/>
                <w:color w:val="000000" w:themeColor="text1"/>
                <w:sz w:val="18"/>
                <w:szCs w:val="18"/>
              </w:rPr>
              <w:t>全面整地</w:t>
            </w:r>
            <w:r>
              <w:rPr>
                <w:rFonts w:hint="eastAsia" w:eastAsia="仿宋_GB2312"/>
                <w:color w:val="000000" w:themeColor="text1"/>
                <w:sz w:val="18"/>
                <w:szCs w:val="18"/>
              </w:rPr>
              <w:t>0.</w:t>
            </w:r>
            <w:r>
              <w:rPr>
                <w:rFonts w:hint="eastAsia" w:eastAsia="仿宋_GB2312"/>
                <w:color w:val="000000" w:themeColor="text1"/>
                <w:sz w:val="18"/>
                <w:szCs w:val="18"/>
                <w:lang w:val="en-US" w:eastAsia="zh-CN"/>
              </w:rPr>
              <w:t>13</w:t>
            </w:r>
            <w:r>
              <w:rPr>
                <w:rFonts w:eastAsia="仿宋_GB2312"/>
                <w:color w:val="000000" w:themeColor="text1"/>
                <w:sz w:val="18"/>
                <w:szCs w:val="18"/>
              </w:rPr>
              <w:t>hm</w:t>
            </w:r>
            <w:r>
              <w:rPr>
                <w:rFonts w:eastAsia="仿宋_GB2312"/>
                <w:color w:val="000000" w:themeColor="text1"/>
                <w:sz w:val="18"/>
                <w:szCs w:val="18"/>
                <w:vertAlign w:val="superscript"/>
              </w:rPr>
              <w:t>2</w:t>
            </w:r>
            <w:r>
              <w:rPr>
                <w:rFonts w:eastAsia="仿宋_GB2312"/>
                <w:color w:val="000000" w:themeColor="text1"/>
                <w:sz w:val="18"/>
                <w:szCs w:val="18"/>
              </w:rPr>
              <w:t>。</w:t>
            </w:r>
          </w:p>
        </w:tc>
        <w:tc>
          <w:tcPr>
            <w:tcW w:w="2368" w:type="dxa"/>
            <w:gridSpan w:val="4"/>
            <w:tcBorders>
              <w:tl2br w:val="nil"/>
              <w:tr2bl w:val="nil"/>
            </w:tcBorders>
            <w:vAlign w:val="center"/>
          </w:tcPr>
          <w:p>
            <w:pPr>
              <w:spacing w:line="240" w:lineRule="auto"/>
              <w:jc w:val="center"/>
              <w:rPr>
                <w:rFonts w:eastAsia="仿宋_GB2312"/>
                <w:color w:val="000000" w:themeColor="text1"/>
                <w:sz w:val="18"/>
                <w:szCs w:val="18"/>
                <w:highlight w:val="cyan"/>
              </w:rPr>
            </w:pPr>
            <w:r>
              <w:rPr>
                <w:rFonts w:eastAsia="仿宋_GB2312"/>
                <w:color w:val="000000" w:themeColor="text1"/>
                <w:sz w:val="18"/>
                <w:szCs w:val="18"/>
              </w:rPr>
              <w:t>绿化</w:t>
            </w:r>
            <w:r>
              <w:rPr>
                <w:rFonts w:hint="eastAsia" w:eastAsia="仿宋_GB2312"/>
                <w:color w:val="000000" w:themeColor="text1"/>
                <w:sz w:val="18"/>
                <w:szCs w:val="18"/>
              </w:rPr>
              <w:t>0.</w:t>
            </w:r>
            <w:r>
              <w:rPr>
                <w:rFonts w:hint="eastAsia" w:eastAsia="仿宋_GB2312"/>
                <w:color w:val="000000" w:themeColor="text1"/>
                <w:sz w:val="18"/>
                <w:szCs w:val="18"/>
                <w:lang w:val="en-US" w:eastAsia="zh-CN"/>
              </w:rPr>
              <w:t>13</w:t>
            </w:r>
            <w:r>
              <w:rPr>
                <w:rFonts w:eastAsia="仿宋_GB2312"/>
                <w:color w:val="000000" w:themeColor="text1"/>
                <w:sz w:val="18"/>
                <w:szCs w:val="18"/>
              </w:rPr>
              <w:t>hm</w:t>
            </w:r>
            <w:r>
              <w:rPr>
                <w:rFonts w:eastAsia="仿宋_GB2312"/>
                <w:color w:val="000000" w:themeColor="text1"/>
                <w:sz w:val="18"/>
                <w:szCs w:val="18"/>
                <w:vertAlign w:val="superscript"/>
              </w:rPr>
              <w:t>2</w:t>
            </w:r>
            <w:r>
              <w:rPr>
                <w:rFonts w:eastAsia="仿宋_GB2312"/>
                <w:color w:val="000000" w:themeColor="text1"/>
                <w:sz w:val="18"/>
                <w:szCs w:val="18"/>
              </w:rPr>
              <w:t>。</w:t>
            </w:r>
          </w:p>
        </w:tc>
        <w:tc>
          <w:tcPr>
            <w:tcW w:w="2231" w:type="dxa"/>
            <w:gridSpan w:val="3"/>
            <w:tcBorders>
              <w:tl2br w:val="nil"/>
              <w:tr2bl w:val="nil"/>
            </w:tcBorders>
            <w:vAlign w:val="center"/>
          </w:tcPr>
          <w:p>
            <w:pPr>
              <w:pStyle w:val="77"/>
              <w:rPr>
                <w:rFonts w:ascii="Times New Roman" w:hAnsi="Times New Roman" w:eastAsia="仿宋_GB2312"/>
                <w:color w:val="000000" w:themeColor="text1"/>
                <w:sz w:val="18"/>
                <w:szCs w:val="18"/>
                <w:highlight w:val="none"/>
              </w:rPr>
            </w:pPr>
            <w:r>
              <w:rPr>
                <w:rFonts w:ascii="Times New Roman" w:hAnsi="Times New Roman" w:eastAsia="仿宋_GB2312"/>
                <w:color w:val="000000" w:themeColor="text1"/>
                <w:sz w:val="18"/>
                <w:szCs w:val="18"/>
                <w:highlight w:val="none"/>
              </w:rPr>
              <w:t>密目网覆盖</w:t>
            </w:r>
            <w:r>
              <w:rPr>
                <w:rFonts w:hint="eastAsia" w:ascii="Times New Roman" w:hAnsi="Times New Roman" w:eastAsia="仿宋_GB2312"/>
                <w:color w:val="000000" w:themeColor="text1"/>
                <w:sz w:val="18"/>
                <w:szCs w:val="18"/>
                <w:highlight w:val="none"/>
                <w:lang w:val="en-US" w:eastAsia="zh-CN"/>
              </w:rPr>
              <w:t>156</w:t>
            </w:r>
            <w:r>
              <w:rPr>
                <w:rFonts w:hint="eastAsia" w:ascii="Times New Roman" w:hAnsi="Times New Roman" w:eastAsia="仿宋_GB2312"/>
                <w:color w:val="000000" w:themeColor="text1"/>
                <w:sz w:val="18"/>
                <w:szCs w:val="18"/>
                <w:highlight w:val="none"/>
              </w:rPr>
              <w:t>0</w:t>
            </w:r>
            <w:r>
              <w:rPr>
                <w:rFonts w:ascii="Times New Roman" w:hAnsi="Times New Roman" w:eastAsia="仿宋_GB2312"/>
                <w:color w:val="000000" w:themeColor="text1"/>
                <w:sz w:val="18"/>
                <w:szCs w:val="18"/>
                <w:highlight w:val="none"/>
              </w:rPr>
              <w:t>m²，</w:t>
            </w:r>
          </w:p>
          <w:p>
            <w:pPr>
              <w:pStyle w:val="77"/>
              <w:rPr>
                <w:rFonts w:ascii="Times New Roman" w:hAnsi="Times New Roman" w:eastAsia="仿宋_GB2312"/>
                <w:color w:val="000000" w:themeColor="text1"/>
                <w:sz w:val="18"/>
                <w:szCs w:val="18"/>
                <w:highlight w:val="none"/>
              </w:rPr>
            </w:pPr>
            <w:r>
              <w:rPr>
                <w:rFonts w:ascii="Times New Roman" w:hAnsi="Times New Roman" w:eastAsia="仿宋_GB2312"/>
                <w:color w:val="000000" w:themeColor="text1"/>
                <w:sz w:val="18"/>
                <w:szCs w:val="18"/>
                <w:highlight w:val="none"/>
              </w:rPr>
              <w:t>编织袋土填筑</w:t>
            </w:r>
            <w:r>
              <w:rPr>
                <w:rFonts w:hint="eastAsia" w:ascii="Times New Roman" w:hAnsi="Times New Roman" w:eastAsia="仿宋_GB2312"/>
                <w:color w:val="000000" w:themeColor="text1"/>
                <w:sz w:val="18"/>
                <w:szCs w:val="18"/>
                <w:highlight w:val="none"/>
                <w:lang w:val="en-US" w:eastAsia="zh-CN"/>
              </w:rPr>
              <w:t>46</w:t>
            </w:r>
            <w:r>
              <w:rPr>
                <w:rFonts w:ascii="Times New Roman" w:hAnsi="Times New Roman" w:eastAsia="仿宋_GB2312"/>
                <w:color w:val="000000" w:themeColor="text1"/>
                <w:sz w:val="18"/>
                <w:szCs w:val="18"/>
                <w:highlight w:val="none"/>
              </w:rPr>
              <w:t>m</w:t>
            </w:r>
            <w:r>
              <w:rPr>
                <w:rFonts w:ascii="Times New Roman" w:hAnsi="Times New Roman" w:eastAsia="仿宋_GB2312"/>
                <w:color w:val="000000" w:themeColor="text1"/>
                <w:sz w:val="18"/>
                <w:szCs w:val="18"/>
                <w:highlight w:val="none"/>
                <w:vertAlign w:val="superscript"/>
              </w:rPr>
              <w:t>3</w:t>
            </w:r>
            <w:r>
              <w:rPr>
                <w:rFonts w:ascii="Times New Roman" w:hAnsi="Times New Roman" w:eastAsia="仿宋_GB2312"/>
                <w:color w:val="000000" w:themeColor="text1"/>
                <w:sz w:val="18"/>
                <w:szCs w:val="18"/>
                <w:highlight w:val="none"/>
              </w:rPr>
              <w:t>，</w:t>
            </w:r>
          </w:p>
          <w:p>
            <w:pPr>
              <w:pStyle w:val="77"/>
              <w:rPr>
                <w:rFonts w:ascii="Times New Roman" w:hAnsi="Times New Roman" w:eastAsia="仿宋_GB2312"/>
                <w:color w:val="000000" w:themeColor="text1"/>
                <w:sz w:val="18"/>
                <w:szCs w:val="18"/>
                <w:highlight w:val="cyan"/>
              </w:rPr>
            </w:pPr>
            <w:r>
              <w:rPr>
                <w:rFonts w:ascii="Times New Roman" w:hAnsi="Times New Roman" w:eastAsia="仿宋_GB2312"/>
                <w:color w:val="000000" w:themeColor="text1"/>
                <w:sz w:val="18"/>
                <w:szCs w:val="18"/>
                <w:highlight w:val="none"/>
              </w:rPr>
              <w:t>编织袋土拆除</w:t>
            </w:r>
            <w:r>
              <w:rPr>
                <w:rFonts w:hint="eastAsia" w:ascii="Times New Roman" w:hAnsi="Times New Roman" w:eastAsia="仿宋_GB2312"/>
                <w:color w:val="000000" w:themeColor="text1"/>
                <w:sz w:val="18"/>
                <w:szCs w:val="18"/>
                <w:highlight w:val="none"/>
                <w:lang w:val="en-US" w:eastAsia="zh-CN"/>
              </w:rPr>
              <w:t>46</w:t>
            </w:r>
            <w:r>
              <w:rPr>
                <w:rFonts w:ascii="Times New Roman" w:hAnsi="Times New Roman" w:eastAsia="仿宋_GB2312"/>
                <w:color w:val="000000" w:themeColor="text1"/>
                <w:sz w:val="18"/>
                <w:szCs w:val="18"/>
                <w:highlight w:val="none"/>
              </w:rPr>
              <w:t>m</w:t>
            </w:r>
            <w:r>
              <w:rPr>
                <w:rFonts w:ascii="Times New Roman" w:hAnsi="Times New Roman" w:eastAsia="仿宋_GB2312"/>
                <w:color w:val="000000" w:themeColor="text1"/>
                <w:sz w:val="18"/>
                <w:szCs w:val="18"/>
                <w:highlight w:val="none"/>
                <w:vertAlign w:val="superscript"/>
              </w:rPr>
              <w:t>3</w:t>
            </w:r>
            <w:r>
              <w:rPr>
                <w:rFonts w:ascii="Times New Roman" w:hAnsi="Times New Roman" w:eastAsia="仿宋_GB2312"/>
                <w:color w:val="000000" w:themeColor="text1"/>
                <w:sz w:val="18"/>
                <w:szCs w:val="18"/>
                <w:highlight w:val="none"/>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36" w:type="dxa"/>
            <w:gridSpan w:val="3"/>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投资（万元）</w:t>
            </w:r>
          </w:p>
        </w:tc>
        <w:tc>
          <w:tcPr>
            <w:tcW w:w="2936" w:type="dxa"/>
            <w:gridSpan w:val="3"/>
            <w:tcBorders>
              <w:tl2br w:val="nil"/>
              <w:tr2bl w:val="nil"/>
            </w:tcBorders>
            <w:vAlign w:val="center"/>
          </w:tcPr>
          <w:p>
            <w:pPr>
              <w:pStyle w:val="77"/>
              <w:rPr>
                <w:rFonts w:hint="eastAsia" w:ascii="Times New Roman" w:hAnsi="Times New Roman" w:eastAsia="仿宋_GB2312"/>
                <w:color w:val="000000" w:themeColor="text1"/>
                <w:sz w:val="18"/>
                <w:szCs w:val="18"/>
                <w:highlight w:val="yellow"/>
                <w:lang w:eastAsia="zh-CN"/>
              </w:rPr>
            </w:pPr>
            <w:r>
              <w:rPr>
                <w:rFonts w:hint="eastAsia" w:ascii="Times New Roman" w:hAnsi="Times New Roman" w:eastAsia="仿宋_GB2312"/>
                <w:color w:val="000000" w:themeColor="text1"/>
                <w:sz w:val="18"/>
                <w:szCs w:val="18"/>
                <w:highlight w:val="none"/>
                <w:lang w:eastAsia="zh-CN"/>
              </w:rPr>
              <w:t>19.73</w:t>
            </w:r>
          </w:p>
        </w:tc>
        <w:tc>
          <w:tcPr>
            <w:tcW w:w="2368" w:type="dxa"/>
            <w:gridSpan w:val="4"/>
            <w:tcBorders>
              <w:tl2br w:val="nil"/>
              <w:tr2bl w:val="nil"/>
            </w:tcBorders>
            <w:vAlign w:val="center"/>
          </w:tcPr>
          <w:p>
            <w:pPr>
              <w:pStyle w:val="77"/>
              <w:rPr>
                <w:rFonts w:hint="default" w:ascii="Times New Roman" w:hAnsi="Times New Roman" w:eastAsia="仿宋_GB2312"/>
                <w:color w:val="000000" w:themeColor="text1"/>
                <w:sz w:val="18"/>
                <w:szCs w:val="18"/>
                <w:highlight w:val="yellow"/>
                <w:lang w:val="en-US" w:eastAsia="zh-CN"/>
              </w:rPr>
            </w:pPr>
            <w:r>
              <w:rPr>
                <w:rFonts w:hint="eastAsia" w:ascii="Times New Roman" w:hAnsi="Times New Roman" w:eastAsia="仿宋_GB2312"/>
                <w:color w:val="000000" w:themeColor="text1"/>
                <w:sz w:val="18"/>
                <w:szCs w:val="18"/>
                <w:highlight w:val="none"/>
                <w:lang w:val="en-US" w:eastAsia="zh-CN"/>
              </w:rPr>
              <w:t>10.07</w:t>
            </w:r>
          </w:p>
        </w:tc>
        <w:tc>
          <w:tcPr>
            <w:tcW w:w="2231" w:type="dxa"/>
            <w:gridSpan w:val="3"/>
            <w:tcBorders>
              <w:tl2br w:val="nil"/>
              <w:tr2bl w:val="nil"/>
            </w:tcBorders>
            <w:vAlign w:val="center"/>
          </w:tcPr>
          <w:p>
            <w:pPr>
              <w:pStyle w:val="77"/>
              <w:rPr>
                <w:rFonts w:hint="eastAsia" w:ascii="Times New Roman" w:hAnsi="Times New Roman" w:eastAsia="仿宋_GB2312"/>
                <w:color w:val="000000" w:themeColor="text1"/>
                <w:sz w:val="18"/>
                <w:szCs w:val="18"/>
                <w:highlight w:val="yellow"/>
                <w:lang w:eastAsia="zh-CN"/>
              </w:rPr>
            </w:pPr>
            <w:r>
              <w:rPr>
                <w:rFonts w:hint="eastAsia" w:ascii="Times New Roman" w:hAnsi="Times New Roman" w:eastAsia="仿宋_GB2312"/>
                <w:color w:val="000000" w:themeColor="text1"/>
                <w:sz w:val="18"/>
                <w:szCs w:val="18"/>
                <w:highlight w:val="none"/>
                <w:lang w:eastAsia="zh-CN"/>
              </w:rPr>
              <w:t>2.68</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36" w:type="dxa"/>
            <w:gridSpan w:val="3"/>
            <w:tcBorders>
              <w:tl2br w:val="nil"/>
              <w:tr2bl w:val="nil"/>
            </w:tcBorders>
            <w:vAlign w:val="center"/>
          </w:tcPr>
          <w:p>
            <w:pPr>
              <w:pStyle w:val="77"/>
              <w:rPr>
                <w:rFonts w:ascii="Times New Roman" w:hAnsi="Times New Roman" w:eastAsia="仿宋_GB2312"/>
                <w:color w:val="000000" w:themeColor="text1"/>
                <w:sz w:val="18"/>
                <w:szCs w:val="18"/>
                <w:highlight w:val="none"/>
              </w:rPr>
            </w:pPr>
            <w:r>
              <w:rPr>
                <w:rFonts w:ascii="Times New Roman" w:hAnsi="Times New Roman" w:eastAsia="仿宋_GB2312"/>
                <w:color w:val="000000" w:themeColor="text1"/>
                <w:sz w:val="18"/>
                <w:szCs w:val="18"/>
                <w:highlight w:val="none"/>
              </w:rPr>
              <w:t>水土保持总投资</w:t>
            </w:r>
          </w:p>
          <w:p>
            <w:pPr>
              <w:pStyle w:val="77"/>
              <w:rPr>
                <w:rFonts w:ascii="Times New Roman" w:hAnsi="Times New Roman" w:eastAsia="仿宋_GB2312"/>
                <w:color w:val="000000" w:themeColor="text1"/>
                <w:sz w:val="18"/>
                <w:szCs w:val="18"/>
                <w:highlight w:val="none"/>
              </w:rPr>
            </w:pPr>
            <w:r>
              <w:rPr>
                <w:rFonts w:ascii="Times New Roman" w:hAnsi="Times New Roman" w:eastAsia="仿宋_GB2312"/>
                <w:color w:val="000000" w:themeColor="text1"/>
                <w:sz w:val="18"/>
                <w:szCs w:val="18"/>
                <w:highlight w:val="none"/>
              </w:rPr>
              <w:t>（万元）</w:t>
            </w:r>
          </w:p>
        </w:tc>
        <w:tc>
          <w:tcPr>
            <w:tcW w:w="2936" w:type="dxa"/>
            <w:gridSpan w:val="3"/>
            <w:tcBorders>
              <w:tl2br w:val="nil"/>
              <w:tr2bl w:val="nil"/>
            </w:tcBorders>
            <w:vAlign w:val="center"/>
          </w:tcPr>
          <w:p>
            <w:pPr>
              <w:pStyle w:val="77"/>
              <w:rPr>
                <w:rFonts w:hint="eastAsia" w:ascii="Times New Roman" w:hAnsi="Times New Roman" w:eastAsia="仿宋_GB2312"/>
                <w:color w:val="000000" w:themeColor="text1"/>
                <w:sz w:val="18"/>
                <w:szCs w:val="18"/>
                <w:highlight w:val="none"/>
                <w:lang w:eastAsia="zh-CN"/>
              </w:rPr>
            </w:pPr>
            <w:r>
              <w:rPr>
                <w:rFonts w:hint="eastAsia" w:ascii="Times New Roman" w:hAnsi="Times New Roman" w:eastAsia="仿宋_GB2312"/>
                <w:color w:val="000000" w:themeColor="text1"/>
                <w:sz w:val="18"/>
                <w:szCs w:val="18"/>
                <w:highlight w:val="none"/>
                <w:lang w:eastAsia="zh-CN"/>
              </w:rPr>
              <w:t>57.15</w:t>
            </w:r>
          </w:p>
        </w:tc>
        <w:tc>
          <w:tcPr>
            <w:tcW w:w="2368" w:type="dxa"/>
            <w:gridSpan w:val="4"/>
            <w:tcBorders>
              <w:tl2br w:val="nil"/>
              <w:tr2bl w:val="nil"/>
            </w:tcBorders>
            <w:vAlign w:val="center"/>
          </w:tcPr>
          <w:p>
            <w:pPr>
              <w:pStyle w:val="77"/>
              <w:rPr>
                <w:rFonts w:ascii="Times New Roman" w:hAnsi="Times New Roman" w:eastAsia="仿宋_GB2312"/>
                <w:color w:val="000000" w:themeColor="text1"/>
                <w:sz w:val="18"/>
                <w:szCs w:val="18"/>
                <w:highlight w:val="none"/>
              </w:rPr>
            </w:pPr>
            <w:r>
              <w:rPr>
                <w:rFonts w:ascii="Times New Roman" w:hAnsi="Times New Roman" w:eastAsia="仿宋_GB2312"/>
                <w:color w:val="000000" w:themeColor="text1"/>
                <w:sz w:val="18"/>
                <w:szCs w:val="18"/>
                <w:highlight w:val="none"/>
              </w:rPr>
              <w:t>独立费用（万元）</w:t>
            </w:r>
          </w:p>
        </w:tc>
        <w:tc>
          <w:tcPr>
            <w:tcW w:w="2231" w:type="dxa"/>
            <w:gridSpan w:val="3"/>
            <w:tcBorders>
              <w:tl2br w:val="nil"/>
              <w:tr2bl w:val="nil"/>
            </w:tcBorders>
            <w:vAlign w:val="center"/>
          </w:tcPr>
          <w:p>
            <w:pPr>
              <w:pStyle w:val="77"/>
              <w:rPr>
                <w:rFonts w:ascii="Times New Roman" w:hAnsi="Times New Roman" w:eastAsia="仿宋_GB2312"/>
                <w:color w:val="000000" w:themeColor="text1"/>
                <w:sz w:val="18"/>
                <w:szCs w:val="18"/>
                <w:highlight w:val="none"/>
              </w:rPr>
            </w:pPr>
            <w:r>
              <w:rPr>
                <w:rFonts w:hint="eastAsia" w:ascii="Times New Roman" w:hAnsi="Times New Roman" w:eastAsia="仿宋_GB2312"/>
                <w:color w:val="000000" w:themeColor="text1"/>
                <w:sz w:val="18"/>
                <w:szCs w:val="18"/>
                <w:highlight w:val="none"/>
              </w:rPr>
              <w:t>22.72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36" w:type="dxa"/>
            <w:gridSpan w:val="3"/>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监理费（万元）</w:t>
            </w:r>
          </w:p>
        </w:tc>
        <w:tc>
          <w:tcPr>
            <w:tcW w:w="983" w:type="dxa"/>
            <w:tcBorders>
              <w:tl2br w:val="nil"/>
              <w:tr2bl w:val="nil"/>
            </w:tcBorders>
            <w:vAlign w:val="center"/>
          </w:tcPr>
          <w:p>
            <w:pPr>
              <w:pStyle w:val="77"/>
              <w:rPr>
                <w:rFonts w:ascii="Times New Roman" w:hAnsi="Times New Roman" w:eastAsia="仿宋_GB2312"/>
                <w:color w:val="000000" w:themeColor="text1"/>
                <w:sz w:val="18"/>
                <w:szCs w:val="18"/>
                <w:highlight w:val="none"/>
              </w:rPr>
            </w:pPr>
            <w:r>
              <w:rPr>
                <w:rFonts w:hint="eastAsia" w:ascii="Times New Roman" w:hAnsi="Times New Roman" w:eastAsia="仿宋_GB2312"/>
                <w:color w:val="000000" w:themeColor="text1"/>
                <w:sz w:val="18"/>
                <w:szCs w:val="18"/>
                <w:highlight w:val="none"/>
              </w:rPr>
              <w:t>5.5</w:t>
            </w:r>
            <w:r>
              <w:rPr>
                <w:rFonts w:ascii="Times New Roman" w:hAnsi="Times New Roman" w:eastAsia="仿宋_GB2312"/>
                <w:color w:val="000000" w:themeColor="text1"/>
                <w:sz w:val="18"/>
                <w:szCs w:val="18"/>
                <w:highlight w:val="none"/>
              </w:rPr>
              <w:t>0</w:t>
            </w:r>
          </w:p>
        </w:tc>
        <w:tc>
          <w:tcPr>
            <w:tcW w:w="1953" w:type="dxa"/>
            <w:gridSpan w:val="2"/>
            <w:tcBorders>
              <w:tl2br w:val="nil"/>
              <w:tr2bl w:val="nil"/>
            </w:tcBorders>
            <w:vAlign w:val="center"/>
          </w:tcPr>
          <w:p>
            <w:pPr>
              <w:pStyle w:val="77"/>
              <w:rPr>
                <w:rFonts w:ascii="Times New Roman" w:hAnsi="Times New Roman" w:eastAsia="仿宋_GB2312"/>
                <w:color w:val="000000" w:themeColor="text1"/>
                <w:sz w:val="18"/>
                <w:szCs w:val="18"/>
                <w:highlight w:val="none"/>
              </w:rPr>
            </w:pPr>
            <w:r>
              <w:rPr>
                <w:rFonts w:ascii="Times New Roman" w:hAnsi="Times New Roman" w:eastAsia="仿宋_GB2312"/>
                <w:color w:val="000000" w:themeColor="text1"/>
                <w:sz w:val="18"/>
                <w:szCs w:val="18"/>
                <w:highlight w:val="none"/>
              </w:rPr>
              <w:t>监测费（万元）</w:t>
            </w:r>
          </w:p>
        </w:tc>
        <w:tc>
          <w:tcPr>
            <w:tcW w:w="1349" w:type="dxa"/>
            <w:gridSpan w:val="3"/>
            <w:tcBorders>
              <w:tl2br w:val="nil"/>
              <w:tr2bl w:val="nil"/>
            </w:tcBorders>
            <w:vAlign w:val="center"/>
          </w:tcPr>
          <w:p>
            <w:pPr>
              <w:pStyle w:val="77"/>
              <w:rPr>
                <w:rFonts w:ascii="Times New Roman" w:hAnsi="Times New Roman" w:eastAsia="仿宋_GB2312"/>
                <w:color w:val="000000" w:themeColor="text1"/>
                <w:sz w:val="18"/>
                <w:szCs w:val="18"/>
                <w:highlight w:val="none"/>
              </w:rPr>
            </w:pPr>
            <w:r>
              <w:rPr>
                <w:rFonts w:hint="eastAsia" w:ascii="Times New Roman" w:hAnsi="Times New Roman" w:eastAsia="仿宋_GB2312"/>
                <w:color w:val="000000" w:themeColor="text1"/>
                <w:sz w:val="18"/>
                <w:szCs w:val="18"/>
                <w:highlight w:val="none"/>
              </w:rPr>
              <w:t>6.21</w:t>
            </w:r>
          </w:p>
        </w:tc>
        <w:tc>
          <w:tcPr>
            <w:tcW w:w="1019" w:type="dxa"/>
            <w:tcBorders>
              <w:tl2br w:val="nil"/>
              <w:tr2bl w:val="nil"/>
            </w:tcBorders>
            <w:vAlign w:val="center"/>
          </w:tcPr>
          <w:p>
            <w:pPr>
              <w:pStyle w:val="77"/>
              <w:rPr>
                <w:rFonts w:ascii="Times New Roman" w:hAnsi="Times New Roman" w:eastAsia="仿宋_GB2312"/>
                <w:color w:val="000000" w:themeColor="text1"/>
                <w:sz w:val="18"/>
                <w:szCs w:val="18"/>
                <w:highlight w:val="none"/>
              </w:rPr>
            </w:pPr>
            <w:r>
              <w:rPr>
                <w:rFonts w:ascii="Times New Roman" w:hAnsi="Times New Roman" w:eastAsia="仿宋_GB2312"/>
                <w:color w:val="000000" w:themeColor="text1"/>
                <w:sz w:val="18"/>
                <w:szCs w:val="18"/>
                <w:highlight w:val="none"/>
              </w:rPr>
              <w:t>补偿费</w:t>
            </w:r>
          </w:p>
          <w:p>
            <w:pPr>
              <w:pStyle w:val="77"/>
              <w:rPr>
                <w:rFonts w:ascii="Times New Roman" w:hAnsi="Times New Roman" w:eastAsia="仿宋_GB2312"/>
                <w:color w:val="000000" w:themeColor="text1"/>
                <w:sz w:val="18"/>
                <w:szCs w:val="18"/>
                <w:highlight w:val="none"/>
              </w:rPr>
            </w:pPr>
            <w:r>
              <w:rPr>
                <w:rFonts w:ascii="Times New Roman" w:hAnsi="Times New Roman" w:eastAsia="仿宋_GB2312"/>
                <w:color w:val="000000" w:themeColor="text1"/>
                <w:sz w:val="18"/>
                <w:szCs w:val="18"/>
                <w:highlight w:val="none"/>
              </w:rPr>
              <w:t>（万元）</w:t>
            </w:r>
          </w:p>
        </w:tc>
        <w:tc>
          <w:tcPr>
            <w:tcW w:w="2231" w:type="dxa"/>
            <w:gridSpan w:val="3"/>
            <w:tcBorders>
              <w:tl2br w:val="nil"/>
              <w:tr2bl w:val="nil"/>
            </w:tcBorders>
            <w:vAlign w:val="center"/>
          </w:tcPr>
          <w:p>
            <w:pPr>
              <w:pStyle w:val="77"/>
              <w:rPr>
                <w:rFonts w:hint="eastAsia" w:ascii="Times New Roman" w:hAnsi="Times New Roman" w:eastAsia="仿宋_GB2312"/>
                <w:color w:val="000000" w:themeColor="text1"/>
                <w:sz w:val="18"/>
                <w:szCs w:val="18"/>
                <w:highlight w:val="none"/>
                <w:lang w:eastAsia="zh-CN"/>
              </w:rPr>
            </w:pPr>
            <w:r>
              <w:rPr>
                <w:rFonts w:hint="eastAsia" w:ascii="Times New Roman" w:hAnsi="Times New Roman" w:eastAsia="仿宋_GB2312"/>
                <w:color w:val="000000" w:themeColor="text1"/>
                <w:sz w:val="18"/>
                <w:szCs w:val="18"/>
                <w:highlight w:val="none"/>
                <w:lang w:eastAsia="zh-CN"/>
              </w:rPr>
              <w:t>0.59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36" w:type="dxa"/>
            <w:gridSpan w:val="3"/>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方案编制单位</w:t>
            </w:r>
          </w:p>
        </w:tc>
        <w:tc>
          <w:tcPr>
            <w:tcW w:w="2936" w:type="dxa"/>
            <w:gridSpan w:val="3"/>
            <w:tcBorders>
              <w:tl2br w:val="nil"/>
              <w:tr2bl w:val="nil"/>
            </w:tcBorders>
            <w:vAlign w:val="center"/>
          </w:tcPr>
          <w:p>
            <w:pPr>
              <w:pStyle w:val="96"/>
              <w:spacing w:line="240" w:lineRule="auto"/>
              <w:rPr>
                <w:rFonts w:ascii="Times New Roman" w:hAnsi="Times New Roman" w:eastAsia="仿宋_GB2312" w:cs="Times New Roman"/>
                <w:color w:val="000000" w:themeColor="text1"/>
                <w:sz w:val="18"/>
                <w:szCs w:val="18"/>
              </w:rPr>
            </w:pPr>
            <w:r>
              <w:rPr>
                <w:rFonts w:ascii="Times New Roman" w:hAnsi="Times New Roman" w:eastAsia="仿宋_GB2312" w:cs="Times New Roman"/>
                <w:color w:val="000000" w:themeColor="text1"/>
                <w:sz w:val="18"/>
                <w:szCs w:val="18"/>
              </w:rPr>
              <w:t xml:space="preserve">吉林省玖伏环境科技有限公司 </w:t>
            </w:r>
          </w:p>
        </w:tc>
        <w:tc>
          <w:tcPr>
            <w:tcW w:w="1349" w:type="dxa"/>
            <w:gridSpan w:val="3"/>
            <w:tcBorders>
              <w:tl2br w:val="nil"/>
              <w:tr2bl w:val="nil"/>
            </w:tcBorders>
            <w:vAlign w:val="center"/>
          </w:tcPr>
          <w:p>
            <w:pPr>
              <w:snapToGrid w:val="0"/>
              <w:spacing w:line="240" w:lineRule="auto"/>
              <w:jc w:val="center"/>
              <w:rPr>
                <w:rFonts w:eastAsia="仿宋_GB2312"/>
                <w:color w:val="000000" w:themeColor="text1"/>
                <w:sz w:val="18"/>
                <w:szCs w:val="18"/>
              </w:rPr>
            </w:pPr>
            <w:r>
              <w:rPr>
                <w:rFonts w:eastAsia="仿宋_GB2312"/>
                <w:color w:val="000000" w:themeColor="text1"/>
                <w:sz w:val="18"/>
                <w:szCs w:val="18"/>
              </w:rPr>
              <w:t>建设单位</w:t>
            </w:r>
          </w:p>
        </w:tc>
        <w:tc>
          <w:tcPr>
            <w:tcW w:w="3250" w:type="dxa"/>
            <w:gridSpan w:val="4"/>
            <w:tcBorders>
              <w:tl2br w:val="nil"/>
              <w:tr2bl w:val="nil"/>
            </w:tcBorders>
            <w:vAlign w:val="center"/>
          </w:tcPr>
          <w:p>
            <w:pPr>
              <w:pStyle w:val="77"/>
              <w:adjustRightInd w:val="0"/>
              <w:snapToGrid w:val="0"/>
              <w:rPr>
                <w:rFonts w:hint="eastAsia" w:ascii="Times New Roman" w:hAnsi="Times New Roman" w:eastAsia="仿宋_GB2312"/>
                <w:color w:val="000000" w:themeColor="text1"/>
                <w:sz w:val="18"/>
                <w:szCs w:val="18"/>
                <w:lang w:eastAsia="zh-CN"/>
              </w:rPr>
            </w:pPr>
            <w:r>
              <w:rPr>
                <w:rFonts w:hint="eastAsia" w:ascii="Times New Roman" w:hAnsi="Times New Roman" w:eastAsia="仿宋_GB2312"/>
                <w:color w:val="000000" w:themeColor="text1"/>
                <w:sz w:val="18"/>
                <w:szCs w:val="18"/>
                <w:lang w:eastAsia="zh-CN"/>
              </w:rPr>
              <w:t>农安县东兴实业有限公司</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36" w:type="dxa"/>
            <w:gridSpan w:val="3"/>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法定代表人</w:t>
            </w:r>
          </w:p>
        </w:tc>
        <w:tc>
          <w:tcPr>
            <w:tcW w:w="2936" w:type="dxa"/>
            <w:gridSpan w:val="3"/>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吴百多</w:t>
            </w:r>
          </w:p>
        </w:tc>
        <w:tc>
          <w:tcPr>
            <w:tcW w:w="1349" w:type="dxa"/>
            <w:gridSpan w:val="3"/>
            <w:tcBorders>
              <w:tl2br w:val="nil"/>
              <w:tr2bl w:val="nil"/>
            </w:tcBorders>
            <w:vAlign w:val="center"/>
          </w:tcPr>
          <w:p>
            <w:pPr>
              <w:snapToGrid w:val="0"/>
              <w:spacing w:line="240" w:lineRule="auto"/>
              <w:jc w:val="center"/>
              <w:rPr>
                <w:rFonts w:eastAsia="仿宋_GB2312"/>
                <w:color w:val="000000" w:themeColor="text1"/>
                <w:sz w:val="18"/>
                <w:szCs w:val="18"/>
              </w:rPr>
            </w:pPr>
            <w:r>
              <w:rPr>
                <w:rFonts w:eastAsia="仿宋_GB2312"/>
                <w:color w:val="000000" w:themeColor="text1"/>
                <w:sz w:val="18"/>
                <w:szCs w:val="18"/>
              </w:rPr>
              <w:t>法定代表人</w:t>
            </w:r>
          </w:p>
        </w:tc>
        <w:tc>
          <w:tcPr>
            <w:tcW w:w="3250" w:type="dxa"/>
            <w:gridSpan w:val="4"/>
            <w:tcBorders>
              <w:tl2br w:val="nil"/>
              <w:tr2bl w:val="nil"/>
            </w:tcBorders>
            <w:vAlign w:val="center"/>
          </w:tcPr>
          <w:p>
            <w:pPr>
              <w:pStyle w:val="77"/>
              <w:adjustRightInd w:val="0"/>
              <w:snapToGrid w:val="0"/>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lang w:val="en-US" w:eastAsia="zh-CN"/>
              </w:rPr>
              <w:t xml:space="preserve">徐淑春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36" w:type="dxa"/>
            <w:gridSpan w:val="3"/>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地址</w:t>
            </w:r>
          </w:p>
        </w:tc>
        <w:tc>
          <w:tcPr>
            <w:tcW w:w="2936" w:type="dxa"/>
            <w:gridSpan w:val="3"/>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长春市二道区河东路广德街万晟爱琴海1期9栋1单元203</w:t>
            </w:r>
          </w:p>
        </w:tc>
        <w:tc>
          <w:tcPr>
            <w:tcW w:w="1349" w:type="dxa"/>
            <w:gridSpan w:val="3"/>
            <w:tcBorders>
              <w:tl2br w:val="nil"/>
              <w:tr2bl w:val="nil"/>
            </w:tcBorders>
            <w:vAlign w:val="center"/>
          </w:tcPr>
          <w:p>
            <w:pPr>
              <w:snapToGrid w:val="0"/>
              <w:spacing w:line="240" w:lineRule="auto"/>
              <w:jc w:val="center"/>
              <w:rPr>
                <w:rFonts w:eastAsia="仿宋_GB2312"/>
                <w:color w:val="000000" w:themeColor="text1"/>
                <w:sz w:val="18"/>
                <w:szCs w:val="18"/>
              </w:rPr>
            </w:pPr>
            <w:r>
              <w:rPr>
                <w:rFonts w:eastAsia="仿宋_GB2312"/>
                <w:color w:val="000000" w:themeColor="text1"/>
                <w:sz w:val="18"/>
                <w:szCs w:val="18"/>
              </w:rPr>
              <w:t>地址</w:t>
            </w:r>
          </w:p>
        </w:tc>
        <w:tc>
          <w:tcPr>
            <w:tcW w:w="3250" w:type="dxa"/>
            <w:gridSpan w:val="4"/>
            <w:tcBorders>
              <w:tl2br w:val="nil"/>
              <w:tr2bl w:val="nil"/>
            </w:tcBorders>
            <w:vAlign w:val="center"/>
          </w:tcPr>
          <w:p>
            <w:pPr>
              <w:spacing w:line="240" w:lineRule="auto"/>
              <w:jc w:val="center"/>
              <w:rPr>
                <w:rFonts w:eastAsia="仿宋_GB2312"/>
                <w:color w:val="000000" w:themeColor="text1"/>
                <w:sz w:val="18"/>
                <w:szCs w:val="18"/>
              </w:rPr>
            </w:pPr>
            <w:r>
              <w:rPr>
                <w:rFonts w:hint="eastAsia" w:eastAsia="仿宋_GB2312"/>
                <w:color w:val="000000" w:themeColor="text1"/>
                <w:sz w:val="18"/>
                <w:szCs w:val="18"/>
              </w:rPr>
              <w:t>长春市农安县烧锅镇东兴村</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36" w:type="dxa"/>
            <w:gridSpan w:val="3"/>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邮编</w:t>
            </w:r>
          </w:p>
        </w:tc>
        <w:tc>
          <w:tcPr>
            <w:tcW w:w="2936" w:type="dxa"/>
            <w:gridSpan w:val="3"/>
            <w:tcBorders>
              <w:tl2br w:val="nil"/>
              <w:tr2bl w:val="nil"/>
            </w:tcBorders>
            <w:vAlign w:val="center"/>
          </w:tcPr>
          <w:p>
            <w:pPr>
              <w:snapToGrid w:val="0"/>
              <w:spacing w:line="240" w:lineRule="auto"/>
              <w:jc w:val="center"/>
              <w:rPr>
                <w:rFonts w:eastAsia="仿宋_GB2312"/>
                <w:color w:val="000000" w:themeColor="text1"/>
                <w:sz w:val="18"/>
                <w:szCs w:val="18"/>
              </w:rPr>
            </w:pPr>
            <w:r>
              <w:rPr>
                <w:rFonts w:eastAsia="仿宋_GB2312"/>
                <w:color w:val="000000" w:themeColor="text1"/>
                <w:sz w:val="18"/>
                <w:szCs w:val="18"/>
              </w:rPr>
              <w:t>130032</w:t>
            </w:r>
          </w:p>
        </w:tc>
        <w:tc>
          <w:tcPr>
            <w:tcW w:w="1349" w:type="dxa"/>
            <w:gridSpan w:val="3"/>
            <w:tcBorders>
              <w:tl2br w:val="nil"/>
              <w:tr2bl w:val="nil"/>
            </w:tcBorders>
            <w:vAlign w:val="center"/>
          </w:tcPr>
          <w:p>
            <w:pPr>
              <w:snapToGrid w:val="0"/>
              <w:spacing w:line="240" w:lineRule="auto"/>
              <w:jc w:val="center"/>
              <w:rPr>
                <w:rFonts w:eastAsia="仿宋_GB2312"/>
                <w:color w:val="000000" w:themeColor="text1"/>
                <w:sz w:val="18"/>
                <w:szCs w:val="18"/>
              </w:rPr>
            </w:pPr>
            <w:r>
              <w:rPr>
                <w:rFonts w:eastAsia="仿宋_GB2312"/>
                <w:color w:val="000000" w:themeColor="text1"/>
                <w:sz w:val="18"/>
                <w:szCs w:val="18"/>
              </w:rPr>
              <w:t>邮编</w:t>
            </w:r>
          </w:p>
        </w:tc>
        <w:tc>
          <w:tcPr>
            <w:tcW w:w="3250" w:type="dxa"/>
            <w:gridSpan w:val="4"/>
            <w:tcBorders>
              <w:tl2br w:val="nil"/>
              <w:tr2bl w:val="nil"/>
            </w:tcBorders>
            <w:vAlign w:val="center"/>
          </w:tcPr>
          <w:p>
            <w:pPr>
              <w:adjustRightInd/>
              <w:snapToGrid w:val="0"/>
              <w:spacing w:line="240" w:lineRule="auto"/>
              <w:jc w:val="center"/>
              <w:textAlignment w:val="auto"/>
              <w:rPr>
                <w:rFonts w:hint="default" w:eastAsia="仿宋_GB2312"/>
                <w:color w:val="000000" w:themeColor="text1"/>
                <w:sz w:val="18"/>
                <w:szCs w:val="18"/>
                <w:lang w:val="en-US" w:eastAsia="zh-CN"/>
              </w:rPr>
            </w:pPr>
            <w:r>
              <w:rPr>
                <w:rFonts w:eastAsia="仿宋_GB2312"/>
                <w:color w:val="000000" w:themeColor="text1"/>
                <w:kern w:val="2"/>
                <w:sz w:val="18"/>
                <w:szCs w:val="18"/>
              </w:rPr>
              <w:t>13</w:t>
            </w:r>
            <w:r>
              <w:rPr>
                <w:rFonts w:hint="eastAsia" w:eastAsia="仿宋_GB2312"/>
                <w:color w:val="000000" w:themeColor="text1"/>
                <w:kern w:val="2"/>
                <w:sz w:val="18"/>
                <w:szCs w:val="18"/>
              </w:rPr>
              <w:t>02</w:t>
            </w:r>
            <w:r>
              <w:rPr>
                <w:rFonts w:hint="eastAsia" w:eastAsia="仿宋_GB2312"/>
                <w:color w:val="000000" w:themeColor="text1"/>
                <w:kern w:val="2"/>
                <w:sz w:val="18"/>
                <w:szCs w:val="18"/>
                <w:lang w:val="en-US" w:eastAsia="zh-CN"/>
              </w:rPr>
              <w:t>17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36" w:type="dxa"/>
            <w:gridSpan w:val="3"/>
            <w:tcBorders>
              <w:tl2br w:val="nil"/>
              <w:tr2bl w:val="nil"/>
            </w:tcBorders>
            <w:vAlign w:val="center"/>
          </w:tcPr>
          <w:p>
            <w:pPr>
              <w:snapToGrid w:val="0"/>
              <w:spacing w:line="240" w:lineRule="auto"/>
              <w:jc w:val="center"/>
              <w:rPr>
                <w:rFonts w:eastAsia="仿宋_GB2312"/>
                <w:color w:val="000000" w:themeColor="text1"/>
                <w:sz w:val="18"/>
                <w:szCs w:val="18"/>
              </w:rPr>
            </w:pPr>
            <w:r>
              <w:rPr>
                <w:rFonts w:eastAsia="仿宋_GB2312"/>
                <w:color w:val="000000" w:themeColor="text1"/>
                <w:sz w:val="18"/>
                <w:szCs w:val="18"/>
              </w:rPr>
              <w:t>联系人及电话</w:t>
            </w:r>
          </w:p>
        </w:tc>
        <w:tc>
          <w:tcPr>
            <w:tcW w:w="2936" w:type="dxa"/>
            <w:gridSpan w:val="3"/>
            <w:tcBorders>
              <w:tl2br w:val="nil"/>
              <w:tr2bl w:val="nil"/>
            </w:tcBorders>
            <w:vAlign w:val="center"/>
          </w:tcPr>
          <w:p>
            <w:pPr>
              <w:snapToGrid w:val="0"/>
              <w:spacing w:line="240" w:lineRule="auto"/>
              <w:jc w:val="center"/>
              <w:rPr>
                <w:rFonts w:eastAsia="仿宋_GB2312"/>
                <w:color w:val="000000" w:themeColor="text1"/>
                <w:sz w:val="18"/>
                <w:szCs w:val="18"/>
              </w:rPr>
            </w:pPr>
            <w:r>
              <w:rPr>
                <w:rFonts w:eastAsia="仿宋_GB2312"/>
                <w:color w:val="000000" w:themeColor="text1"/>
                <w:sz w:val="18"/>
                <w:szCs w:val="18"/>
              </w:rPr>
              <w:t>吴同晶/13104418333</w:t>
            </w:r>
          </w:p>
        </w:tc>
        <w:tc>
          <w:tcPr>
            <w:tcW w:w="1349" w:type="dxa"/>
            <w:gridSpan w:val="3"/>
            <w:tcBorders>
              <w:tl2br w:val="nil"/>
              <w:tr2bl w:val="nil"/>
            </w:tcBorders>
            <w:vAlign w:val="center"/>
          </w:tcPr>
          <w:p>
            <w:pPr>
              <w:snapToGrid w:val="0"/>
              <w:spacing w:line="240" w:lineRule="auto"/>
              <w:jc w:val="center"/>
              <w:rPr>
                <w:rFonts w:eastAsia="仿宋_GB2312"/>
                <w:color w:val="000000" w:themeColor="text1"/>
                <w:sz w:val="18"/>
                <w:szCs w:val="18"/>
              </w:rPr>
            </w:pPr>
            <w:r>
              <w:rPr>
                <w:rFonts w:eastAsia="仿宋_GB2312"/>
                <w:color w:val="000000" w:themeColor="text1"/>
                <w:sz w:val="18"/>
                <w:szCs w:val="18"/>
              </w:rPr>
              <w:t>联系人及电话</w:t>
            </w:r>
          </w:p>
        </w:tc>
        <w:tc>
          <w:tcPr>
            <w:tcW w:w="3250" w:type="dxa"/>
            <w:gridSpan w:val="4"/>
            <w:tcBorders>
              <w:tl2br w:val="nil"/>
              <w:tr2bl w:val="nil"/>
            </w:tcBorders>
            <w:vAlign w:val="center"/>
          </w:tcPr>
          <w:p>
            <w:pPr>
              <w:adjustRightInd/>
              <w:snapToGrid w:val="0"/>
              <w:spacing w:line="240" w:lineRule="auto"/>
              <w:jc w:val="center"/>
              <w:textAlignment w:val="auto"/>
              <w:rPr>
                <w:rFonts w:hint="eastAsia" w:eastAsia="仿宋_GB2312"/>
                <w:color w:val="000000" w:themeColor="text1"/>
                <w:sz w:val="18"/>
                <w:szCs w:val="18"/>
                <w:lang w:eastAsia="zh-CN"/>
              </w:rPr>
            </w:pPr>
            <w:r>
              <w:rPr>
                <w:rFonts w:hint="eastAsia" w:eastAsia="仿宋_GB2312"/>
                <w:color w:val="000000" w:themeColor="text1"/>
                <w:kern w:val="2"/>
                <w:sz w:val="18"/>
                <w:szCs w:val="18"/>
                <w:lang w:eastAsia="zh-CN"/>
              </w:rPr>
              <w:t>付瑶</w:t>
            </w:r>
            <w:r>
              <w:rPr>
                <w:rFonts w:eastAsia="仿宋_GB2312"/>
                <w:color w:val="000000" w:themeColor="text1"/>
                <w:kern w:val="2"/>
                <w:sz w:val="18"/>
                <w:szCs w:val="18"/>
              </w:rPr>
              <w:t>/</w:t>
            </w:r>
            <w:r>
              <w:rPr>
                <w:rFonts w:hint="eastAsia" w:eastAsia="仿宋_GB2312"/>
                <w:color w:val="000000" w:themeColor="text1"/>
                <w:kern w:val="2"/>
                <w:sz w:val="18"/>
                <w:szCs w:val="18"/>
                <w:lang w:eastAsia="zh-CN"/>
              </w:rPr>
              <w:t>13041397777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36" w:type="dxa"/>
            <w:gridSpan w:val="3"/>
            <w:tcBorders>
              <w:tl2br w:val="nil"/>
              <w:tr2bl w:val="nil"/>
            </w:tcBorders>
            <w:vAlign w:val="center"/>
          </w:tcPr>
          <w:p>
            <w:pPr>
              <w:snapToGrid w:val="0"/>
              <w:spacing w:line="240" w:lineRule="auto"/>
              <w:jc w:val="center"/>
              <w:rPr>
                <w:rFonts w:eastAsia="仿宋_GB2312"/>
                <w:color w:val="000000" w:themeColor="text1"/>
                <w:sz w:val="18"/>
                <w:szCs w:val="18"/>
              </w:rPr>
            </w:pPr>
            <w:r>
              <w:rPr>
                <w:rFonts w:eastAsia="仿宋_GB2312"/>
                <w:color w:val="000000" w:themeColor="text1"/>
                <w:sz w:val="18"/>
                <w:szCs w:val="18"/>
              </w:rPr>
              <w:t>传真</w:t>
            </w:r>
          </w:p>
        </w:tc>
        <w:tc>
          <w:tcPr>
            <w:tcW w:w="2936" w:type="dxa"/>
            <w:gridSpan w:val="3"/>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w:t>
            </w:r>
          </w:p>
        </w:tc>
        <w:tc>
          <w:tcPr>
            <w:tcW w:w="1349" w:type="dxa"/>
            <w:gridSpan w:val="3"/>
            <w:tcBorders>
              <w:tl2br w:val="nil"/>
              <w:tr2bl w:val="nil"/>
            </w:tcBorders>
            <w:vAlign w:val="center"/>
          </w:tcPr>
          <w:p>
            <w:pPr>
              <w:snapToGrid w:val="0"/>
              <w:spacing w:line="240" w:lineRule="auto"/>
              <w:jc w:val="center"/>
              <w:rPr>
                <w:rFonts w:eastAsia="仿宋_GB2312"/>
                <w:color w:val="000000" w:themeColor="text1"/>
                <w:sz w:val="18"/>
                <w:szCs w:val="18"/>
              </w:rPr>
            </w:pPr>
            <w:r>
              <w:rPr>
                <w:rFonts w:eastAsia="仿宋_GB2312"/>
                <w:color w:val="000000" w:themeColor="text1"/>
                <w:sz w:val="18"/>
                <w:szCs w:val="18"/>
              </w:rPr>
              <w:t>传真</w:t>
            </w:r>
          </w:p>
        </w:tc>
        <w:tc>
          <w:tcPr>
            <w:tcW w:w="3250" w:type="dxa"/>
            <w:gridSpan w:val="4"/>
            <w:tcBorders>
              <w:tl2br w:val="nil"/>
              <w:tr2bl w:val="nil"/>
            </w:tcBorders>
            <w:vAlign w:val="center"/>
          </w:tcPr>
          <w:p>
            <w:pPr>
              <w:adjustRightInd/>
              <w:snapToGrid w:val="0"/>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36" w:type="dxa"/>
            <w:gridSpan w:val="3"/>
            <w:tcBorders>
              <w:tl2br w:val="nil"/>
              <w:tr2bl w:val="nil"/>
            </w:tcBorders>
            <w:vAlign w:val="center"/>
          </w:tcPr>
          <w:p>
            <w:pPr>
              <w:snapToGrid w:val="0"/>
              <w:spacing w:line="240" w:lineRule="auto"/>
              <w:jc w:val="center"/>
              <w:rPr>
                <w:rFonts w:eastAsia="仿宋_GB2312"/>
                <w:color w:val="000000" w:themeColor="text1"/>
                <w:sz w:val="18"/>
                <w:szCs w:val="18"/>
              </w:rPr>
            </w:pPr>
            <w:r>
              <w:rPr>
                <w:rFonts w:eastAsia="仿宋_GB2312"/>
                <w:color w:val="000000" w:themeColor="text1"/>
                <w:sz w:val="18"/>
                <w:szCs w:val="18"/>
              </w:rPr>
              <w:t>电子信箱</w:t>
            </w:r>
          </w:p>
        </w:tc>
        <w:tc>
          <w:tcPr>
            <w:tcW w:w="2936" w:type="dxa"/>
            <w:gridSpan w:val="3"/>
            <w:tcBorders>
              <w:tl2br w:val="nil"/>
              <w:tr2bl w:val="nil"/>
            </w:tcBorders>
            <w:vAlign w:val="center"/>
          </w:tcPr>
          <w:p>
            <w:pPr>
              <w:pStyle w:val="77"/>
              <w:rPr>
                <w:rFonts w:ascii="Times New Roman" w:hAnsi="Times New Roman" w:eastAsia="仿宋_GB2312"/>
                <w:color w:val="000000" w:themeColor="text1"/>
                <w:sz w:val="18"/>
                <w:szCs w:val="18"/>
              </w:rPr>
            </w:pPr>
            <w:r>
              <w:rPr>
                <w:color w:val="000000" w:themeColor="text1"/>
              </w:rPr>
              <w:fldChar w:fldCharType="begin"/>
            </w:r>
            <w:r>
              <w:rPr>
                <w:color w:val="000000" w:themeColor="text1"/>
              </w:rPr>
              <w:instrText xml:space="preserve"> HYPERLINK "mailto:631852081@qq.com" </w:instrText>
            </w:r>
            <w:r>
              <w:rPr>
                <w:color w:val="000000" w:themeColor="text1"/>
              </w:rPr>
              <w:fldChar w:fldCharType="separate"/>
            </w:r>
            <w:r>
              <w:rPr>
                <w:rFonts w:ascii="Times New Roman" w:hAnsi="Times New Roman" w:eastAsia="仿宋_GB2312"/>
                <w:color w:val="000000" w:themeColor="text1"/>
                <w:sz w:val="18"/>
                <w:szCs w:val="18"/>
              </w:rPr>
              <w:t>631852081@qq.com</w:t>
            </w:r>
            <w:r>
              <w:rPr>
                <w:rFonts w:ascii="Times New Roman" w:hAnsi="Times New Roman" w:eastAsia="仿宋_GB2312"/>
                <w:color w:val="000000" w:themeColor="text1"/>
                <w:sz w:val="18"/>
                <w:szCs w:val="18"/>
              </w:rPr>
              <w:fldChar w:fldCharType="end"/>
            </w:r>
          </w:p>
        </w:tc>
        <w:tc>
          <w:tcPr>
            <w:tcW w:w="1349" w:type="dxa"/>
            <w:gridSpan w:val="3"/>
            <w:tcBorders>
              <w:tl2br w:val="nil"/>
              <w:tr2bl w:val="nil"/>
            </w:tcBorders>
            <w:vAlign w:val="center"/>
          </w:tcPr>
          <w:p>
            <w:pPr>
              <w:snapToGrid w:val="0"/>
              <w:spacing w:line="240" w:lineRule="auto"/>
              <w:jc w:val="center"/>
              <w:rPr>
                <w:rFonts w:eastAsia="仿宋_GB2312"/>
                <w:color w:val="000000" w:themeColor="text1"/>
                <w:sz w:val="18"/>
                <w:szCs w:val="18"/>
              </w:rPr>
            </w:pPr>
            <w:r>
              <w:rPr>
                <w:rFonts w:eastAsia="仿宋_GB2312"/>
                <w:color w:val="000000" w:themeColor="text1"/>
                <w:sz w:val="18"/>
                <w:szCs w:val="18"/>
              </w:rPr>
              <w:t>电子信箱</w:t>
            </w:r>
          </w:p>
        </w:tc>
        <w:tc>
          <w:tcPr>
            <w:tcW w:w="3250" w:type="dxa"/>
            <w:gridSpan w:val="4"/>
            <w:tcBorders>
              <w:tl2br w:val="nil"/>
              <w:tr2bl w:val="nil"/>
            </w:tcBorders>
            <w:vAlign w:val="center"/>
          </w:tcPr>
          <w:p>
            <w:pPr>
              <w:adjustRightInd/>
              <w:snapToGrid w:val="0"/>
              <w:spacing w:line="240" w:lineRule="auto"/>
              <w:jc w:val="center"/>
              <w:textAlignment w:val="auto"/>
              <w:rPr>
                <w:rFonts w:hint="eastAsia" w:eastAsia="仿宋_GB2312"/>
                <w:color w:val="000000" w:themeColor="text1"/>
                <w:sz w:val="18"/>
                <w:szCs w:val="18"/>
                <w:lang w:eastAsia="zh-CN"/>
              </w:rPr>
            </w:pPr>
            <w:r>
              <w:rPr>
                <w:rFonts w:hint="eastAsia" w:eastAsia="仿宋_GB2312"/>
                <w:color w:val="000000" w:themeColor="text1"/>
                <w:kern w:val="2"/>
                <w:sz w:val="18"/>
                <w:szCs w:val="18"/>
                <w:lang w:eastAsia="zh-CN"/>
              </w:rPr>
              <w:t>812439296@qq.com</w:t>
            </w:r>
          </w:p>
        </w:tc>
      </w:tr>
    </w:tbl>
    <w:p>
      <w:pPr>
        <w:pStyle w:val="22"/>
        <w:ind w:left="480"/>
        <w:rPr>
          <w:rFonts w:eastAsia="仿宋_GB2312"/>
          <w:color w:val="000000" w:themeColor="text1"/>
        </w:rPr>
        <w:sectPr>
          <w:headerReference r:id="rId7" w:type="default"/>
          <w:footerReference r:id="rId8" w:type="default"/>
          <w:type w:val="continuous"/>
          <w:pgSz w:w="11906" w:h="16838"/>
          <w:pgMar w:top="1440" w:right="1797" w:bottom="1440" w:left="1797" w:header="851" w:footer="992" w:gutter="0"/>
          <w:cols w:space="720" w:num="1"/>
          <w:docGrid w:linePitch="312" w:charSpace="0"/>
        </w:sectPr>
      </w:pPr>
    </w:p>
    <w:p>
      <w:pPr>
        <w:pStyle w:val="3"/>
        <w:spacing w:before="0" w:after="0" w:line="360" w:lineRule="auto"/>
        <w:rPr>
          <w:rFonts w:eastAsia="仿宋_GB2312"/>
          <w:b w:val="0"/>
          <w:color w:val="000000" w:themeColor="text1"/>
          <w:sz w:val="28"/>
          <w:szCs w:val="28"/>
        </w:rPr>
      </w:pPr>
      <w:bookmarkStart w:id="14" w:name="_Toc14664"/>
      <w:r>
        <w:rPr>
          <w:rFonts w:eastAsia="仿宋_GB2312"/>
          <w:color w:val="000000" w:themeColor="text1"/>
          <w:sz w:val="28"/>
          <w:szCs w:val="28"/>
        </w:rPr>
        <w:t>2.项目概况</w:t>
      </w:r>
      <w:bookmarkEnd w:id="14"/>
    </w:p>
    <w:p>
      <w:pPr>
        <w:pStyle w:val="4"/>
        <w:spacing w:before="0" w:after="0" w:line="360" w:lineRule="auto"/>
        <w:rPr>
          <w:rFonts w:ascii="Times New Roman" w:hAnsi="Times New Roman" w:eastAsia="仿宋_GB2312"/>
          <w:color w:val="000000" w:themeColor="text1"/>
          <w:sz w:val="28"/>
          <w:szCs w:val="28"/>
        </w:rPr>
      </w:pPr>
      <w:bookmarkStart w:id="15" w:name="_Toc14049"/>
      <w:r>
        <w:rPr>
          <w:rFonts w:ascii="Times New Roman" w:hAnsi="Times New Roman" w:eastAsia="仿宋_GB2312"/>
          <w:color w:val="000000" w:themeColor="text1"/>
          <w:sz w:val="28"/>
          <w:szCs w:val="28"/>
        </w:rPr>
        <w:t>2.1项目组成及工程布置</w:t>
      </w:r>
      <w:bookmarkEnd w:id="15"/>
    </w:p>
    <w:p>
      <w:pPr>
        <w:spacing w:line="360" w:lineRule="auto"/>
        <w:jc w:val="both"/>
        <w:rPr>
          <w:rFonts w:eastAsia="仿宋_GB2312"/>
          <w:b/>
          <w:color w:val="000000" w:themeColor="text1"/>
          <w:szCs w:val="24"/>
        </w:rPr>
      </w:pPr>
      <w:r>
        <w:rPr>
          <w:rFonts w:eastAsia="仿宋_GB2312"/>
          <w:b/>
          <w:color w:val="000000" w:themeColor="text1"/>
          <w:szCs w:val="24"/>
        </w:rPr>
        <w:t>2.1.1项目建设基本情况</w:t>
      </w:r>
    </w:p>
    <w:p>
      <w:pPr>
        <w:spacing w:line="360" w:lineRule="auto"/>
        <w:ind w:firstLine="480" w:firstLineChars="200"/>
        <w:rPr>
          <w:rFonts w:hint="eastAsia" w:eastAsia="仿宋_GB2312"/>
          <w:color w:val="000000" w:themeColor="text1"/>
          <w:lang w:eastAsia="zh-CN"/>
        </w:rPr>
      </w:pPr>
      <w:r>
        <w:rPr>
          <w:rFonts w:eastAsia="仿宋_GB2312"/>
          <w:color w:val="000000" w:themeColor="text1"/>
        </w:rPr>
        <w:t>项目名称：</w:t>
      </w:r>
      <w:r>
        <w:rPr>
          <w:rFonts w:hint="eastAsia" w:eastAsia="仿宋_GB2312"/>
          <w:color w:val="000000" w:themeColor="text1"/>
          <w:lang w:eastAsia="zh-CN"/>
        </w:rPr>
        <w:t>农安县东兴实业有限公司蒸压加气泥凝块年产40万立方项目</w:t>
      </w:r>
    </w:p>
    <w:p>
      <w:pPr>
        <w:spacing w:line="360" w:lineRule="auto"/>
        <w:ind w:firstLine="480" w:firstLineChars="200"/>
        <w:rPr>
          <w:rFonts w:hint="eastAsia" w:eastAsia="仿宋_GB2312"/>
          <w:color w:val="000000" w:themeColor="text1"/>
          <w:szCs w:val="24"/>
          <w:lang w:eastAsia="zh-CN"/>
        </w:rPr>
      </w:pPr>
      <w:r>
        <w:rPr>
          <w:rFonts w:eastAsia="仿宋_GB2312"/>
          <w:color w:val="000000" w:themeColor="text1"/>
        </w:rPr>
        <w:t>项目建设单位：</w:t>
      </w:r>
      <w:r>
        <w:rPr>
          <w:rFonts w:hint="eastAsia" w:eastAsia="仿宋_GB2312"/>
          <w:color w:val="000000" w:themeColor="text1"/>
          <w:lang w:eastAsia="zh-CN"/>
        </w:rPr>
        <w:t>农安县东兴实业有限公司</w:t>
      </w:r>
    </w:p>
    <w:p>
      <w:pPr>
        <w:spacing w:line="360" w:lineRule="auto"/>
        <w:ind w:firstLine="480" w:firstLineChars="200"/>
        <w:rPr>
          <w:rFonts w:eastAsia="仿宋_GB2312"/>
          <w:color w:val="000000" w:themeColor="text1"/>
          <w:szCs w:val="24"/>
        </w:rPr>
      </w:pPr>
      <w:r>
        <w:rPr>
          <w:rFonts w:eastAsia="仿宋_GB2312"/>
          <w:color w:val="000000" w:themeColor="text1"/>
        </w:rPr>
        <w:t>项目建设性质：新建建设类项目</w:t>
      </w:r>
    </w:p>
    <w:p>
      <w:pPr>
        <w:spacing w:line="360" w:lineRule="auto"/>
        <w:ind w:firstLine="480" w:firstLineChars="200"/>
        <w:jc w:val="both"/>
        <w:rPr>
          <w:rFonts w:eastAsia="仿宋_GB2312"/>
          <w:color w:val="000000" w:themeColor="text1"/>
          <w:highlight w:val="cyan"/>
        </w:rPr>
      </w:pPr>
      <w:r>
        <w:rPr>
          <w:rFonts w:eastAsia="仿宋_GB2312"/>
          <w:color w:val="000000" w:themeColor="text1"/>
        </w:rPr>
        <w:t>项目地理位置：本项目位于</w:t>
      </w:r>
      <w:r>
        <w:rPr>
          <w:rFonts w:hint="eastAsia" w:eastAsia="仿宋_GB2312"/>
          <w:color w:val="000000" w:themeColor="text1"/>
          <w:lang w:eastAsia="zh-CN"/>
        </w:rPr>
        <w:t>长春</w:t>
      </w:r>
      <w:r>
        <w:rPr>
          <w:rFonts w:hint="eastAsia" w:eastAsia="仿宋_GB2312"/>
          <w:color w:val="000000" w:themeColor="text1"/>
          <w:lang w:val="en-US" w:eastAsia="zh-CN"/>
        </w:rPr>
        <w:t>市农安县</w:t>
      </w:r>
      <w:r>
        <w:rPr>
          <w:rFonts w:eastAsia="仿宋_GB2312"/>
          <w:color w:val="000000" w:themeColor="text1"/>
        </w:rPr>
        <w:t>。</w:t>
      </w:r>
      <w:r>
        <w:rPr>
          <w:rFonts w:hint="eastAsia" w:eastAsia="仿宋_GB2312"/>
          <w:color w:val="000000" w:themeColor="text1"/>
        </w:rPr>
        <w:t>东至</w:t>
      </w:r>
      <w:r>
        <w:rPr>
          <w:rFonts w:hint="eastAsia" w:eastAsia="仿宋_GB2312"/>
          <w:color w:val="000000" w:themeColor="text1"/>
          <w:lang w:val="en-US" w:eastAsia="zh-CN"/>
        </w:rPr>
        <w:t>加油站</w:t>
      </w:r>
      <w:r>
        <w:rPr>
          <w:rFonts w:hint="eastAsia" w:eastAsia="仿宋_GB2312"/>
          <w:color w:val="000000" w:themeColor="text1"/>
        </w:rPr>
        <w:t>，南至</w:t>
      </w:r>
      <w:r>
        <w:rPr>
          <w:rFonts w:hint="eastAsia" w:eastAsia="仿宋_GB2312"/>
          <w:color w:val="000000" w:themeColor="text1"/>
          <w:lang w:eastAsia="zh-CN"/>
        </w:rPr>
        <w:t>烧锅镇东兴村</w:t>
      </w:r>
      <w:r>
        <w:rPr>
          <w:rFonts w:hint="eastAsia" w:eastAsia="仿宋_GB2312"/>
          <w:color w:val="000000" w:themeColor="text1"/>
        </w:rPr>
        <w:t>，西至</w:t>
      </w:r>
      <w:r>
        <w:rPr>
          <w:rFonts w:hint="eastAsia" w:eastAsia="仿宋_GB2312"/>
          <w:color w:val="000000" w:themeColor="text1"/>
          <w:lang w:eastAsia="zh-CN"/>
        </w:rPr>
        <w:t>烧锅镇东兴村</w:t>
      </w:r>
      <w:r>
        <w:rPr>
          <w:rFonts w:hint="eastAsia" w:eastAsia="仿宋_GB2312"/>
          <w:color w:val="000000" w:themeColor="text1"/>
        </w:rPr>
        <w:t>，北至</w:t>
      </w:r>
      <w:r>
        <w:rPr>
          <w:rFonts w:hint="eastAsia" w:eastAsia="仿宋_GB2312"/>
          <w:color w:val="000000" w:themeColor="text1"/>
          <w:lang w:val="en-US" w:eastAsia="zh-CN"/>
        </w:rPr>
        <w:t>长白线</w:t>
      </w:r>
      <w:r>
        <w:rPr>
          <w:rFonts w:hint="eastAsia" w:eastAsia="仿宋_GB2312"/>
          <w:color w:val="000000" w:themeColor="text1"/>
        </w:rPr>
        <w:t>。</w:t>
      </w:r>
      <w:r>
        <w:rPr>
          <w:rFonts w:eastAsia="仿宋_GB2312"/>
          <w:color w:val="000000" w:themeColor="text1"/>
        </w:rPr>
        <w:t>项目区中心点坐标为：</w:t>
      </w:r>
      <w:r>
        <w:rPr>
          <w:rFonts w:hint="eastAsia" w:eastAsia="仿宋_GB2312"/>
          <w:color w:val="000000" w:themeColor="text1"/>
        </w:rPr>
        <w:t>东经</w:t>
      </w:r>
      <w:r>
        <w:rPr>
          <w:rFonts w:hint="eastAsia" w:eastAsia="仿宋_GB2312"/>
          <w:color w:val="000000" w:themeColor="text1"/>
          <w:highlight w:val="none"/>
          <w:lang w:eastAsia="zh-CN"/>
        </w:rPr>
        <w:t>125.045888</w:t>
      </w:r>
      <w:r>
        <w:rPr>
          <w:rFonts w:hint="eastAsia" w:eastAsia="仿宋_GB2312"/>
          <w:color w:val="000000" w:themeColor="text1"/>
          <w:highlight w:val="none"/>
        </w:rPr>
        <w:t>°、北纬</w:t>
      </w:r>
      <w:r>
        <w:rPr>
          <w:rFonts w:hint="eastAsia" w:eastAsia="仿宋_GB2312"/>
          <w:color w:val="000000" w:themeColor="text1"/>
          <w:highlight w:val="none"/>
          <w:lang w:eastAsia="zh-CN"/>
        </w:rPr>
        <w:t>43.989634</w:t>
      </w:r>
      <w:r>
        <w:rPr>
          <w:rFonts w:hint="eastAsia" w:eastAsia="仿宋_GB2312"/>
          <w:color w:val="000000" w:themeColor="text1"/>
          <w:highlight w:val="none"/>
        </w:rPr>
        <w:t>°</w:t>
      </w:r>
      <w:r>
        <w:rPr>
          <w:rFonts w:eastAsia="仿宋_GB2312"/>
          <w:color w:val="000000" w:themeColor="text1"/>
        </w:rPr>
        <w:t>，本项目地理位置详见附图1：项目地理位置图。</w:t>
      </w:r>
    </w:p>
    <w:p>
      <w:pPr>
        <w:spacing w:line="360" w:lineRule="auto"/>
        <w:ind w:firstLine="480" w:firstLineChars="200"/>
        <w:jc w:val="both"/>
        <w:rPr>
          <w:rFonts w:eastAsia="仿宋_GB2312"/>
          <w:color w:val="000000" w:themeColor="text1"/>
          <w:szCs w:val="24"/>
          <w:highlight w:val="cyan"/>
        </w:rPr>
      </w:pPr>
      <w:r>
        <w:rPr>
          <w:rFonts w:eastAsia="仿宋_GB2312"/>
          <w:color w:val="000000" w:themeColor="text1"/>
          <w:szCs w:val="24"/>
        </w:rPr>
        <w:t>项目建设任务：</w:t>
      </w:r>
      <w:r>
        <w:rPr>
          <w:rFonts w:hint="eastAsia" w:eastAsia="仿宋_GB2312"/>
          <w:color w:val="000000" w:themeColor="text1"/>
          <w:szCs w:val="24"/>
        </w:rPr>
        <w:t>本项目新建</w:t>
      </w:r>
      <w:r>
        <w:rPr>
          <w:rFonts w:hint="eastAsia" w:eastAsia="仿宋_GB2312"/>
          <w:color w:val="000000" w:themeColor="text1"/>
          <w:szCs w:val="24"/>
          <w:lang w:val="en-US" w:eastAsia="zh-CN"/>
        </w:rPr>
        <w:t>生产车间、罩棚、灰库及相关附属设施，购置设备两百余台，利用蒸气加压技术年产蒸压加气混凝土砌块40万m³</w:t>
      </w:r>
      <w:r>
        <w:rPr>
          <w:rFonts w:hint="eastAsia" w:eastAsia="仿宋_GB2312"/>
          <w:color w:val="000000" w:themeColor="text1"/>
          <w:szCs w:val="24"/>
        </w:rPr>
        <w:t>。</w:t>
      </w:r>
      <w:r>
        <w:rPr>
          <w:rFonts w:eastAsia="仿宋_GB2312"/>
          <w:color w:val="000000" w:themeColor="text1"/>
          <w:szCs w:val="24"/>
        </w:rPr>
        <w:t>总建筑面积</w:t>
      </w:r>
      <w:r>
        <w:rPr>
          <w:rFonts w:hint="eastAsia" w:eastAsia="仿宋_GB2312"/>
          <w:color w:val="000000" w:themeColor="text1"/>
          <w:szCs w:val="24"/>
          <w:lang w:eastAsia="zh-CN"/>
        </w:rPr>
        <w:t>8004.42</w:t>
      </w:r>
      <w:r>
        <w:rPr>
          <w:rFonts w:eastAsia="仿宋_GB2312"/>
          <w:color w:val="000000" w:themeColor="text1"/>
          <w:szCs w:val="24"/>
        </w:rPr>
        <w:t>m</w:t>
      </w:r>
      <w:r>
        <w:rPr>
          <w:rFonts w:eastAsia="仿宋_GB2312"/>
          <w:color w:val="000000" w:themeColor="text1"/>
          <w:szCs w:val="24"/>
          <w:vertAlign w:val="superscript"/>
        </w:rPr>
        <w:t>2</w:t>
      </w:r>
      <w:r>
        <w:rPr>
          <w:rFonts w:hint="eastAsia" w:eastAsia="仿宋_GB2312"/>
          <w:color w:val="000000" w:themeColor="text1"/>
          <w:szCs w:val="24"/>
        </w:rPr>
        <w:t>，</w:t>
      </w:r>
      <w:r>
        <w:rPr>
          <w:rFonts w:eastAsia="仿宋_GB2312"/>
          <w:color w:val="000000" w:themeColor="text1"/>
          <w:szCs w:val="24"/>
        </w:rPr>
        <w:t>总占地</w:t>
      </w:r>
      <w:r>
        <w:rPr>
          <w:rFonts w:hint="eastAsia" w:eastAsia="仿宋_GB2312"/>
          <w:color w:val="000000" w:themeColor="text1"/>
          <w:szCs w:val="24"/>
        </w:rPr>
        <w:t>面积</w:t>
      </w:r>
      <w:r>
        <w:rPr>
          <w:rFonts w:hint="eastAsia" w:eastAsia="仿宋_GB2312"/>
          <w:color w:val="000000" w:themeColor="text1"/>
          <w:szCs w:val="24"/>
          <w:lang w:eastAsia="zh-CN"/>
        </w:rPr>
        <w:t>13022</w:t>
      </w:r>
      <w:r>
        <w:rPr>
          <w:rFonts w:eastAsia="仿宋_GB2312"/>
          <w:color w:val="000000" w:themeColor="text1"/>
          <w:szCs w:val="24"/>
        </w:rPr>
        <w:t>m</w:t>
      </w:r>
      <w:r>
        <w:rPr>
          <w:rFonts w:eastAsia="仿宋_GB2312"/>
          <w:color w:val="000000" w:themeColor="text1"/>
          <w:szCs w:val="24"/>
          <w:vertAlign w:val="superscript"/>
        </w:rPr>
        <w:t>2</w:t>
      </w:r>
      <w:r>
        <w:rPr>
          <w:rFonts w:eastAsia="仿宋_GB2312"/>
          <w:color w:val="000000" w:themeColor="text1"/>
          <w:szCs w:val="24"/>
        </w:rPr>
        <w:t>，其中建筑物基底面积</w:t>
      </w:r>
      <w:r>
        <w:rPr>
          <w:rFonts w:hint="eastAsia" w:eastAsia="仿宋_GB2312"/>
          <w:color w:val="000000" w:themeColor="text1"/>
          <w:szCs w:val="24"/>
          <w:lang w:eastAsia="zh-CN"/>
        </w:rPr>
        <w:t>8004.42</w:t>
      </w:r>
      <w:r>
        <w:rPr>
          <w:rFonts w:eastAsia="仿宋_GB2312"/>
          <w:color w:val="000000" w:themeColor="text1"/>
          <w:szCs w:val="24"/>
        </w:rPr>
        <w:t>m</w:t>
      </w:r>
      <w:r>
        <w:rPr>
          <w:rFonts w:eastAsia="仿宋_GB2312"/>
          <w:color w:val="000000" w:themeColor="text1"/>
          <w:szCs w:val="24"/>
          <w:vertAlign w:val="superscript"/>
        </w:rPr>
        <w:t>2</w:t>
      </w:r>
      <w:r>
        <w:rPr>
          <w:rFonts w:eastAsia="仿宋_GB2312"/>
          <w:color w:val="000000" w:themeColor="text1"/>
          <w:szCs w:val="24"/>
        </w:rPr>
        <w:t>，道路及硬化区域占地面积</w:t>
      </w:r>
      <w:r>
        <w:rPr>
          <w:rFonts w:hint="eastAsia" w:eastAsia="仿宋_GB2312"/>
          <w:color w:val="000000" w:themeColor="text1"/>
          <w:szCs w:val="24"/>
          <w:lang w:eastAsia="zh-CN"/>
        </w:rPr>
        <w:t>1258.75</w:t>
      </w:r>
      <w:r>
        <w:rPr>
          <w:rFonts w:eastAsia="仿宋_GB2312"/>
          <w:color w:val="000000" w:themeColor="text1"/>
          <w:szCs w:val="24"/>
        </w:rPr>
        <w:t>m²，绿化区域占地面积</w:t>
      </w:r>
      <w:r>
        <w:rPr>
          <w:rFonts w:hint="eastAsia" w:eastAsia="仿宋_GB2312"/>
          <w:color w:val="000000" w:themeColor="text1"/>
          <w:szCs w:val="24"/>
          <w:lang w:eastAsia="zh-CN"/>
        </w:rPr>
        <w:t>1258.75</w:t>
      </w:r>
      <w:r>
        <w:rPr>
          <w:rFonts w:eastAsia="仿宋_GB2312"/>
          <w:color w:val="000000" w:themeColor="text1"/>
          <w:szCs w:val="24"/>
        </w:rPr>
        <w:t>m²；绿地率</w:t>
      </w:r>
      <w:r>
        <w:rPr>
          <w:rFonts w:hint="eastAsia" w:eastAsia="仿宋_GB2312"/>
          <w:color w:val="000000" w:themeColor="text1"/>
          <w:szCs w:val="24"/>
          <w:lang w:val="en-US" w:eastAsia="zh-CN"/>
        </w:rPr>
        <w:t>9.67</w:t>
      </w:r>
      <w:r>
        <w:rPr>
          <w:rFonts w:eastAsia="仿宋_GB2312"/>
          <w:color w:val="000000" w:themeColor="text1"/>
          <w:szCs w:val="24"/>
        </w:rPr>
        <w:t>%</w:t>
      </w:r>
      <w:r>
        <w:rPr>
          <w:rFonts w:eastAsia="仿宋_GB2312"/>
          <w:color w:val="000000" w:themeColor="text1"/>
          <w:szCs w:val="24"/>
          <w:lang w:val="zh-CN"/>
        </w:rPr>
        <w:t>，容积率</w:t>
      </w:r>
      <w:r>
        <w:rPr>
          <w:rFonts w:hint="eastAsia" w:eastAsia="仿宋_GB2312"/>
          <w:color w:val="000000" w:themeColor="text1"/>
          <w:szCs w:val="24"/>
          <w:lang w:val="en-US" w:eastAsia="zh-CN"/>
        </w:rPr>
        <w:t>1.02</w:t>
      </w:r>
      <w:r>
        <w:rPr>
          <w:rFonts w:eastAsia="仿宋_GB2312"/>
          <w:color w:val="000000" w:themeColor="text1"/>
          <w:szCs w:val="24"/>
        </w:rPr>
        <w:t>，建筑密度</w:t>
      </w:r>
      <w:r>
        <w:rPr>
          <w:rFonts w:hint="eastAsia" w:eastAsia="仿宋_GB2312"/>
          <w:color w:val="000000" w:themeColor="text1"/>
          <w:szCs w:val="24"/>
          <w:lang w:eastAsia="zh-CN"/>
        </w:rPr>
        <w:t>61.47</w:t>
      </w:r>
      <w:r>
        <w:rPr>
          <w:rFonts w:eastAsia="仿宋_GB2312"/>
          <w:color w:val="000000" w:themeColor="text1"/>
          <w:szCs w:val="24"/>
        </w:rPr>
        <w:t>%。同时配套建设区内供配电工程、通信网络工程、供排水、供暖管线工程、道路及硬化工程、绿化工程等。</w:t>
      </w:r>
    </w:p>
    <w:p>
      <w:pPr>
        <w:spacing w:line="360" w:lineRule="auto"/>
        <w:ind w:firstLine="480" w:firstLineChars="200"/>
        <w:rPr>
          <w:rFonts w:eastAsia="仿宋_GB2312"/>
          <w:color w:val="000000" w:themeColor="text1"/>
          <w:highlight w:val="cyan"/>
        </w:rPr>
      </w:pPr>
      <w:r>
        <w:rPr>
          <w:rFonts w:eastAsia="仿宋_GB2312"/>
          <w:color w:val="000000" w:themeColor="text1"/>
        </w:rPr>
        <w:t>项目投资：本项目总投资为</w:t>
      </w:r>
      <w:r>
        <w:rPr>
          <w:rFonts w:hint="eastAsia" w:eastAsia="仿宋_GB2312"/>
          <w:color w:val="000000" w:themeColor="text1"/>
          <w:lang w:val="en-US" w:eastAsia="zh-CN"/>
        </w:rPr>
        <w:t>8000</w:t>
      </w:r>
      <w:r>
        <w:rPr>
          <w:rFonts w:eastAsia="仿宋_GB2312"/>
          <w:color w:val="000000" w:themeColor="text1"/>
        </w:rPr>
        <w:t>万元，其中土建投资</w:t>
      </w:r>
      <w:r>
        <w:rPr>
          <w:rFonts w:hint="eastAsia" w:eastAsia="仿宋_GB2312"/>
          <w:color w:val="000000" w:themeColor="text1"/>
          <w:highlight w:val="yellow"/>
          <w:lang w:eastAsia="zh-CN"/>
        </w:rPr>
        <w:t>7944.86</w:t>
      </w:r>
      <w:r>
        <w:rPr>
          <w:rFonts w:eastAsia="仿宋_GB2312"/>
          <w:color w:val="000000" w:themeColor="text1"/>
        </w:rPr>
        <w:t>万元，资金来源全部由企业自筹。</w:t>
      </w:r>
    </w:p>
    <w:p>
      <w:pPr>
        <w:spacing w:line="360" w:lineRule="auto"/>
        <w:ind w:firstLine="480" w:firstLineChars="200"/>
        <w:jc w:val="both"/>
        <w:rPr>
          <w:rFonts w:eastAsia="仿宋_GB2312"/>
          <w:b/>
          <w:bCs/>
          <w:color w:val="000000" w:themeColor="text1"/>
        </w:rPr>
      </w:pPr>
      <w:r>
        <w:rPr>
          <w:rFonts w:eastAsia="仿宋_GB2312"/>
          <w:color w:val="000000" w:themeColor="text1"/>
        </w:rPr>
        <w:t>项目工期：本项目</w:t>
      </w:r>
      <w:r>
        <w:rPr>
          <w:rFonts w:hint="eastAsia" w:eastAsia="仿宋_GB2312"/>
          <w:color w:val="000000" w:themeColor="text1"/>
          <w:lang w:val="en-US" w:eastAsia="zh-CN"/>
        </w:rPr>
        <w:t>已于2021年9月开工，计划于2023年8月完工，总工期24个月</w:t>
      </w:r>
      <w:r>
        <w:rPr>
          <w:rFonts w:eastAsia="仿宋_GB2312"/>
          <w:color w:val="000000" w:themeColor="text1"/>
        </w:rPr>
        <w:t>。</w:t>
      </w:r>
    </w:p>
    <w:p>
      <w:pPr>
        <w:spacing w:line="240" w:lineRule="auto"/>
        <w:jc w:val="center"/>
        <w:rPr>
          <w:rFonts w:eastAsia="仿宋_GB2312"/>
          <w:b/>
          <w:color w:val="000000" w:themeColor="text1"/>
          <w:szCs w:val="24"/>
        </w:rPr>
      </w:pPr>
      <w:r>
        <w:rPr>
          <w:rFonts w:eastAsia="仿宋_GB2312"/>
          <w:b/>
          <w:bCs/>
          <w:color w:val="000000" w:themeColor="text1"/>
        </w:rPr>
        <w:t>表2-1    工程特性表</w:t>
      </w:r>
    </w:p>
    <w:tbl>
      <w:tblPr>
        <w:tblStyle w:val="23"/>
        <w:tblW w:w="51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71"/>
        <w:gridCol w:w="470"/>
        <w:gridCol w:w="1091"/>
        <w:gridCol w:w="937"/>
        <w:gridCol w:w="1084"/>
        <w:gridCol w:w="296"/>
        <w:gridCol w:w="556"/>
        <w:gridCol w:w="528"/>
        <w:gridCol w:w="369"/>
        <w:gridCol w:w="88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000" w:type="pct"/>
            <w:gridSpan w:val="11"/>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kern w:val="2"/>
                <w:sz w:val="21"/>
                <w:szCs w:val="21"/>
              </w:rPr>
            </w:pPr>
            <w:r>
              <w:rPr>
                <w:rFonts w:eastAsia="仿宋_GB2312"/>
                <w:color w:val="000000" w:themeColor="text1"/>
                <w:kern w:val="2"/>
                <w:sz w:val="21"/>
                <w:szCs w:val="21"/>
              </w:rPr>
              <w:t>一、项目基本情况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27" w:type="pct"/>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kern w:val="2"/>
                <w:sz w:val="21"/>
                <w:szCs w:val="21"/>
              </w:rPr>
            </w:pPr>
            <w:r>
              <w:rPr>
                <w:rFonts w:eastAsia="仿宋_GB2312"/>
                <w:color w:val="000000" w:themeColor="text1"/>
                <w:kern w:val="2"/>
                <w:sz w:val="21"/>
                <w:szCs w:val="21"/>
              </w:rPr>
              <w:t>项目名称</w:t>
            </w:r>
          </w:p>
        </w:tc>
        <w:tc>
          <w:tcPr>
            <w:tcW w:w="2266" w:type="pct"/>
            <w:gridSpan w:val="5"/>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hint="eastAsia" w:eastAsia="仿宋_GB2312"/>
                <w:color w:val="000000" w:themeColor="text1"/>
                <w:kern w:val="2"/>
                <w:sz w:val="21"/>
                <w:szCs w:val="21"/>
                <w:lang w:eastAsia="zh-CN"/>
              </w:rPr>
            </w:pPr>
            <w:r>
              <w:rPr>
                <w:rFonts w:hint="eastAsia" w:eastAsia="仿宋_GB2312"/>
                <w:color w:val="000000" w:themeColor="text1"/>
                <w:kern w:val="2"/>
                <w:sz w:val="21"/>
                <w:szCs w:val="21"/>
                <w:lang w:eastAsia="zh-CN"/>
              </w:rPr>
              <w:t>农安县东兴实业有限公司蒸压加气泥凝块年产40万立方项目</w:t>
            </w:r>
          </w:p>
        </w:tc>
        <w:tc>
          <w:tcPr>
            <w:tcW w:w="634" w:type="pct"/>
            <w:gridSpan w:val="2"/>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kern w:val="2"/>
                <w:sz w:val="21"/>
                <w:szCs w:val="21"/>
              </w:rPr>
            </w:pPr>
            <w:r>
              <w:rPr>
                <w:rFonts w:eastAsia="仿宋_GB2312"/>
                <w:color w:val="000000" w:themeColor="text1"/>
                <w:kern w:val="2"/>
                <w:sz w:val="21"/>
                <w:szCs w:val="21"/>
              </w:rPr>
              <w:t>建设地点</w:t>
            </w:r>
          </w:p>
        </w:tc>
        <w:tc>
          <w:tcPr>
            <w:tcW w:w="1471" w:type="pct"/>
            <w:gridSpan w:val="3"/>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hint="default" w:eastAsia="仿宋_GB2312"/>
                <w:color w:val="000000" w:themeColor="text1"/>
                <w:kern w:val="2"/>
                <w:sz w:val="21"/>
                <w:szCs w:val="21"/>
                <w:lang w:val="en-US" w:eastAsia="zh-CN"/>
              </w:rPr>
            </w:pPr>
            <w:r>
              <w:rPr>
                <w:rFonts w:hint="eastAsia" w:eastAsia="仿宋_GB2312"/>
                <w:color w:val="000000" w:themeColor="text1"/>
                <w:kern w:val="2"/>
                <w:sz w:val="21"/>
                <w:szCs w:val="21"/>
                <w:lang w:eastAsia="zh-CN"/>
              </w:rPr>
              <w:t>长春</w:t>
            </w:r>
            <w:r>
              <w:rPr>
                <w:rFonts w:hint="eastAsia" w:eastAsia="仿宋_GB2312"/>
                <w:color w:val="000000" w:themeColor="text1"/>
                <w:kern w:val="2"/>
                <w:sz w:val="21"/>
                <w:szCs w:val="21"/>
                <w:lang w:val="en-US" w:eastAsia="zh-CN"/>
              </w:rPr>
              <w:t>市农安县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27" w:type="pct"/>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kern w:val="2"/>
                <w:sz w:val="21"/>
                <w:szCs w:val="21"/>
              </w:rPr>
            </w:pPr>
            <w:r>
              <w:rPr>
                <w:rFonts w:eastAsia="仿宋_GB2312"/>
                <w:color w:val="000000" w:themeColor="text1"/>
                <w:kern w:val="2"/>
                <w:sz w:val="21"/>
                <w:szCs w:val="21"/>
              </w:rPr>
              <w:t>建设单位</w:t>
            </w:r>
          </w:p>
        </w:tc>
        <w:tc>
          <w:tcPr>
            <w:tcW w:w="2266" w:type="pct"/>
            <w:gridSpan w:val="5"/>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hint="eastAsia" w:eastAsia="仿宋_GB2312"/>
                <w:color w:val="000000" w:themeColor="text1"/>
                <w:kern w:val="2"/>
                <w:sz w:val="21"/>
                <w:szCs w:val="21"/>
                <w:lang w:eastAsia="zh-CN"/>
              </w:rPr>
            </w:pPr>
            <w:r>
              <w:rPr>
                <w:rFonts w:hint="eastAsia" w:eastAsia="仿宋_GB2312"/>
                <w:color w:val="000000" w:themeColor="text1"/>
                <w:kern w:val="2"/>
                <w:sz w:val="21"/>
                <w:szCs w:val="21"/>
                <w:lang w:eastAsia="zh-CN"/>
              </w:rPr>
              <w:t>农安县东兴实业有限公司</w:t>
            </w:r>
          </w:p>
        </w:tc>
        <w:tc>
          <w:tcPr>
            <w:tcW w:w="634" w:type="pct"/>
            <w:gridSpan w:val="2"/>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kern w:val="2"/>
                <w:sz w:val="21"/>
                <w:szCs w:val="21"/>
              </w:rPr>
            </w:pPr>
            <w:r>
              <w:rPr>
                <w:rFonts w:eastAsia="仿宋_GB2312"/>
                <w:color w:val="000000" w:themeColor="text1"/>
                <w:kern w:val="2"/>
                <w:sz w:val="21"/>
                <w:szCs w:val="21"/>
              </w:rPr>
              <w:t>建设性质</w:t>
            </w:r>
          </w:p>
        </w:tc>
        <w:tc>
          <w:tcPr>
            <w:tcW w:w="1471" w:type="pct"/>
            <w:gridSpan w:val="3"/>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kern w:val="2"/>
                <w:sz w:val="21"/>
                <w:szCs w:val="21"/>
              </w:rPr>
            </w:pPr>
            <w:r>
              <w:rPr>
                <w:rFonts w:eastAsia="仿宋_GB2312"/>
                <w:color w:val="000000" w:themeColor="text1"/>
                <w:kern w:val="2"/>
                <w:sz w:val="21"/>
                <w:szCs w:val="21"/>
              </w:rPr>
              <w:t>新建建设类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27" w:type="pct"/>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kern w:val="2"/>
                <w:sz w:val="21"/>
                <w:szCs w:val="21"/>
              </w:rPr>
            </w:pPr>
            <w:r>
              <w:rPr>
                <w:rFonts w:eastAsia="仿宋_GB2312"/>
                <w:color w:val="000000" w:themeColor="text1"/>
                <w:kern w:val="2"/>
                <w:sz w:val="21"/>
                <w:szCs w:val="21"/>
              </w:rPr>
              <w:t>总投资</w:t>
            </w:r>
          </w:p>
        </w:tc>
        <w:tc>
          <w:tcPr>
            <w:tcW w:w="2266" w:type="pct"/>
            <w:gridSpan w:val="5"/>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lang w:val="en-US" w:eastAsia="zh-CN"/>
              </w:rPr>
              <w:t>8000</w:t>
            </w:r>
            <w:r>
              <w:rPr>
                <w:rFonts w:eastAsia="仿宋_GB2312"/>
                <w:color w:val="000000" w:themeColor="text1"/>
                <w:kern w:val="2"/>
                <w:sz w:val="21"/>
                <w:szCs w:val="21"/>
              </w:rPr>
              <w:t>万元</w:t>
            </w:r>
          </w:p>
        </w:tc>
        <w:tc>
          <w:tcPr>
            <w:tcW w:w="634" w:type="pct"/>
            <w:gridSpan w:val="2"/>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kern w:val="2"/>
                <w:sz w:val="21"/>
                <w:szCs w:val="21"/>
              </w:rPr>
            </w:pPr>
            <w:r>
              <w:rPr>
                <w:rFonts w:eastAsia="仿宋_GB2312"/>
                <w:color w:val="000000" w:themeColor="text1"/>
                <w:kern w:val="2"/>
                <w:sz w:val="21"/>
                <w:szCs w:val="21"/>
              </w:rPr>
              <w:t>土建投资</w:t>
            </w:r>
          </w:p>
        </w:tc>
        <w:tc>
          <w:tcPr>
            <w:tcW w:w="1471" w:type="pct"/>
            <w:gridSpan w:val="3"/>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highlight w:val="yellow"/>
                <w:lang w:eastAsia="zh-CN"/>
              </w:rPr>
              <w:t>7944.86</w:t>
            </w:r>
            <w:r>
              <w:rPr>
                <w:rFonts w:eastAsia="仿宋_GB2312"/>
                <w:color w:val="000000" w:themeColor="text1"/>
                <w:kern w:val="2"/>
                <w:sz w:val="21"/>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27" w:type="pct"/>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kern w:val="2"/>
                <w:sz w:val="21"/>
                <w:szCs w:val="21"/>
              </w:rPr>
            </w:pPr>
            <w:r>
              <w:rPr>
                <w:rFonts w:eastAsia="仿宋_GB2312"/>
                <w:color w:val="000000" w:themeColor="text1"/>
                <w:kern w:val="2"/>
                <w:sz w:val="21"/>
                <w:szCs w:val="21"/>
              </w:rPr>
              <w:t>建设期</w:t>
            </w:r>
          </w:p>
        </w:tc>
        <w:tc>
          <w:tcPr>
            <w:tcW w:w="4372" w:type="pct"/>
            <w:gridSpan w:val="10"/>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textAlignment w:val="auto"/>
              <w:rPr>
                <w:rFonts w:eastAsia="仿宋_GB2312"/>
                <w:color w:val="000000" w:themeColor="text1"/>
                <w:kern w:val="2"/>
                <w:sz w:val="21"/>
                <w:szCs w:val="21"/>
              </w:rPr>
            </w:pPr>
            <w:r>
              <w:rPr>
                <w:rFonts w:hint="eastAsia" w:eastAsia="仿宋_GB2312"/>
                <w:color w:val="000000" w:themeColor="text1"/>
                <w:kern w:val="2"/>
                <w:sz w:val="21"/>
                <w:szCs w:val="21"/>
              </w:rPr>
              <w:t>本项目</w:t>
            </w:r>
            <w:r>
              <w:rPr>
                <w:rFonts w:hint="eastAsia" w:eastAsia="仿宋_GB2312"/>
                <w:color w:val="000000" w:themeColor="text1"/>
                <w:kern w:val="2"/>
                <w:sz w:val="21"/>
                <w:szCs w:val="21"/>
                <w:lang w:val="en-US" w:eastAsia="zh-CN"/>
              </w:rPr>
              <w:t>已于2021年9月开工，计划于2023年8月完工，总工期24个月</w:t>
            </w:r>
            <w:r>
              <w:rPr>
                <w:rFonts w:hint="eastAsia" w:eastAsia="仿宋_GB2312"/>
                <w:color w:val="000000" w:themeColor="text1"/>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27" w:type="pct"/>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kern w:val="2"/>
                <w:sz w:val="21"/>
                <w:szCs w:val="21"/>
              </w:rPr>
            </w:pPr>
            <w:r>
              <w:rPr>
                <w:rFonts w:eastAsia="仿宋_GB2312"/>
                <w:color w:val="000000" w:themeColor="text1"/>
                <w:kern w:val="2"/>
                <w:sz w:val="21"/>
                <w:szCs w:val="21"/>
              </w:rPr>
              <w:t>建设规模</w:t>
            </w:r>
          </w:p>
        </w:tc>
        <w:tc>
          <w:tcPr>
            <w:tcW w:w="4372" w:type="pct"/>
            <w:gridSpan w:val="10"/>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both"/>
              <w:textAlignment w:val="auto"/>
              <w:rPr>
                <w:rFonts w:eastAsia="仿宋_GB2312"/>
                <w:color w:val="000000" w:themeColor="text1"/>
                <w:kern w:val="2"/>
                <w:sz w:val="21"/>
                <w:szCs w:val="21"/>
              </w:rPr>
            </w:pPr>
            <w:r>
              <w:rPr>
                <w:rFonts w:hint="eastAsia" w:eastAsia="仿宋_GB2312"/>
                <w:color w:val="000000" w:themeColor="text1"/>
                <w:kern w:val="2"/>
                <w:sz w:val="21"/>
                <w:szCs w:val="21"/>
              </w:rPr>
              <w:t>本项目新建</w:t>
            </w:r>
            <w:r>
              <w:rPr>
                <w:rFonts w:hint="eastAsia" w:eastAsia="仿宋_GB2312"/>
                <w:color w:val="000000" w:themeColor="text1"/>
                <w:kern w:val="2"/>
                <w:sz w:val="21"/>
                <w:szCs w:val="21"/>
                <w:lang w:val="en-US" w:eastAsia="zh-CN"/>
              </w:rPr>
              <w:t>生产车间、罩棚、灰库及相关附属设施，购置设备两百余台，利用蒸气加压技术年产蒸压加气混凝土砌块40万m³</w:t>
            </w:r>
            <w:r>
              <w:rPr>
                <w:rFonts w:hint="eastAsia" w:eastAsia="仿宋_GB2312"/>
                <w:color w:val="000000" w:themeColor="text1"/>
                <w:kern w:val="2"/>
                <w:sz w:val="21"/>
                <w:szCs w:val="21"/>
              </w:rPr>
              <w:t>。总占地面积</w:t>
            </w:r>
            <w:r>
              <w:rPr>
                <w:rFonts w:hint="eastAsia" w:eastAsia="仿宋_GB2312"/>
                <w:color w:val="000000" w:themeColor="text1"/>
                <w:kern w:val="2"/>
                <w:sz w:val="21"/>
                <w:szCs w:val="21"/>
                <w:lang w:eastAsia="zh-CN"/>
              </w:rPr>
              <w:t>13022</w:t>
            </w:r>
            <w:r>
              <w:rPr>
                <w:rFonts w:hint="eastAsia" w:eastAsia="仿宋_GB2312"/>
                <w:color w:val="000000" w:themeColor="text1"/>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27" w:type="pct"/>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kern w:val="2"/>
                <w:sz w:val="21"/>
                <w:szCs w:val="21"/>
              </w:rPr>
            </w:pPr>
            <w:r>
              <w:rPr>
                <w:rFonts w:eastAsia="仿宋_GB2312"/>
                <w:color w:val="000000" w:themeColor="text1"/>
                <w:kern w:val="2"/>
                <w:sz w:val="21"/>
                <w:szCs w:val="21"/>
              </w:rPr>
              <w:t>工程用水</w:t>
            </w:r>
          </w:p>
        </w:tc>
        <w:tc>
          <w:tcPr>
            <w:tcW w:w="4372" w:type="pct"/>
            <w:gridSpan w:val="10"/>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textAlignment w:val="auto"/>
              <w:rPr>
                <w:rFonts w:eastAsia="仿宋_GB2312"/>
                <w:color w:val="000000" w:themeColor="text1"/>
                <w:kern w:val="2"/>
                <w:sz w:val="21"/>
                <w:szCs w:val="21"/>
              </w:rPr>
            </w:pPr>
            <w:r>
              <w:rPr>
                <w:rFonts w:hint="eastAsia" w:eastAsia="仿宋_GB2312"/>
                <w:color w:val="000000" w:themeColor="text1"/>
                <w:kern w:val="2"/>
                <w:sz w:val="21"/>
                <w:szCs w:val="21"/>
              </w:rPr>
              <w:t>引自</w:t>
            </w:r>
            <w:r>
              <w:rPr>
                <w:rFonts w:hint="eastAsia" w:eastAsia="仿宋_GB2312"/>
                <w:color w:val="000000" w:themeColor="text1"/>
                <w:kern w:val="2"/>
                <w:sz w:val="21"/>
                <w:szCs w:val="21"/>
                <w:lang w:val="en-US" w:eastAsia="zh-CN"/>
              </w:rPr>
              <w:t>长白线市政</w:t>
            </w:r>
            <w:r>
              <w:rPr>
                <w:rFonts w:hint="eastAsia" w:eastAsia="仿宋_GB2312"/>
                <w:color w:val="000000" w:themeColor="text1"/>
                <w:kern w:val="2"/>
                <w:sz w:val="21"/>
                <w:szCs w:val="21"/>
              </w:rPr>
              <w:t>给水管网。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 w:hRule="atLeast"/>
          <w:jc w:val="center"/>
        </w:trPr>
        <w:tc>
          <w:tcPr>
            <w:tcW w:w="627" w:type="pct"/>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kern w:val="2"/>
                <w:sz w:val="21"/>
                <w:szCs w:val="21"/>
              </w:rPr>
            </w:pPr>
            <w:r>
              <w:rPr>
                <w:rFonts w:eastAsia="仿宋_GB2312"/>
                <w:color w:val="000000" w:themeColor="text1"/>
                <w:kern w:val="2"/>
                <w:sz w:val="21"/>
                <w:szCs w:val="21"/>
              </w:rPr>
              <w:t>工程用电</w:t>
            </w:r>
          </w:p>
        </w:tc>
        <w:tc>
          <w:tcPr>
            <w:tcW w:w="4372" w:type="pct"/>
            <w:gridSpan w:val="10"/>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textAlignment w:val="auto"/>
              <w:rPr>
                <w:rFonts w:eastAsia="仿宋_GB2312"/>
                <w:color w:val="000000" w:themeColor="text1"/>
                <w:kern w:val="2"/>
                <w:sz w:val="21"/>
                <w:szCs w:val="21"/>
              </w:rPr>
            </w:pPr>
            <w:r>
              <w:rPr>
                <w:rFonts w:eastAsia="仿宋_GB2312"/>
                <w:color w:val="000000" w:themeColor="text1"/>
                <w:kern w:val="2"/>
                <w:sz w:val="21"/>
                <w:szCs w:val="21"/>
              </w:rPr>
              <w:t>项目引自</w:t>
            </w:r>
            <w:r>
              <w:rPr>
                <w:rFonts w:hint="eastAsia" w:eastAsia="仿宋_GB2312"/>
                <w:color w:val="000000" w:themeColor="text1"/>
                <w:kern w:val="2"/>
                <w:sz w:val="21"/>
                <w:szCs w:val="21"/>
                <w:lang w:val="en-US" w:eastAsia="zh-CN"/>
              </w:rPr>
              <w:t>长白线市政</w:t>
            </w:r>
            <w:r>
              <w:rPr>
                <w:rFonts w:hint="eastAsia" w:eastAsia="仿宋_GB2312"/>
                <w:color w:val="000000" w:themeColor="text1"/>
                <w:kern w:val="2"/>
                <w:sz w:val="21"/>
                <w:szCs w:val="21"/>
              </w:rPr>
              <w:t>电力线路</w:t>
            </w:r>
            <w:r>
              <w:rPr>
                <w:rFonts w:eastAsia="仿宋_GB2312"/>
                <w:color w:val="000000" w:themeColor="text1"/>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27" w:type="pct"/>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kern w:val="2"/>
                <w:sz w:val="21"/>
                <w:szCs w:val="21"/>
              </w:rPr>
            </w:pPr>
            <w:r>
              <w:rPr>
                <w:rFonts w:eastAsia="仿宋_GB2312"/>
                <w:color w:val="000000" w:themeColor="text1"/>
                <w:kern w:val="2"/>
                <w:sz w:val="21"/>
                <w:szCs w:val="21"/>
              </w:rPr>
              <w:t>工程通讯</w:t>
            </w:r>
          </w:p>
        </w:tc>
        <w:tc>
          <w:tcPr>
            <w:tcW w:w="4372" w:type="pct"/>
            <w:gridSpan w:val="10"/>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textAlignment w:val="auto"/>
              <w:rPr>
                <w:rFonts w:eastAsia="仿宋_GB2312"/>
                <w:color w:val="000000" w:themeColor="text1"/>
                <w:kern w:val="2"/>
                <w:sz w:val="21"/>
                <w:szCs w:val="21"/>
              </w:rPr>
            </w:pPr>
            <w:r>
              <w:rPr>
                <w:rFonts w:eastAsia="仿宋_GB2312"/>
                <w:color w:val="000000" w:themeColor="text1"/>
                <w:kern w:val="2"/>
                <w:sz w:val="21"/>
                <w:szCs w:val="21"/>
              </w:rPr>
              <w:t>本项目</w:t>
            </w:r>
            <w:r>
              <w:rPr>
                <w:rFonts w:hint="eastAsia" w:eastAsia="仿宋_GB2312"/>
                <w:color w:val="000000" w:themeColor="text1"/>
                <w:kern w:val="2"/>
                <w:sz w:val="21"/>
                <w:szCs w:val="21"/>
              </w:rPr>
              <w:t>接引</w:t>
            </w:r>
            <w:r>
              <w:rPr>
                <w:rFonts w:hint="eastAsia" w:eastAsia="仿宋_GB2312"/>
                <w:color w:val="000000" w:themeColor="text1"/>
                <w:kern w:val="2"/>
                <w:sz w:val="21"/>
                <w:szCs w:val="21"/>
                <w:lang w:val="en-US" w:eastAsia="zh-CN"/>
              </w:rPr>
              <w:t>长白线市政</w:t>
            </w:r>
            <w:r>
              <w:rPr>
                <w:rFonts w:hint="eastAsia" w:eastAsia="仿宋_GB2312"/>
                <w:color w:val="000000" w:themeColor="text1"/>
                <w:kern w:val="2"/>
                <w:sz w:val="21"/>
                <w:szCs w:val="21"/>
              </w:rPr>
              <w:t>通讯线路</w:t>
            </w:r>
            <w:r>
              <w:rPr>
                <w:rFonts w:eastAsia="仿宋_GB2312"/>
                <w:color w:val="000000" w:themeColor="text1"/>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27" w:type="pct"/>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kern w:val="2"/>
                <w:sz w:val="21"/>
                <w:szCs w:val="21"/>
              </w:rPr>
            </w:pPr>
            <w:r>
              <w:rPr>
                <w:rFonts w:eastAsia="仿宋_GB2312"/>
                <w:color w:val="000000" w:themeColor="text1"/>
                <w:kern w:val="2"/>
                <w:sz w:val="21"/>
                <w:szCs w:val="21"/>
              </w:rPr>
              <w:t>移民拆迁</w:t>
            </w:r>
          </w:p>
        </w:tc>
        <w:tc>
          <w:tcPr>
            <w:tcW w:w="4372" w:type="pct"/>
            <w:gridSpan w:val="10"/>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textAlignment w:val="auto"/>
              <w:rPr>
                <w:rFonts w:eastAsia="仿宋_GB2312"/>
                <w:color w:val="000000" w:themeColor="text1"/>
                <w:kern w:val="2"/>
                <w:sz w:val="21"/>
                <w:szCs w:val="21"/>
              </w:rPr>
            </w:pPr>
            <w:r>
              <w:rPr>
                <w:rFonts w:eastAsia="仿宋_GB2312"/>
                <w:color w:val="000000" w:themeColor="text1"/>
                <w:kern w:val="2"/>
                <w:sz w:val="21"/>
                <w:szCs w:val="21"/>
              </w:rPr>
              <w:t>项目区不涉及拆迁安置与专项设施改（迁）建。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000" w:type="pct"/>
            <w:gridSpan w:val="11"/>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kern w:val="2"/>
                <w:sz w:val="21"/>
                <w:szCs w:val="21"/>
              </w:rPr>
            </w:pPr>
            <w:r>
              <w:rPr>
                <w:rFonts w:eastAsia="仿宋_GB2312"/>
                <w:color w:val="000000" w:themeColor="text1"/>
                <w:kern w:val="2"/>
                <w:sz w:val="21"/>
                <w:szCs w:val="21"/>
              </w:rPr>
              <w:t>二、主要技术指标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02" w:type="pct"/>
            <w:gridSpan w:val="2"/>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kern w:val="2"/>
                <w:sz w:val="21"/>
                <w:szCs w:val="21"/>
              </w:rPr>
            </w:pPr>
            <w:r>
              <w:rPr>
                <w:rFonts w:eastAsia="仿宋_GB2312"/>
                <w:color w:val="000000" w:themeColor="text1"/>
                <w:kern w:val="2"/>
                <w:sz w:val="21"/>
                <w:szCs w:val="21"/>
              </w:rPr>
              <w:t>工程建设区</w:t>
            </w:r>
          </w:p>
        </w:tc>
        <w:tc>
          <w:tcPr>
            <w:tcW w:w="4097" w:type="pct"/>
            <w:gridSpan w:val="9"/>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textAlignment w:val="auto"/>
              <w:rPr>
                <w:rFonts w:eastAsia="仿宋_GB2312"/>
                <w:color w:val="000000" w:themeColor="text1"/>
                <w:kern w:val="2"/>
                <w:sz w:val="21"/>
                <w:szCs w:val="21"/>
              </w:rPr>
            </w:pPr>
            <w:r>
              <w:rPr>
                <w:rFonts w:eastAsia="仿宋_GB2312"/>
                <w:color w:val="000000" w:themeColor="text1"/>
                <w:kern w:val="2"/>
                <w:sz w:val="21"/>
                <w:szCs w:val="21"/>
              </w:rPr>
              <w:t>本项目建设内容主要包括：建筑物、道路及硬化</w:t>
            </w:r>
            <w:r>
              <w:rPr>
                <w:rFonts w:hint="eastAsia" w:eastAsia="仿宋_GB2312"/>
                <w:color w:val="000000" w:themeColor="text1"/>
                <w:kern w:val="2"/>
                <w:sz w:val="21"/>
                <w:szCs w:val="21"/>
              </w:rPr>
              <w:t>以及</w:t>
            </w:r>
            <w:r>
              <w:rPr>
                <w:rFonts w:eastAsia="仿宋_GB2312"/>
                <w:color w:val="000000" w:themeColor="text1"/>
                <w:kern w:val="2"/>
                <w:sz w:val="21"/>
                <w:szCs w:val="21"/>
              </w:rPr>
              <w:t>绿化等配套附属设施，</w:t>
            </w:r>
            <w:r>
              <w:rPr>
                <w:rFonts w:eastAsia="仿宋_GB2312"/>
                <w:color w:val="000000" w:themeColor="text1"/>
                <w:sz w:val="21"/>
                <w:szCs w:val="21"/>
              </w:rPr>
              <w:t>总建筑面积</w:t>
            </w:r>
            <w:r>
              <w:rPr>
                <w:rFonts w:hint="eastAsia" w:eastAsia="仿宋_GB2312"/>
                <w:color w:val="000000" w:themeColor="text1"/>
                <w:sz w:val="21"/>
                <w:szCs w:val="21"/>
                <w:lang w:eastAsia="zh-CN"/>
              </w:rPr>
              <w:t>8004.42</w:t>
            </w:r>
            <w:r>
              <w:rPr>
                <w:rFonts w:eastAsia="仿宋_GB2312"/>
                <w:color w:val="000000" w:themeColor="text1"/>
                <w:sz w:val="21"/>
                <w:szCs w:val="21"/>
              </w:rPr>
              <w:t>m</w:t>
            </w:r>
            <w:r>
              <w:rPr>
                <w:rFonts w:eastAsia="仿宋_GB2312"/>
                <w:color w:val="000000" w:themeColor="text1"/>
                <w:sz w:val="21"/>
                <w:szCs w:val="21"/>
                <w:vertAlign w:val="superscript"/>
              </w:rPr>
              <w:t>2</w:t>
            </w:r>
            <w:r>
              <w:rPr>
                <w:rFonts w:eastAsia="仿宋_GB2312"/>
                <w:color w:val="000000" w:themeColor="text1"/>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02" w:type="pct"/>
            <w:gridSpan w:val="2"/>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kern w:val="2"/>
                <w:sz w:val="21"/>
                <w:szCs w:val="21"/>
              </w:rPr>
            </w:pPr>
            <w:r>
              <w:rPr>
                <w:rFonts w:eastAsia="仿宋_GB2312"/>
                <w:color w:val="000000" w:themeColor="text1"/>
                <w:kern w:val="2"/>
                <w:sz w:val="21"/>
                <w:szCs w:val="21"/>
              </w:rPr>
              <w:t>施工生产生活区</w:t>
            </w:r>
          </w:p>
        </w:tc>
        <w:tc>
          <w:tcPr>
            <w:tcW w:w="4097" w:type="pct"/>
            <w:gridSpan w:val="9"/>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textAlignment w:val="auto"/>
              <w:rPr>
                <w:rFonts w:eastAsia="仿宋_GB2312"/>
                <w:color w:val="000000" w:themeColor="text1"/>
                <w:kern w:val="2"/>
                <w:sz w:val="21"/>
                <w:szCs w:val="21"/>
              </w:rPr>
            </w:pPr>
            <w:r>
              <w:rPr>
                <w:rFonts w:eastAsia="仿宋_GB2312"/>
                <w:color w:val="000000" w:themeColor="text1"/>
                <w:sz w:val="21"/>
                <w:szCs w:val="21"/>
              </w:rPr>
              <w:t>本项目施工生产生活区设置在项目区内</w:t>
            </w:r>
            <w:r>
              <w:rPr>
                <w:rFonts w:hint="eastAsia" w:eastAsia="仿宋_GB2312"/>
                <w:color w:val="000000" w:themeColor="text1"/>
                <w:sz w:val="21"/>
                <w:szCs w:val="21"/>
                <w:lang w:val="en-US" w:eastAsia="zh-CN"/>
              </w:rPr>
              <w:t>北</w:t>
            </w:r>
            <w:r>
              <w:rPr>
                <w:rFonts w:eastAsia="仿宋_GB2312"/>
                <w:color w:val="000000" w:themeColor="text1"/>
                <w:sz w:val="21"/>
                <w:szCs w:val="21"/>
              </w:rPr>
              <w:t>侧空地，施工生产生活区总占地面积</w:t>
            </w:r>
            <w:r>
              <w:rPr>
                <w:rFonts w:hint="eastAsia" w:eastAsia="仿宋_GB2312"/>
                <w:color w:val="000000" w:themeColor="text1"/>
                <w:sz w:val="21"/>
                <w:szCs w:val="21"/>
                <w:lang w:val="en-US" w:eastAsia="zh-CN"/>
              </w:rPr>
              <w:t>20</w:t>
            </w:r>
            <w:r>
              <w:rPr>
                <w:rFonts w:eastAsia="仿宋_GB2312"/>
                <w:color w:val="000000" w:themeColor="text1"/>
                <w:sz w:val="21"/>
                <w:szCs w:val="21"/>
              </w:rPr>
              <w:t>0m²，施工生产生活区规格为</w:t>
            </w:r>
            <w:r>
              <w:rPr>
                <w:rFonts w:hint="eastAsia" w:eastAsia="仿宋_GB2312"/>
                <w:color w:val="000000" w:themeColor="text1"/>
                <w:sz w:val="21"/>
                <w:szCs w:val="21"/>
                <w:lang w:val="en-US" w:eastAsia="zh-CN"/>
              </w:rPr>
              <w:t>2</w:t>
            </w:r>
            <w:r>
              <w:rPr>
                <w:rFonts w:eastAsia="仿宋_GB2312"/>
                <w:color w:val="000000" w:themeColor="text1"/>
                <w:sz w:val="21"/>
                <w:szCs w:val="21"/>
              </w:rPr>
              <w:t>0m（长）×</w:t>
            </w:r>
            <w:r>
              <w:rPr>
                <w:rFonts w:hint="eastAsia" w:eastAsia="仿宋_GB2312"/>
                <w:color w:val="000000" w:themeColor="text1"/>
                <w:sz w:val="21"/>
                <w:szCs w:val="21"/>
                <w:lang w:val="en-US" w:eastAsia="zh-CN"/>
              </w:rPr>
              <w:t>10</w:t>
            </w:r>
            <w:r>
              <w:rPr>
                <w:rFonts w:eastAsia="仿宋_GB2312"/>
                <w:color w:val="000000" w:themeColor="text1"/>
                <w:sz w:val="21"/>
                <w:szCs w:val="21"/>
              </w:rPr>
              <w:t>m（宽）</w:t>
            </w:r>
            <w:r>
              <w:rPr>
                <w:rFonts w:eastAsia="仿宋_GB2312"/>
                <w:color w:val="000000" w:themeColor="text1"/>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02" w:type="pct"/>
            <w:gridSpan w:val="2"/>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kern w:val="2"/>
                <w:sz w:val="21"/>
                <w:szCs w:val="21"/>
              </w:rPr>
            </w:pPr>
            <w:r>
              <w:rPr>
                <w:rFonts w:eastAsia="仿宋_GB2312"/>
                <w:color w:val="000000" w:themeColor="text1"/>
                <w:kern w:val="2"/>
                <w:sz w:val="21"/>
                <w:szCs w:val="21"/>
              </w:rPr>
              <w:t>施工便道</w:t>
            </w:r>
          </w:p>
        </w:tc>
        <w:tc>
          <w:tcPr>
            <w:tcW w:w="4097" w:type="pct"/>
            <w:gridSpan w:val="9"/>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textAlignment w:val="auto"/>
              <w:rPr>
                <w:rFonts w:eastAsia="仿宋_GB2312"/>
                <w:color w:val="000000" w:themeColor="text1"/>
                <w:kern w:val="2"/>
                <w:sz w:val="21"/>
                <w:szCs w:val="21"/>
              </w:rPr>
            </w:pPr>
            <w:r>
              <w:rPr>
                <w:rFonts w:eastAsia="仿宋_GB2312"/>
                <w:color w:val="000000" w:themeColor="text1"/>
                <w:kern w:val="2"/>
                <w:sz w:val="21"/>
                <w:szCs w:val="21"/>
              </w:rPr>
              <w:t>进场道路接现状道路。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5000" w:type="pct"/>
            <w:gridSpan w:val="11"/>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kern w:val="2"/>
                <w:sz w:val="21"/>
                <w:szCs w:val="21"/>
                <w:highlight w:val="cyan"/>
              </w:rPr>
            </w:pPr>
            <w:r>
              <w:rPr>
                <w:rFonts w:eastAsia="仿宋_GB2312"/>
                <w:color w:val="000000" w:themeColor="text1"/>
                <w:kern w:val="2"/>
                <w:sz w:val="21"/>
                <w:szCs w:val="21"/>
              </w:rPr>
              <w:t>三、项目组成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02" w:type="pct"/>
            <w:gridSpan w:val="2"/>
            <w:vMerge w:val="restart"/>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kern w:val="2"/>
                <w:sz w:val="21"/>
                <w:szCs w:val="21"/>
              </w:rPr>
            </w:pPr>
            <w:r>
              <w:rPr>
                <w:rFonts w:eastAsia="仿宋_GB2312"/>
                <w:color w:val="000000" w:themeColor="text1"/>
                <w:kern w:val="2"/>
                <w:sz w:val="21"/>
                <w:szCs w:val="21"/>
              </w:rPr>
              <w:t>项目占地</w:t>
            </w:r>
          </w:p>
          <w:p>
            <w:pPr>
              <w:widowControl/>
              <w:adjustRightInd/>
              <w:spacing w:line="240" w:lineRule="auto"/>
              <w:jc w:val="center"/>
              <w:textAlignment w:val="auto"/>
              <w:rPr>
                <w:rFonts w:eastAsia="仿宋_GB2312"/>
                <w:color w:val="000000" w:themeColor="text1"/>
                <w:kern w:val="2"/>
                <w:sz w:val="21"/>
                <w:szCs w:val="21"/>
              </w:rPr>
            </w:pPr>
            <w:r>
              <w:rPr>
                <w:rFonts w:eastAsia="仿宋_GB2312"/>
                <w:color w:val="000000" w:themeColor="text1"/>
                <w:kern w:val="2"/>
                <w:sz w:val="21"/>
                <w:szCs w:val="21"/>
              </w:rPr>
              <w:t>及土石方</w:t>
            </w:r>
          </w:p>
        </w:tc>
        <w:tc>
          <w:tcPr>
            <w:tcW w:w="1820" w:type="pct"/>
            <w:gridSpan w:val="3"/>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kern w:val="2"/>
                <w:sz w:val="21"/>
                <w:szCs w:val="21"/>
              </w:rPr>
            </w:pPr>
            <w:r>
              <w:rPr>
                <w:rFonts w:eastAsia="仿宋_GB2312"/>
                <w:color w:val="000000" w:themeColor="text1"/>
                <w:kern w:val="2"/>
                <w:sz w:val="21"/>
                <w:szCs w:val="21"/>
              </w:rPr>
              <w:t>占地面积（hm²）</w:t>
            </w:r>
          </w:p>
        </w:tc>
        <w:tc>
          <w:tcPr>
            <w:tcW w:w="2277" w:type="pct"/>
            <w:gridSpan w:val="6"/>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kern w:val="2"/>
                <w:sz w:val="21"/>
                <w:szCs w:val="21"/>
                <w:highlight w:val="cyan"/>
              </w:rPr>
            </w:pPr>
            <w:r>
              <w:rPr>
                <w:rFonts w:eastAsia="仿宋_GB2312"/>
                <w:color w:val="000000" w:themeColor="text1"/>
                <w:kern w:val="2"/>
                <w:sz w:val="21"/>
                <w:szCs w:val="21"/>
              </w:rPr>
              <w:t>土石方量（万m</w:t>
            </w:r>
            <w:r>
              <w:rPr>
                <w:rFonts w:eastAsia="仿宋_GB2312"/>
                <w:color w:val="000000" w:themeColor="text1"/>
                <w:kern w:val="2"/>
                <w:sz w:val="21"/>
                <w:szCs w:val="21"/>
                <w:vertAlign w:val="superscript"/>
              </w:rPr>
              <w:t>3</w:t>
            </w:r>
            <w:r>
              <w:rPr>
                <w:rFonts w:eastAsia="仿宋_GB2312"/>
                <w:color w:val="000000" w:themeColor="text1"/>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02"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kern w:val="2"/>
                <w:sz w:val="21"/>
                <w:szCs w:val="21"/>
              </w:rPr>
            </w:pPr>
          </w:p>
        </w:tc>
        <w:tc>
          <w:tcPr>
            <w:tcW w:w="638" w:type="pct"/>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kern w:val="2"/>
                <w:sz w:val="21"/>
                <w:szCs w:val="21"/>
              </w:rPr>
            </w:pPr>
            <w:r>
              <w:rPr>
                <w:rFonts w:eastAsia="仿宋_GB2312"/>
                <w:color w:val="000000" w:themeColor="text1"/>
                <w:kern w:val="2"/>
                <w:sz w:val="21"/>
                <w:szCs w:val="21"/>
              </w:rPr>
              <w:t>永久征地</w:t>
            </w:r>
          </w:p>
        </w:tc>
        <w:tc>
          <w:tcPr>
            <w:tcW w:w="548" w:type="pct"/>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kern w:val="2"/>
                <w:sz w:val="21"/>
                <w:szCs w:val="21"/>
              </w:rPr>
            </w:pPr>
            <w:r>
              <w:rPr>
                <w:rFonts w:eastAsia="仿宋_GB2312"/>
                <w:color w:val="000000" w:themeColor="text1"/>
                <w:kern w:val="2"/>
                <w:sz w:val="21"/>
                <w:szCs w:val="21"/>
              </w:rPr>
              <w:t>临时用地</w:t>
            </w:r>
          </w:p>
        </w:tc>
        <w:tc>
          <w:tcPr>
            <w:tcW w:w="632" w:type="pct"/>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r>
              <w:rPr>
                <w:rFonts w:eastAsia="仿宋_GB2312"/>
                <w:color w:val="000000" w:themeColor="text1"/>
                <w:kern w:val="2"/>
                <w:sz w:val="21"/>
                <w:szCs w:val="21"/>
              </w:rPr>
              <w:t>合计</w:t>
            </w:r>
          </w:p>
        </w:tc>
        <w:tc>
          <w:tcPr>
            <w:tcW w:w="498" w:type="pct"/>
            <w:gridSpan w:val="2"/>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kern w:val="2"/>
                <w:sz w:val="21"/>
                <w:szCs w:val="21"/>
              </w:rPr>
            </w:pPr>
            <w:r>
              <w:rPr>
                <w:rFonts w:eastAsia="仿宋_GB2312"/>
                <w:color w:val="000000" w:themeColor="text1"/>
                <w:sz w:val="21"/>
                <w:szCs w:val="21"/>
              </w:rPr>
              <w:t>挖方</w:t>
            </w:r>
          </w:p>
        </w:tc>
        <w:tc>
          <w:tcPr>
            <w:tcW w:w="525" w:type="pct"/>
            <w:gridSpan w:val="2"/>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kern w:val="2"/>
                <w:sz w:val="21"/>
                <w:szCs w:val="21"/>
              </w:rPr>
            </w:pPr>
            <w:r>
              <w:rPr>
                <w:rFonts w:eastAsia="仿宋_GB2312"/>
                <w:color w:val="000000" w:themeColor="text1"/>
                <w:sz w:val="21"/>
                <w:szCs w:val="21"/>
              </w:rPr>
              <w:t>填方</w:t>
            </w:r>
          </w:p>
        </w:tc>
        <w:tc>
          <w:tcPr>
            <w:tcW w:w="518"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kern w:val="2"/>
                <w:sz w:val="21"/>
                <w:szCs w:val="21"/>
              </w:rPr>
            </w:pPr>
            <w:r>
              <w:rPr>
                <w:rFonts w:eastAsia="仿宋_GB2312"/>
                <w:color w:val="000000" w:themeColor="text1"/>
                <w:kern w:val="2"/>
                <w:sz w:val="21"/>
                <w:szCs w:val="21"/>
              </w:rPr>
              <w:t>借方</w:t>
            </w:r>
          </w:p>
        </w:tc>
        <w:tc>
          <w:tcPr>
            <w:tcW w:w="733"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kern w:val="2"/>
                <w:sz w:val="21"/>
                <w:szCs w:val="21"/>
              </w:rPr>
            </w:pPr>
            <w:r>
              <w:rPr>
                <w:rFonts w:eastAsia="仿宋_GB2312"/>
                <w:color w:val="000000" w:themeColor="text1"/>
                <w:kern w:val="2"/>
                <w:sz w:val="21"/>
                <w:szCs w:val="21"/>
              </w:rPr>
              <w:t>余（弃）方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02" w:type="pct"/>
            <w:gridSpan w:val="2"/>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kern w:val="2"/>
                <w:sz w:val="21"/>
                <w:szCs w:val="21"/>
              </w:rPr>
            </w:pPr>
            <w:r>
              <w:rPr>
                <w:rFonts w:eastAsia="仿宋_GB2312"/>
                <w:color w:val="000000" w:themeColor="text1"/>
                <w:sz w:val="21"/>
                <w:szCs w:val="21"/>
              </w:rPr>
              <w:t>工程建设区</w:t>
            </w:r>
          </w:p>
        </w:tc>
        <w:tc>
          <w:tcPr>
            <w:tcW w:w="638" w:type="pct"/>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hint="default" w:eastAsia="仿宋_GB2312"/>
                <w:color w:val="000000" w:themeColor="text1"/>
                <w:kern w:val="2"/>
                <w:sz w:val="21"/>
                <w:szCs w:val="21"/>
                <w:lang w:val="en-US" w:eastAsia="zh-CN"/>
              </w:rPr>
            </w:pPr>
            <w:r>
              <w:rPr>
                <w:rFonts w:hint="eastAsia" w:eastAsia="仿宋_GB2312"/>
                <w:color w:val="000000" w:themeColor="text1"/>
                <w:sz w:val="21"/>
                <w:szCs w:val="21"/>
                <w:lang w:val="en-US" w:eastAsia="zh-CN"/>
              </w:rPr>
              <w:t>1.30</w:t>
            </w:r>
          </w:p>
        </w:tc>
        <w:tc>
          <w:tcPr>
            <w:tcW w:w="548" w:type="pct"/>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kern w:val="2"/>
                <w:sz w:val="21"/>
                <w:szCs w:val="21"/>
              </w:rPr>
            </w:pPr>
          </w:p>
        </w:tc>
        <w:tc>
          <w:tcPr>
            <w:tcW w:w="632" w:type="pct"/>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hint="eastAsia" w:eastAsia="仿宋_GB2312"/>
                <w:color w:val="000000" w:themeColor="text1"/>
                <w:kern w:val="2"/>
                <w:sz w:val="21"/>
                <w:szCs w:val="21"/>
                <w:lang w:eastAsia="zh-CN"/>
              </w:rPr>
            </w:pPr>
            <w:r>
              <w:rPr>
                <w:rFonts w:hint="eastAsia" w:eastAsia="仿宋_GB2312"/>
                <w:color w:val="000000" w:themeColor="text1"/>
                <w:sz w:val="21"/>
                <w:szCs w:val="21"/>
                <w:lang w:val="en-US" w:eastAsia="zh-CN"/>
              </w:rPr>
              <w:t>1.30</w:t>
            </w:r>
          </w:p>
        </w:tc>
        <w:tc>
          <w:tcPr>
            <w:tcW w:w="498" w:type="pct"/>
            <w:gridSpan w:val="2"/>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hint="default" w:eastAsia="仿宋_GB2312"/>
                <w:color w:val="000000" w:themeColor="text1"/>
                <w:kern w:val="2"/>
                <w:sz w:val="21"/>
                <w:szCs w:val="21"/>
                <w:highlight w:val="none"/>
                <w:lang w:val="en-US" w:eastAsia="zh-CN"/>
              </w:rPr>
            </w:pPr>
            <w:r>
              <w:rPr>
                <w:rFonts w:hint="eastAsia" w:eastAsia="仿宋_GB2312"/>
                <w:color w:val="000000" w:themeColor="text1"/>
                <w:sz w:val="21"/>
                <w:szCs w:val="21"/>
                <w:highlight w:val="none"/>
                <w:lang w:val="en-US" w:eastAsia="zh-CN"/>
              </w:rPr>
              <w:t>0.49</w:t>
            </w:r>
          </w:p>
        </w:tc>
        <w:tc>
          <w:tcPr>
            <w:tcW w:w="525" w:type="pct"/>
            <w:gridSpan w:val="2"/>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hint="default" w:eastAsia="仿宋_GB2312"/>
                <w:color w:val="000000" w:themeColor="text1"/>
                <w:kern w:val="2"/>
                <w:sz w:val="21"/>
                <w:szCs w:val="21"/>
                <w:highlight w:val="none"/>
                <w:lang w:val="en-US" w:eastAsia="zh-CN"/>
              </w:rPr>
            </w:pPr>
            <w:r>
              <w:rPr>
                <w:rFonts w:hint="eastAsia" w:eastAsia="仿宋_GB2312"/>
                <w:color w:val="000000" w:themeColor="text1"/>
                <w:sz w:val="21"/>
                <w:szCs w:val="21"/>
                <w:highlight w:val="none"/>
                <w:lang w:val="en-US" w:eastAsia="zh-CN"/>
              </w:rPr>
              <w:t>0.53</w:t>
            </w:r>
          </w:p>
        </w:tc>
        <w:tc>
          <w:tcPr>
            <w:tcW w:w="518"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hint="default" w:eastAsia="仿宋_GB2312"/>
                <w:color w:val="000000" w:themeColor="text1"/>
                <w:sz w:val="21"/>
                <w:szCs w:val="21"/>
                <w:lang w:val="en-US" w:eastAsia="zh-CN"/>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04</w:t>
            </w:r>
          </w:p>
        </w:tc>
        <w:tc>
          <w:tcPr>
            <w:tcW w:w="733"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02" w:type="pct"/>
            <w:gridSpan w:val="2"/>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kern w:val="2"/>
                <w:sz w:val="21"/>
                <w:szCs w:val="21"/>
              </w:rPr>
            </w:pPr>
            <w:r>
              <w:rPr>
                <w:rFonts w:eastAsia="仿宋_GB2312"/>
                <w:color w:val="000000" w:themeColor="text1"/>
                <w:kern w:val="2"/>
                <w:sz w:val="21"/>
                <w:szCs w:val="21"/>
              </w:rPr>
              <w:t>合计</w:t>
            </w:r>
          </w:p>
        </w:tc>
        <w:tc>
          <w:tcPr>
            <w:tcW w:w="638" w:type="pct"/>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hint="default" w:eastAsia="仿宋_GB2312"/>
                <w:color w:val="000000" w:themeColor="text1"/>
                <w:kern w:val="2"/>
                <w:sz w:val="21"/>
                <w:szCs w:val="21"/>
                <w:lang w:val="en-US" w:eastAsia="zh-CN"/>
              </w:rPr>
            </w:pPr>
            <w:r>
              <w:rPr>
                <w:rFonts w:hint="eastAsia" w:eastAsia="仿宋_GB2312"/>
                <w:color w:val="000000" w:themeColor="text1"/>
                <w:sz w:val="21"/>
                <w:szCs w:val="21"/>
                <w:lang w:val="en-US" w:eastAsia="zh-CN"/>
              </w:rPr>
              <w:t>1.30</w:t>
            </w:r>
          </w:p>
        </w:tc>
        <w:tc>
          <w:tcPr>
            <w:tcW w:w="548" w:type="pct"/>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kern w:val="2"/>
                <w:sz w:val="21"/>
                <w:szCs w:val="21"/>
              </w:rPr>
            </w:pPr>
          </w:p>
        </w:tc>
        <w:tc>
          <w:tcPr>
            <w:tcW w:w="632" w:type="pct"/>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hint="eastAsia" w:eastAsia="仿宋_GB2312"/>
                <w:color w:val="000000" w:themeColor="text1"/>
                <w:kern w:val="2"/>
                <w:sz w:val="21"/>
                <w:szCs w:val="21"/>
                <w:lang w:eastAsia="zh-CN"/>
              </w:rPr>
            </w:pPr>
            <w:r>
              <w:rPr>
                <w:rFonts w:hint="eastAsia" w:eastAsia="仿宋_GB2312"/>
                <w:color w:val="000000" w:themeColor="text1"/>
                <w:sz w:val="21"/>
                <w:szCs w:val="21"/>
                <w:lang w:val="en-US" w:eastAsia="zh-CN"/>
              </w:rPr>
              <w:t>1.30</w:t>
            </w:r>
          </w:p>
        </w:tc>
        <w:tc>
          <w:tcPr>
            <w:tcW w:w="498" w:type="pct"/>
            <w:gridSpan w:val="2"/>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hint="default" w:eastAsia="仿宋_GB2312"/>
                <w:color w:val="000000" w:themeColor="text1"/>
                <w:kern w:val="2"/>
                <w:sz w:val="21"/>
                <w:szCs w:val="21"/>
                <w:highlight w:val="none"/>
                <w:lang w:val="en-US" w:eastAsia="zh-CN"/>
              </w:rPr>
            </w:pPr>
            <w:r>
              <w:rPr>
                <w:rFonts w:hint="eastAsia" w:eastAsia="仿宋_GB2312"/>
                <w:color w:val="000000" w:themeColor="text1"/>
                <w:sz w:val="21"/>
                <w:szCs w:val="21"/>
                <w:highlight w:val="none"/>
                <w:lang w:val="en-US" w:eastAsia="zh-CN"/>
              </w:rPr>
              <w:t>0.49</w:t>
            </w:r>
          </w:p>
        </w:tc>
        <w:tc>
          <w:tcPr>
            <w:tcW w:w="525" w:type="pct"/>
            <w:gridSpan w:val="2"/>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hint="default" w:eastAsia="仿宋_GB2312"/>
                <w:color w:val="000000" w:themeColor="text1"/>
                <w:kern w:val="2"/>
                <w:sz w:val="21"/>
                <w:szCs w:val="21"/>
                <w:highlight w:val="none"/>
                <w:lang w:val="en-US" w:eastAsia="zh-CN"/>
              </w:rPr>
            </w:pPr>
            <w:r>
              <w:rPr>
                <w:rFonts w:hint="eastAsia" w:eastAsia="仿宋_GB2312"/>
                <w:color w:val="000000" w:themeColor="text1"/>
                <w:sz w:val="21"/>
                <w:szCs w:val="21"/>
                <w:highlight w:val="none"/>
                <w:lang w:val="en-US" w:eastAsia="zh-CN"/>
              </w:rPr>
              <w:t>0.53</w:t>
            </w:r>
          </w:p>
        </w:tc>
        <w:tc>
          <w:tcPr>
            <w:tcW w:w="518"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hint="default" w:eastAsia="仿宋_GB2312"/>
                <w:color w:val="000000" w:themeColor="text1"/>
                <w:sz w:val="21"/>
                <w:szCs w:val="21"/>
                <w:lang w:val="en-US" w:eastAsia="zh-CN"/>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04</w:t>
            </w:r>
          </w:p>
        </w:tc>
        <w:tc>
          <w:tcPr>
            <w:tcW w:w="733" w:type="pct"/>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p>
        </w:tc>
      </w:tr>
    </w:tbl>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5"/>
        <w:gridCol w:w="4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pct"/>
            <w:tcBorders>
              <w:top w:val="nil"/>
              <w:left w:val="nil"/>
              <w:bottom w:val="nil"/>
              <w:right w:val="nil"/>
            </w:tcBorders>
          </w:tcPr>
          <w:p>
            <w:pPr>
              <w:spacing w:line="360" w:lineRule="auto"/>
              <w:jc w:val="both"/>
              <w:rPr>
                <w:rFonts w:eastAsia="仿宋_GB2312"/>
                <w:bCs/>
                <w:color w:val="000000" w:themeColor="text1"/>
                <w:szCs w:val="24"/>
              </w:rPr>
            </w:pPr>
            <w:r>
              <w:rPr>
                <w:rFonts w:hint="eastAsia" w:eastAsia="仿宋_GB2312"/>
                <w:bCs/>
                <w:color w:val="000000" w:themeColor="text1"/>
                <w:szCs w:val="24"/>
              </w:rPr>
              <w:drawing>
                <wp:inline distT="0" distB="0" distL="114300" distR="114300">
                  <wp:extent cx="2760980" cy="2887345"/>
                  <wp:effectExtent l="0" t="0" r="1270" b="8255"/>
                  <wp:docPr id="4" name="图片 4" descr="761e88c9485bd8ea8c8dae00fd314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61e88c9485bd8ea8c8dae00fd314ae"/>
                          <pic:cNvPicPr>
                            <a:picLocks noChangeAspect="1"/>
                          </pic:cNvPicPr>
                        </pic:nvPicPr>
                        <pic:blipFill>
                          <a:blip r:embed="rId30"/>
                          <a:srcRect t="21972" r="-145"/>
                          <a:stretch>
                            <a:fillRect/>
                          </a:stretch>
                        </pic:blipFill>
                        <pic:spPr>
                          <a:xfrm>
                            <a:off x="0" y="0"/>
                            <a:ext cx="2760980" cy="2887345"/>
                          </a:xfrm>
                          <a:prstGeom prst="rect">
                            <a:avLst/>
                          </a:prstGeom>
                        </pic:spPr>
                      </pic:pic>
                    </a:graphicData>
                  </a:graphic>
                </wp:inline>
              </w:drawing>
            </w:r>
          </w:p>
        </w:tc>
        <w:tc>
          <w:tcPr>
            <w:tcW w:w="2452" w:type="pct"/>
            <w:tcBorders>
              <w:top w:val="nil"/>
              <w:left w:val="nil"/>
              <w:bottom w:val="nil"/>
              <w:right w:val="nil"/>
            </w:tcBorders>
          </w:tcPr>
          <w:p>
            <w:pPr>
              <w:spacing w:line="360" w:lineRule="auto"/>
              <w:jc w:val="both"/>
              <w:rPr>
                <w:rFonts w:eastAsia="仿宋_GB2312"/>
                <w:bCs/>
                <w:color w:val="000000" w:themeColor="text1"/>
                <w:szCs w:val="24"/>
              </w:rPr>
            </w:pPr>
            <w:r>
              <w:rPr>
                <w:rFonts w:hint="eastAsia" w:eastAsia="仿宋_GB2312"/>
                <w:bCs/>
                <w:color w:val="000000" w:themeColor="text1"/>
                <w:szCs w:val="24"/>
              </w:rPr>
              <w:drawing>
                <wp:inline distT="0" distB="0" distL="114300" distR="114300">
                  <wp:extent cx="2649220" cy="2922905"/>
                  <wp:effectExtent l="0" t="0" r="17780" b="10795"/>
                  <wp:docPr id="6" name="图片 6" descr="9ae1e7895a5a9683dfa53cac6a9eb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ae1e7895a5a9683dfa53cac6a9ebfc"/>
                          <pic:cNvPicPr>
                            <a:picLocks noChangeAspect="1"/>
                          </pic:cNvPicPr>
                        </pic:nvPicPr>
                        <pic:blipFill>
                          <a:blip r:embed="rId31"/>
                          <a:srcRect t="17458" r="265"/>
                          <a:stretch>
                            <a:fillRect/>
                          </a:stretch>
                        </pic:blipFill>
                        <pic:spPr>
                          <a:xfrm>
                            <a:off x="0" y="0"/>
                            <a:ext cx="2649220" cy="29229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pct"/>
            <w:tcBorders>
              <w:top w:val="nil"/>
              <w:left w:val="nil"/>
              <w:bottom w:val="nil"/>
              <w:right w:val="nil"/>
            </w:tcBorders>
          </w:tcPr>
          <w:p>
            <w:pPr>
              <w:spacing w:line="360" w:lineRule="auto"/>
              <w:jc w:val="both"/>
              <w:rPr>
                <w:rFonts w:eastAsia="仿宋_GB2312"/>
                <w:bCs/>
                <w:color w:val="000000" w:themeColor="text1"/>
                <w:szCs w:val="24"/>
              </w:rPr>
            </w:pPr>
            <w:r>
              <w:rPr>
                <w:rFonts w:hint="eastAsia" w:eastAsia="仿宋_GB2312"/>
                <w:bCs/>
                <w:color w:val="000000" w:themeColor="text1"/>
                <w:szCs w:val="24"/>
              </w:rPr>
              <w:drawing>
                <wp:inline distT="0" distB="0" distL="114300" distR="114300">
                  <wp:extent cx="2751455" cy="2877185"/>
                  <wp:effectExtent l="0" t="0" r="10795" b="18415"/>
                  <wp:docPr id="9" name="图片 9" descr="78dcbe06df0bd28bad496e46f45c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8dcbe06df0bd28bad496e46f45c503"/>
                          <pic:cNvPicPr>
                            <a:picLocks noChangeAspect="1"/>
                          </pic:cNvPicPr>
                        </pic:nvPicPr>
                        <pic:blipFill>
                          <a:blip r:embed="rId32"/>
                          <a:srcRect t="23772" r="-338"/>
                          <a:stretch>
                            <a:fillRect/>
                          </a:stretch>
                        </pic:blipFill>
                        <pic:spPr>
                          <a:xfrm>
                            <a:off x="0" y="0"/>
                            <a:ext cx="2751455" cy="2877185"/>
                          </a:xfrm>
                          <a:prstGeom prst="rect">
                            <a:avLst/>
                          </a:prstGeom>
                        </pic:spPr>
                      </pic:pic>
                    </a:graphicData>
                  </a:graphic>
                </wp:inline>
              </w:drawing>
            </w:r>
          </w:p>
        </w:tc>
        <w:tc>
          <w:tcPr>
            <w:tcW w:w="2452" w:type="pct"/>
            <w:tcBorders>
              <w:top w:val="nil"/>
              <w:left w:val="nil"/>
              <w:bottom w:val="nil"/>
              <w:right w:val="nil"/>
            </w:tcBorders>
          </w:tcPr>
          <w:p>
            <w:pPr>
              <w:spacing w:line="360" w:lineRule="auto"/>
              <w:jc w:val="both"/>
              <w:rPr>
                <w:rFonts w:eastAsia="仿宋_GB2312"/>
                <w:bCs/>
                <w:color w:val="000000" w:themeColor="text1"/>
                <w:szCs w:val="24"/>
              </w:rPr>
            </w:pPr>
            <w:r>
              <w:rPr>
                <w:rFonts w:hint="eastAsia" w:eastAsia="仿宋_GB2312"/>
                <w:bCs/>
                <w:color w:val="000000" w:themeColor="text1"/>
                <w:szCs w:val="24"/>
              </w:rPr>
              <w:drawing>
                <wp:inline distT="0" distB="0" distL="114300" distR="114300">
                  <wp:extent cx="2631440" cy="2895600"/>
                  <wp:effectExtent l="0" t="0" r="16510" b="0"/>
                  <wp:docPr id="7" name="图片 7" descr="b1db0854b437f1f5250553edafb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1db0854b437f1f5250553edafb8064"/>
                          <pic:cNvPicPr>
                            <a:picLocks noChangeAspect="1"/>
                          </pic:cNvPicPr>
                        </pic:nvPicPr>
                        <pic:blipFill>
                          <a:blip r:embed="rId33"/>
                          <a:srcRect t="27535" r="-338"/>
                          <a:stretch>
                            <a:fillRect/>
                          </a:stretch>
                        </pic:blipFill>
                        <pic:spPr>
                          <a:xfrm>
                            <a:off x="0" y="0"/>
                            <a:ext cx="2631440" cy="2895600"/>
                          </a:xfrm>
                          <a:prstGeom prst="rect">
                            <a:avLst/>
                          </a:prstGeom>
                        </pic:spPr>
                      </pic:pic>
                    </a:graphicData>
                  </a:graphic>
                </wp:inline>
              </w:drawing>
            </w:r>
          </w:p>
        </w:tc>
      </w:tr>
    </w:tbl>
    <w:p>
      <w:pPr>
        <w:spacing w:line="360" w:lineRule="auto"/>
        <w:jc w:val="center"/>
        <w:rPr>
          <w:rFonts w:eastAsia="仿宋_GB2312"/>
          <w:b/>
          <w:color w:val="000000" w:themeColor="text1"/>
          <w:szCs w:val="24"/>
          <w:highlight w:val="yellow"/>
        </w:rPr>
      </w:pPr>
      <w:r>
        <w:rPr>
          <w:rFonts w:hint="eastAsia" w:eastAsia="仿宋_GB2312"/>
          <w:b/>
          <w:bCs/>
          <w:color w:val="000000" w:themeColor="text1"/>
          <w:highlight w:val="yellow"/>
        </w:rPr>
        <w:t>项目区建设现状图</w:t>
      </w:r>
    </w:p>
    <w:p>
      <w:pPr>
        <w:spacing w:line="360" w:lineRule="auto"/>
        <w:jc w:val="both"/>
        <w:rPr>
          <w:rFonts w:eastAsia="仿宋_GB2312"/>
          <w:b/>
          <w:color w:val="000000" w:themeColor="text1"/>
          <w:szCs w:val="24"/>
        </w:rPr>
      </w:pPr>
      <w:r>
        <w:rPr>
          <w:rFonts w:eastAsia="仿宋_GB2312"/>
          <w:b/>
          <w:color w:val="000000" w:themeColor="text1"/>
          <w:szCs w:val="24"/>
        </w:rPr>
        <w:t>2.1.2建设规模及建设内容</w:t>
      </w:r>
    </w:p>
    <w:p>
      <w:pPr>
        <w:spacing w:line="360" w:lineRule="auto"/>
        <w:ind w:firstLine="480" w:firstLineChars="200"/>
        <w:jc w:val="both"/>
        <w:rPr>
          <w:rFonts w:eastAsia="仿宋_GB2312"/>
          <w:color w:val="000000" w:themeColor="text1"/>
          <w:szCs w:val="28"/>
          <w:highlight w:val="cyan"/>
        </w:rPr>
      </w:pPr>
      <w:r>
        <w:rPr>
          <w:rFonts w:eastAsia="仿宋_GB2312"/>
          <w:color w:val="000000" w:themeColor="text1"/>
          <w:szCs w:val="24"/>
        </w:rPr>
        <w:t>本项目总占地面积</w:t>
      </w:r>
      <w:r>
        <w:rPr>
          <w:rFonts w:hint="eastAsia" w:eastAsia="仿宋_GB2312"/>
          <w:color w:val="000000" w:themeColor="text1"/>
          <w:szCs w:val="24"/>
          <w:lang w:eastAsia="zh-CN"/>
        </w:rPr>
        <w:t>13022</w:t>
      </w:r>
      <w:r>
        <w:rPr>
          <w:rFonts w:eastAsia="仿宋_GB2312"/>
          <w:color w:val="000000" w:themeColor="text1"/>
          <w:szCs w:val="24"/>
        </w:rPr>
        <w:t>m²，其中建筑物基底面积</w:t>
      </w:r>
      <w:r>
        <w:rPr>
          <w:rFonts w:hint="eastAsia" w:eastAsia="仿宋_GB2312"/>
          <w:color w:val="000000" w:themeColor="text1"/>
          <w:szCs w:val="24"/>
          <w:lang w:eastAsia="zh-CN"/>
        </w:rPr>
        <w:t>8004.42</w:t>
      </w:r>
      <w:r>
        <w:rPr>
          <w:rFonts w:eastAsia="仿宋_GB2312"/>
          <w:color w:val="000000" w:themeColor="text1"/>
          <w:szCs w:val="24"/>
        </w:rPr>
        <w:t>m²，道路及硬化区域占地面积</w:t>
      </w:r>
      <w:r>
        <w:rPr>
          <w:rFonts w:hint="eastAsia" w:eastAsia="仿宋_GB2312"/>
          <w:color w:val="000000" w:themeColor="text1"/>
          <w:szCs w:val="24"/>
          <w:lang w:eastAsia="zh-CN"/>
        </w:rPr>
        <w:t>1258.75</w:t>
      </w:r>
      <w:r>
        <w:rPr>
          <w:rFonts w:eastAsia="仿宋_GB2312"/>
          <w:color w:val="000000" w:themeColor="text1"/>
          <w:szCs w:val="24"/>
        </w:rPr>
        <w:t>m²，绿化区域占地面积</w:t>
      </w:r>
      <w:r>
        <w:rPr>
          <w:rFonts w:hint="eastAsia" w:eastAsia="仿宋_GB2312"/>
          <w:color w:val="000000" w:themeColor="text1"/>
          <w:szCs w:val="24"/>
          <w:lang w:eastAsia="zh-CN"/>
        </w:rPr>
        <w:t>1258.75</w:t>
      </w:r>
      <w:r>
        <w:rPr>
          <w:rFonts w:eastAsia="仿宋_GB2312"/>
          <w:color w:val="000000" w:themeColor="text1"/>
          <w:szCs w:val="24"/>
        </w:rPr>
        <w:t>m²；绿地率</w:t>
      </w:r>
      <w:r>
        <w:rPr>
          <w:rFonts w:hint="eastAsia" w:eastAsia="仿宋_GB2312"/>
          <w:color w:val="000000" w:themeColor="text1"/>
          <w:szCs w:val="24"/>
          <w:lang w:val="en-US" w:eastAsia="zh-CN"/>
        </w:rPr>
        <w:t>9.67</w:t>
      </w:r>
      <w:r>
        <w:rPr>
          <w:rFonts w:eastAsia="仿宋_GB2312"/>
          <w:color w:val="000000" w:themeColor="text1"/>
          <w:szCs w:val="24"/>
        </w:rPr>
        <w:t>%</w:t>
      </w:r>
      <w:r>
        <w:rPr>
          <w:rFonts w:eastAsia="仿宋_GB2312"/>
          <w:color w:val="000000" w:themeColor="text1"/>
          <w:szCs w:val="24"/>
          <w:lang w:val="zh-CN"/>
        </w:rPr>
        <w:t>，容积率</w:t>
      </w:r>
      <w:r>
        <w:rPr>
          <w:rFonts w:hint="eastAsia" w:eastAsia="仿宋_GB2312"/>
          <w:color w:val="000000" w:themeColor="text1"/>
          <w:szCs w:val="24"/>
          <w:lang w:val="en-US" w:eastAsia="zh-CN"/>
        </w:rPr>
        <w:t>1.02</w:t>
      </w:r>
      <w:r>
        <w:rPr>
          <w:rFonts w:eastAsia="仿宋_GB2312"/>
          <w:color w:val="000000" w:themeColor="text1"/>
          <w:szCs w:val="24"/>
        </w:rPr>
        <w:t>，建筑密度为</w:t>
      </w:r>
      <w:r>
        <w:rPr>
          <w:rFonts w:hint="eastAsia" w:eastAsia="仿宋_GB2312"/>
          <w:color w:val="000000" w:themeColor="text1"/>
          <w:szCs w:val="24"/>
          <w:lang w:eastAsia="zh-CN"/>
        </w:rPr>
        <w:t>61.47</w:t>
      </w:r>
      <w:r>
        <w:rPr>
          <w:rFonts w:eastAsia="仿宋_GB2312"/>
          <w:color w:val="000000" w:themeColor="text1"/>
          <w:szCs w:val="24"/>
        </w:rPr>
        <w:t>%</w:t>
      </w:r>
      <w:r>
        <w:rPr>
          <w:rFonts w:eastAsia="仿宋_GB2312"/>
          <w:color w:val="000000" w:themeColor="text1"/>
          <w:szCs w:val="24"/>
          <w:lang w:val="zh-CN"/>
        </w:rPr>
        <w:t>；</w:t>
      </w:r>
      <w:r>
        <w:rPr>
          <w:rFonts w:hint="eastAsia" w:eastAsia="仿宋_GB2312"/>
          <w:color w:val="000000" w:themeColor="text1"/>
          <w:szCs w:val="24"/>
          <w:lang w:val="zh-CN"/>
        </w:rPr>
        <w:t>共</w:t>
      </w:r>
      <w:r>
        <w:rPr>
          <w:rFonts w:hint="eastAsia" w:eastAsia="仿宋_GB2312"/>
          <w:color w:val="000000" w:themeColor="text1"/>
          <w:szCs w:val="24"/>
        </w:rPr>
        <w:t>建</w:t>
      </w:r>
      <w:r>
        <w:rPr>
          <w:rFonts w:hint="eastAsia" w:eastAsia="仿宋_GB2312"/>
          <w:color w:val="000000" w:themeColor="text1"/>
          <w:szCs w:val="24"/>
          <w:lang w:val="en-US" w:eastAsia="zh-CN"/>
        </w:rPr>
        <w:t>2</w:t>
      </w:r>
      <w:r>
        <w:rPr>
          <w:rFonts w:hint="eastAsia" w:eastAsia="仿宋_GB2312"/>
          <w:color w:val="000000" w:themeColor="text1"/>
          <w:szCs w:val="24"/>
        </w:rPr>
        <w:t>栋建筑，总建筑面积</w:t>
      </w:r>
      <w:r>
        <w:rPr>
          <w:rFonts w:hint="eastAsia" w:eastAsia="仿宋_GB2312"/>
          <w:color w:val="000000" w:themeColor="text1"/>
          <w:szCs w:val="24"/>
          <w:lang w:eastAsia="zh-CN"/>
        </w:rPr>
        <w:t>8004.42</w:t>
      </w:r>
      <w:r>
        <w:rPr>
          <w:rFonts w:hint="eastAsia" w:eastAsia="仿宋_GB2312"/>
          <w:color w:val="000000" w:themeColor="text1"/>
          <w:szCs w:val="24"/>
        </w:rPr>
        <w:t>m</w:t>
      </w:r>
      <w:r>
        <w:rPr>
          <w:rFonts w:hint="eastAsia" w:eastAsia="仿宋_GB2312"/>
          <w:color w:val="000000" w:themeColor="text1"/>
          <w:szCs w:val="24"/>
          <w:vertAlign w:val="superscript"/>
        </w:rPr>
        <w:t>2</w:t>
      </w:r>
      <w:r>
        <w:rPr>
          <w:rFonts w:hint="eastAsia" w:eastAsia="仿宋_GB2312"/>
          <w:color w:val="000000" w:themeColor="text1"/>
          <w:szCs w:val="24"/>
        </w:rPr>
        <w:t>，总占地面积</w:t>
      </w:r>
      <w:r>
        <w:rPr>
          <w:rFonts w:hint="eastAsia" w:eastAsia="仿宋_GB2312"/>
          <w:color w:val="000000" w:themeColor="text1"/>
          <w:szCs w:val="24"/>
          <w:lang w:eastAsia="zh-CN"/>
        </w:rPr>
        <w:t>13022</w:t>
      </w:r>
      <w:r>
        <w:rPr>
          <w:rFonts w:hint="eastAsia" w:eastAsia="仿宋_GB2312"/>
          <w:color w:val="000000" w:themeColor="text1"/>
          <w:szCs w:val="24"/>
        </w:rPr>
        <w:t>m</w:t>
      </w:r>
      <w:r>
        <w:rPr>
          <w:rFonts w:hint="eastAsia" w:eastAsia="仿宋_GB2312"/>
          <w:color w:val="000000" w:themeColor="text1"/>
          <w:szCs w:val="24"/>
          <w:vertAlign w:val="superscript"/>
        </w:rPr>
        <w:t>2</w:t>
      </w:r>
      <w:r>
        <w:rPr>
          <w:rFonts w:hint="eastAsia" w:eastAsia="仿宋_GB2312"/>
          <w:color w:val="000000" w:themeColor="text1"/>
          <w:szCs w:val="24"/>
        </w:rPr>
        <w:t>。</w:t>
      </w:r>
      <w:r>
        <w:rPr>
          <w:rFonts w:eastAsia="仿宋_GB2312"/>
          <w:color w:val="000000" w:themeColor="text1"/>
          <w:szCs w:val="24"/>
        </w:rPr>
        <w:t>建筑物基础型式为桩基础，结构形式为钢混框架结构。项目主要建设内容为：建筑物、道路及硬化、绿化、供水、排水、供电、通信网络、供暖等附属设施。工程建设区内</w:t>
      </w:r>
      <w:r>
        <w:rPr>
          <w:rFonts w:eastAsia="仿宋_GB2312"/>
          <w:color w:val="000000" w:themeColor="text1"/>
          <w:szCs w:val="24"/>
          <w:lang w:val="zh-CN"/>
        </w:rPr>
        <w:t>道路及地面硬化</w:t>
      </w:r>
      <w:r>
        <w:rPr>
          <w:rFonts w:eastAsia="仿宋_GB2312"/>
          <w:color w:val="000000" w:themeColor="text1"/>
          <w:szCs w:val="24"/>
        </w:rPr>
        <w:t>采用</w:t>
      </w:r>
      <w:r>
        <w:rPr>
          <w:rFonts w:eastAsia="仿宋_GB2312"/>
          <w:color w:val="000000" w:themeColor="text1"/>
          <w:szCs w:val="24"/>
          <w:lang w:val="zh-CN"/>
        </w:rPr>
        <w:t>水泥混凝土</w:t>
      </w:r>
      <w:r>
        <w:rPr>
          <w:rFonts w:eastAsia="仿宋_GB2312"/>
          <w:color w:val="000000" w:themeColor="text1"/>
          <w:szCs w:val="24"/>
        </w:rPr>
        <w:t>形式，绿化采用园林景观绿化设计</w:t>
      </w:r>
      <w:r>
        <w:rPr>
          <w:rFonts w:eastAsia="仿宋_GB2312"/>
          <w:color w:val="000000" w:themeColor="text1"/>
          <w:szCs w:val="28"/>
        </w:rPr>
        <w:t>。</w:t>
      </w:r>
    </w:p>
    <w:p>
      <w:pPr>
        <w:pStyle w:val="2"/>
        <w:spacing w:line="240" w:lineRule="auto"/>
        <w:ind w:left="0" w:leftChars="0"/>
        <w:jc w:val="center"/>
        <w:rPr>
          <w:rFonts w:eastAsia="仿宋_GB2312"/>
          <w:bCs/>
          <w:color w:val="000000" w:themeColor="text1"/>
        </w:rPr>
      </w:pPr>
      <w:r>
        <w:rPr>
          <w:rFonts w:eastAsia="仿宋_GB2312"/>
          <w:b/>
          <w:bCs/>
          <w:color w:val="000000" w:themeColor="text1"/>
          <w:szCs w:val="22"/>
        </w:rPr>
        <w:t xml:space="preserve">表2-2     </w:t>
      </w:r>
      <w:r>
        <w:rPr>
          <w:rFonts w:eastAsia="仿宋_GB2312"/>
          <w:b/>
          <w:bCs/>
          <w:color w:val="000000" w:themeColor="text1"/>
        </w:rPr>
        <w:t>主要技术经济指标一览表</w:t>
      </w:r>
    </w:p>
    <w:tbl>
      <w:tblPr>
        <w:tblStyle w:val="23"/>
        <w:tblW w:w="4997"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79" w:type="dxa"/>
          <w:bottom w:w="0" w:type="dxa"/>
          <w:right w:w="79" w:type="dxa"/>
        </w:tblCellMar>
      </w:tblPr>
      <w:tblGrid>
        <w:gridCol w:w="1196"/>
        <w:gridCol w:w="2229"/>
        <w:gridCol w:w="1194"/>
        <w:gridCol w:w="1570"/>
        <w:gridCol w:w="2276"/>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79" w:type="dxa"/>
            <w:bottom w:w="0" w:type="dxa"/>
            <w:right w:w="79" w:type="dxa"/>
          </w:tblCellMar>
        </w:tblPrEx>
        <w:trPr>
          <w:trHeight w:val="283" w:hRule="atLeast"/>
          <w:jc w:val="center"/>
        </w:trPr>
        <w:tc>
          <w:tcPr>
            <w:tcW w:w="706"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序号</w:t>
            </w:r>
          </w:p>
        </w:tc>
        <w:tc>
          <w:tcPr>
            <w:tcW w:w="1316"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r>
              <w:rPr>
                <w:rFonts w:eastAsia="仿宋_GB2312"/>
                <w:color w:val="000000" w:themeColor="text1"/>
                <w:kern w:val="2"/>
                <w:sz w:val="21"/>
                <w:szCs w:val="21"/>
              </w:rPr>
              <w:t>项目</w:t>
            </w:r>
          </w:p>
        </w:tc>
        <w:tc>
          <w:tcPr>
            <w:tcW w:w="705" w:type="pct"/>
            <w:tcBorders>
              <w:tl2br w:val="nil"/>
              <w:tr2bl w:val="nil"/>
            </w:tcBorders>
            <w:vAlign w:val="center"/>
          </w:tcPr>
          <w:p>
            <w:pPr>
              <w:widowControl/>
              <w:adjustRightInd/>
              <w:spacing w:line="240" w:lineRule="auto"/>
              <w:ind w:left="280" w:right="280"/>
              <w:jc w:val="both"/>
              <w:textAlignment w:val="auto"/>
              <w:rPr>
                <w:rFonts w:eastAsia="仿宋_GB2312"/>
                <w:color w:val="000000" w:themeColor="text1"/>
                <w:kern w:val="2"/>
                <w:sz w:val="21"/>
                <w:szCs w:val="21"/>
              </w:rPr>
            </w:pPr>
            <w:r>
              <w:rPr>
                <w:rFonts w:eastAsia="仿宋_GB2312"/>
                <w:color w:val="000000" w:themeColor="text1"/>
                <w:kern w:val="2"/>
                <w:sz w:val="21"/>
                <w:szCs w:val="21"/>
              </w:rPr>
              <w:t>单位</w:t>
            </w:r>
          </w:p>
        </w:tc>
        <w:tc>
          <w:tcPr>
            <w:tcW w:w="927"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r>
              <w:rPr>
                <w:rFonts w:eastAsia="仿宋_GB2312"/>
                <w:color w:val="000000" w:themeColor="text1"/>
                <w:kern w:val="2"/>
                <w:sz w:val="21"/>
                <w:szCs w:val="21"/>
              </w:rPr>
              <w:t>指标</w:t>
            </w:r>
          </w:p>
        </w:tc>
        <w:tc>
          <w:tcPr>
            <w:tcW w:w="1344"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r>
              <w:rPr>
                <w:rFonts w:eastAsia="仿宋_GB2312"/>
                <w:color w:val="000000" w:themeColor="text1"/>
                <w:kern w:val="2"/>
                <w:sz w:val="21"/>
                <w:szCs w:val="21"/>
              </w:rPr>
              <w:t>备注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79" w:type="dxa"/>
            <w:bottom w:w="0" w:type="dxa"/>
            <w:right w:w="79" w:type="dxa"/>
          </w:tblCellMar>
        </w:tblPrEx>
        <w:trPr>
          <w:trHeight w:val="283" w:hRule="atLeast"/>
          <w:jc w:val="center"/>
        </w:trPr>
        <w:tc>
          <w:tcPr>
            <w:tcW w:w="706"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1</w:t>
            </w:r>
          </w:p>
        </w:tc>
        <w:tc>
          <w:tcPr>
            <w:tcW w:w="1316"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厂区占地面积</w:t>
            </w:r>
          </w:p>
        </w:tc>
        <w:tc>
          <w:tcPr>
            <w:tcW w:w="705"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w:t>
            </w:r>
          </w:p>
        </w:tc>
        <w:tc>
          <w:tcPr>
            <w:tcW w:w="927" w:type="pct"/>
            <w:tcBorders>
              <w:tl2br w:val="nil"/>
              <w:tr2bl w:val="nil"/>
            </w:tcBorders>
            <w:vAlign w:val="center"/>
          </w:tcPr>
          <w:p>
            <w:pPr>
              <w:widowControl/>
              <w:adjustRightInd/>
              <w:spacing w:line="240" w:lineRule="auto"/>
              <w:ind w:left="280" w:right="280"/>
              <w:jc w:val="center"/>
              <w:textAlignment w:val="auto"/>
              <w:rPr>
                <w:rFonts w:hint="eastAsia" w:eastAsia="仿宋_GB2312"/>
                <w:color w:val="000000" w:themeColor="text1"/>
                <w:kern w:val="2"/>
                <w:sz w:val="21"/>
                <w:szCs w:val="21"/>
                <w:lang w:eastAsia="zh-CN"/>
              </w:rPr>
            </w:pPr>
            <w:r>
              <w:rPr>
                <w:rFonts w:hint="eastAsia" w:eastAsia="仿宋_GB2312"/>
                <w:color w:val="000000" w:themeColor="text1"/>
                <w:kern w:val="2"/>
                <w:sz w:val="21"/>
                <w:szCs w:val="21"/>
                <w:lang w:eastAsia="zh-CN"/>
              </w:rPr>
              <w:t>13022</w:t>
            </w:r>
          </w:p>
        </w:tc>
        <w:tc>
          <w:tcPr>
            <w:tcW w:w="1344"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79" w:type="dxa"/>
            <w:bottom w:w="0" w:type="dxa"/>
            <w:right w:w="79" w:type="dxa"/>
          </w:tblCellMar>
        </w:tblPrEx>
        <w:trPr>
          <w:trHeight w:val="283" w:hRule="atLeast"/>
          <w:jc w:val="center"/>
        </w:trPr>
        <w:tc>
          <w:tcPr>
            <w:tcW w:w="706"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2</w:t>
            </w:r>
          </w:p>
        </w:tc>
        <w:tc>
          <w:tcPr>
            <w:tcW w:w="1316"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建筑物基础面积</w:t>
            </w:r>
          </w:p>
        </w:tc>
        <w:tc>
          <w:tcPr>
            <w:tcW w:w="705"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w:t>
            </w:r>
          </w:p>
        </w:tc>
        <w:tc>
          <w:tcPr>
            <w:tcW w:w="927" w:type="pct"/>
            <w:tcBorders>
              <w:tl2br w:val="nil"/>
              <w:tr2bl w:val="nil"/>
            </w:tcBorders>
            <w:vAlign w:val="center"/>
          </w:tcPr>
          <w:p>
            <w:pPr>
              <w:widowControl/>
              <w:adjustRightInd/>
              <w:spacing w:line="240" w:lineRule="auto"/>
              <w:ind w:left="280" w:right="280"/>
              <w:jc w:val="center"/>
              <w:textAlignment w:val="auto"/>
              <w:rPr>
                <w:rFonts w:hint="eastAsia" w:eastAsia="仿宋_GB2312"/>
                <w:color w:val="000000" w:themeColor="text1"/>
                <w:kern w:val="2"/>
                <w:sz w:val="21"/>
                <w:szCs w:val="21"/>
                <w:lang w:eastAsia="zh-CN"/>
              </w:rPr>
            </w:pPr>
            <w:r>
              <w:rPr>
                <w:rFonts w:hint="eastAsia" w:eastAsia="仿宋_GB2312"/>
                <w:color w:val="000000" w:themeColor="text1"/>
                <w:kern w:val="2"/>
                <w:sz w:val="21"/>
                <w:szCs w:val="21"/>
                <w:lang w:eastAsia="zh-CN"/>
              </w:rPr>
              <w:t>8004.42</w:t>
            </w:r>
          </w:p>
        </w:tc>
        <w:tc>
          <w:tcPr>
            <w:tcW w:w="1344"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79" w:type="dxa"/>
            <w:bottom w:w="0" w:type="dxa"/>
            <w:right w:w="79" w:type="dxa"/>
          </w:tblCellMar>
        </w:tblPrEx>
        <w:trPr>
          <w:trHeight w:val="283" w:hRule="atLeast"/>
          <w:jc w:val="center"/>
        </w:trPr>
        <w:tc>
          <w:tcPr>
            <w:tcW w:w="706"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3</w:t>
            </w:r>
          </w:p>
        </w:tc>
        <w:tc>
          <w:tcPr>
            <w:tcW w:w="1316"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建筑物建筑面积</w:t>
            </w:r>
          </w:p>
        </w:tc>
        <w:tc>
          <w:tcPr>
            <w:tcW w:w="705"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w:t>
            </w:r>
          </w:p>
        </w:tc>
        <w:tc>
          <w:tcPr>
            <w:tcW w:w="927" w:type="pct"/>
            <w:tcBorders>
              <w:tl2br w:val="nil"/>
              <w:tr2bl w:val="nil"/>
            </w:tcBorders>
            <w:vAlign w:val="center"/>
          </w:tcPr>
          <w:p>
            <w:pPr>
              <w:widowControl/>
              <w:adjustRightInd/>
              <w:spacing w:line="240" w:lineRule="auto"/>
              <w:ind w:left="280" w:right="280"/>
              <w:jc w:val="center"/>
              <w:textAlignment w:val="auto"/>
              <w:rPr>
                <w:rFonts w:hint="eastAsia" w:eastAsia="仿宋_GB2312"/>
                <w:color w:val="000000" w:themeColor="text1"/>
                <w:kern w:val="2"/>
                <w:sz w:val="21"/>
                <w:szCs w:val="21"/>
                <w:lang w:eastAsia="zh-CN"/>
              </w:rPr>
            </w:pPr>
            <w:r>
              <w:rPr>
                <w:rFonts w:hint="eastAsia" w:eastAsia="仿宋_GB2312"/>
                <w:color w:val="000000" w:themeColor="text1"/>
                <w:kern w:val="2"/>
                <w:sz w:val="21"/>
                <w:szCs w:val="21"/>
                <w:lang w:eastAsia="zh-CN"/>
              </w:rPr>
              <w:t>8004.42</w:t>
            </w:r>
          </w:p>
        </w:tc>
        <w:tc>
          <w:tcPr>
            <w:tcW w:w="1344"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79" w:type="dxa"/>
            <w:bottom w:w="0" w:type="dxa"/>
            <w:right w:w="79" w:type="dxa"/>
          </w:tblCellMar>
        </w:tblPrEx>
        <w:trPr>
          <w:trHeight w:val="283" w:hRule="atLeast"/>
          <w:jc w:val="center"/>
        </w:trPr>
        <w:tc>
          <w:tcPr>
            <w:tcW w:w="706"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4</w:t>
            </w:r>
          </w:p>
        </w:tc>
        <w:tc>
          <w:tcPr>
            <w:tcW w:w="1316"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道路及硬化面积</w:t>
            </w:r>
          </w:p>
        </w:tc>
        <w:tc>
          <w:tcPr>
            <w:tcW w:w="705"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w:t>
            </w:r>
          </w:p>
        </w:tc>
        <w:tc>
          <w:tcPr>
            <w:tcW w:w="927" w:type="pct"/>
            <w:tcBorders>
              <w:tl2br w:val="nil"/>
              <w:tr2bl w:val="nil"/>
            </w:tcBorders>
            <w:vAlign w:val="center"/>
          </w:tcPr>
          <w:p>
            <w:pPr>
              <w:widowControl/>
              <w:adjustRightInd/>
              <w:spacing w:line="240" w:lineRule="auto"/>
              <w:ind w:left="280" w:right="280"/>
              <w:jc w:val="center"/>
              <w:textAlignment w:val="auto"/>
              <w:rPr>
                <w:rFonts w:hint="eastAsia" w:eastAsia="仿宋_GB2312"/>
                <w:color w:val="000000" w:themeColor="text1"/>
                <w:kern w:val="2"/>
                <w:sz w:val="21"/>
                <w:szCs w:val="21"/>
                <w:lang w:eastAsia="zh-CN"/>
              </w:rPr>
            </w:pPr>
            <w:r>
              <w:rPr>
                <w:rFonts w:hint="eastAsia" w:eastAsia="仿宋_GB2312"/>
                <w:color w:val="000000" w:themeColor="text1"/>
                <w:kern w:val="2"/>
                <w:sz w:val="21"/>
                <w:szCs w:val="21"/>
                <w:lang w:eastAsia="zh-CN"/>
              </w:rPr>
              <w:t>1258.75</w:t>
            </w:r>
          </w:p>
        </w:tc>
        <w:tc>
          <w:tcPr>
            <w:tcW w:w="1344"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79" w:type="dxa"/>
            <w:bottom w:w="0" w:type="dxa"/>
            <w:right w:w="79" w:type="dxa"/>
          </w:tblCellMar>
        </w:tblPrEx>
        <w:trPr>
          <w:trHeight w:val="292" w:hRule="atLeast"/>
          <w:jc w:val="center"/>
        </w:trPr>
        <w:tc>
          <w:tcPr>
            <w:tcW w:w="706"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5</w:t>
            </w:r>
          </w:p>
        </w:tc>
        <w:tc>
          <w:tcPr>
            <w:tcW w:w="1316"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绿地面积</w:t>
            </w:r>
          </w:p>
        </w:tc>
        <w:tc>
          <w:tcPr>
            <w:tcW w:w="705"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w:t>
            </w:r>
          </w:p>
        </w:tc>
        <w:tc>
          <w:tcPr>
            <w:tcW w:w="927" w:type="pct"/>
            <w:tcBorders>
              <w:tl2br w:val="nil"/>
              <w:tr2bl w:val="nil"/>
            </w:tcBorders>
            <w:vAlign w:val="center"/>
          </w:tcPr>
          <w:p>
            <w:pPr>
              <w:widowControl/>
              <w:adjustRightInd/>
              <w:spacing w:line="240" w:lineRule="auto"/>
              <w:ind w:left="280" w:right="280"/>
              <w:jc w:val="center"/>
              <w:textAlignment w:val="auto"/>
              <w:rPr>
                <w:rFonts w:hint="eastAsia" w:eastAsia="仿宋_GB2312"/>
                <w:color w:val="000000" w:themeColor="text1"/>
                <w:kern w:val="2"/>
                <w:sz w:val="21"/>
                <w:szCs w:val="21"/>
                <w:lang w:eastAsia="zh-CN"/>
              </w:rPr>
            </w:pPr>
            <w:r>
              <w:rPr>
                <w:rFonts w:hint="eastAsia" w:eastAsia="仿宋_GB2312"/>
                <w:color w:val="000000" w:themeColor="text1"/>
                <w:kern w:val="2"/>
                <w:sz w:val="21"/>
                <w:szCs w:val="21"/>
                <w:lang w:eastAsia="zh-CN"/>
              </w:rPr>
              <w:t>1258.75</w:t>
            </w:r>
          </w:p>
        </w:tc>
        <w:tc>
          <w:tcPr>
            <w:tcW w:w="1344"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79" w:type="dxa"/>
            <w:bottom w:w="0" w:type="dxa"/>
            <w:right w:w="79" w:type="dxa"/>
          </w:tblCellMar>
        </w:tblPrEx>
        <w:trPr>
          <w:trHeight w:val="283" w:hRule="atLeast"/>
          <w:jc w:val="center"/>
        </w:trPr>
        <w:tc>
          <w:tcPr>
            <w:tcW w:w="706"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6</w:t>
            </w:r>
          </w:p>
        </w:tc>
        <w:tc>
          <w:tcPr>
            <w:tcW w:w="1316"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容积率</w:t>
            </w:r>
          </w:p>
        </w:tc>
        <w:tc>
          <w:tcPr>
            <w:tcW w:w="705"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p>
        </w:tc>
        <w:tc>
          <w:tcPr>
            <w:tcW w:w="927" w:type="pct"/>
            <w:tcBorders>
              <w:tl2br w:val="nil"/>
              <w:tr2bl w:val="nil"/>
            </w:tcBorders>
            <w:vAlign w:val="center"/>
          </w:tcPr>
          <w:p>
            <w:pPr>
              <w:widowControl/>
              <w:adjustRightInd/>
              <w:spacing w:line="240" w:lineRule="auto"/>
              <w:ind w:left="280" w:right="280"/>
              <w:jc w:val="center"/>
              <w:textAlignment w:val="auto"/>
              <w:rPr>
                <w:rFonts w:hint="default" w:eastAsia="仿宋_GB2312"/>
                <w:color w:val="000000" w:themeColor="text1"/>
                <w:kern w:val="2"/>
                <w:sz w:val="21"/>
                <w:szCs w:val="21"/>
                <w:lang w:val="en-US" w:eastAsia="zh-CN"/>
              </w:rPr>
            </w:pPr>
            <w:r>
              <w:rPr>
                <w:rFonts w:hint="eastAsia" w:eastAsia="仿宋_GB2312"/>
                <w:color w:val="000000" w:themeColor="text1"/>
                <w:kern w:val="2"/>
                <w:sz w:val="21"/>
                <w:szCs w:val="21"/>
                <w:lang w:val="en-US" w:eastAsia="zh-CN"/>
              </w:rPr>
              <w:t>1.02</w:t>
            </w:r>
          </w:p>
        </w:tc>
        <w:tc>
          <w:tcPr>
            <w:tcW w:w="1344"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79" w:type="dxa"/>
            <w:bottom w:w="0" w:type="dxa"/>
            <w:right w:w="79" w:type="dxa"/>
          </w:tblCellMar>
        </w:tblPrEx>
        <w:trPr>
          <w:trHeight w:val="283" w:hRule="atLeast"/>
          <w:jc w:val="center"/>
        </w:trPr>
        <w:tc>
          <w:tcPr>
            <w:tcW w:w="706"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7</w:t>
            </w:r>
          </w:p>
        </w:tc>
        <w:tc>
          <w:tcPr>
            <w:tcW w:w="1316"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绿地率</w:t>
            </w:r>
          </w:p>
        </w:tc>
        <w:tc>
          <w:tcPr>
            <w:tcW w:w="705"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w:t>
            </w:r>
          </w:p>
        </w:tc>
        <w:tc>
          <w:tcPr>
            <w:tcW w:w="927" w:type="pct"/>
            <w:tcBorders>
              <w:tl2br w:val="nil"/>
              <w:tr2bl w:val="nil"/>
            </w:tcBorders>
            <w:vAlign w:val="center"/>
          </w:tcPr>
          <w:p>
            <w:pPr>
              <w:widowControl/>
              <w:adjustRightInd/>
              <w:spacing w:line="240" w:lineRule="auto"/>
              <w:ind w:left="280" w:right="280"/>
              <w:jc w:val="center"/>
              <w:textAlignment w:val="auto"/>
              <w:rPr>
                <w:rFonts w:hint="default" w:eastAsia="仿宋_GB2312"/>
                <w:color w:val="000000" w:themeColor="text1"/>
                <w:kern w:val="2"/>
                <w:sz w:val="21"/>
                <w:szCs w:val="21"/>
                <w:lang w:val="en-US" w:eastAsia="zh-CN"/>
              </w:rPr>
            </w:pPr>
            <w:r>
              <w:rPr>
                <w:rFonts w:hint="eastAsia" w:eastAsia="仿宋_GB2312"/>
                <w:color w:val="000000" w:themeColor="text1"/>
                <w:kern w:val="2"/>
                <w:sz w:val="21"/>
                <w:szCs w:val="21"/>
                <w:lang w:val="en-US" w:eastAsia="zh-CN"/>
              </w:rPr>
              <w:t>9.67</w:t>
            </w:r>
          </w:p>
        </w:tc>
        <w:tc>
          <w:tcPr>
            <w:tcW w:w="1344"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79" w:type="dxa"/>
            <w:bottom w:w="0" w:type="dxa"/>
            <w:right w:w="79" w:type="dxa"/>
          </w:tblCellMar>
        </w:tblPrEx>
        <w:trPr>
          <w:trHeight w:val="283" w:hRule="atLeast"/>
          <w:jc w:val="center"/>
        </w:trPr>
        <w:tc>
          <w:tcPr>
            <w:tcW w:w="706"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8</w:t>
            </w:r>
          </w:p>
        </w:tc>
        <w:tc>
          <w:tcPr>
            <w:tcW w:w="1316"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建筑密度</w:t>
            </w:r>
          </w:p>
        </w:tc>
        <w:tc>
          <w:tcPr>
            <w:tcW w:w="705"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w:t>
            </w:r>
          </w:p>
        </w:tc>
        <w:tc>
          <w:tcPr>
            <w:tcW w:w="927" w:type="pct"/>
            <w:tcBorders>
              <w:tl2br w:val="nil"/>
              <w:tr2bl w:val="nil"/>
            </w:tcBorders>
            <w:vAlign w:val="center"/>
          </w:tcPr>
          <w:p>
            <w:pPr>
              <w:widowControl/>
              <w:adjustRightInd/>
              <w:spacing w:line="240" w:lineRule="auto"/>
              <w:ind w:left="280" w:right="280"/>
              <w:jc w:val="center"/>
              <w:textAlignment w:val="auto"/>
              <w:rPr>
                <w:rFonts w:hint="eastAsia" w:eastAsia="仿宋_GB2312"/>
                <w:color w:val="000000" w:themeColor="text1"/>
                <w:kern w:val="2"/>
                <w:sz w:val="21"/>
                <w:szCs w:val="21"/>
                <w:lang w:eastAsia="zh-CN"/>
              </w:rPr>
            </w:pPr>
            <w:r>
              <w:rPr>
                <w:rFonts w:hint="eastAsia" w:eastAsia="仿宋_GB2312"/>
                <w:color w:val="000000" w:themeColor="text1"/>
                <w:kern w:val="2"/>
                <w:sz w:val="21"/>
                <w:szCs w:val="21"/>
                <w:lang w:eastAsia="zh-CN"/>
              </w:rPr>
              <w:t>61.47</w:t>
            </w:r>
          </w:p>
        </w:tc>
        <w:tc>
          <w:tcPr>
            <w:tcW w:w="1344" w:type="pct"/>
            <w:tcBorders>
              <w:tl2br w:val="nil"/>
              <w:tr2bl w:val="nil"/>
            </w:tcBorders>
            <w:vAlign w:val="center"/>
          </w:tcPr>
          <w:p>
            <w:pPr>
              <w:widowControl/>
              <w:adjustRightInd/>
              <w:spacing w:line="240" w:lineRule="auto"/>
              <w:ind w:left="280" w:right="280"/>
              <w:jc w:val="center"/>
              <w:textAlignment w:val="auto"/>
              <w:rPr>
                <w:rFonts w:eastAsia="仿宋_GB2312"/>
                <w:color w:val="000000" w:themeColor="text1"/>
                <w:kern w:val="2"/>
                <w:sz w:val="21"/>
                <w:szCs w:val="21"/>
              </w:rPr>
            </w:pPr>
          </w:p>
        </w:tc>
      </w:tr>
    </w:tbl>
    <w:p>
      <w:pPr>
        <w:spacing w:line="360" w:lineRule="auto"/>
        <w:jc w:val="both"/>
        <w:rPr>
          <w:rFonts w:eastAsia="仿宋_GB2312"/>
          <w:b/>
          <w:color w:val="000000" w:themeColor="text1"/>
        </w:rPr>
      </w:pPr>
      <w:r>
        <w:rPr>
          <w:rFonts w:eastAsia="仿宋_GB2312"/>
          <w:b/>
          <w:color w:val="000000" w:themeColor="text1"/>
          <w:szCs w:val="24"/>
        </w:rPr>
        <w:t>2.1.3平面布置</w:t>
      </w:r>
    </w:p>
    <w:p>
      <w:pPr>
        <w:spacing w:line="360" w:lineRule="auto"/>
        <w:ind w:firstLine="480" w:firstLineChars="200"/>
        <w:rPr>
          <w:rFonts w:eastAsia="仿宋_GB2312"/>
          <w:color w:val="000000" w:themeColor="text1"/>
          <w:szCs w:val="22"/>
        </w:rPr>
      </w:pPr>
      <w:r>
        <w:rPr>
          <w:rFonts w:eastAsia="仿宋_GB2312"/>
          <w:color w:val="000000" w:themeColor="text1"/>
          <w:szCs w:val="24"/>
        </w:rPr>
        <w:t>本项目总占地面积</w:t>
      </w:r>
      <w:r>
        <w:rPr>
          <w:rFonts w:hint="eastAsia" w:eastAsia="仿宋_GB2312"/>
          <w:color w:val="000000" w:themeColor="text1"/>
          <w:szCs w:val="24"/>
          <w:lang w:eastAsia="zh-CN"/>
        </w:rPr>
        <w:t>13022</w:t>
      </w:r>
      <w:r>
        <w:rPr>
          <w:rFonts w:eastAsia="仿宋_GB2312"/>
          <w:color w:val="000000" w:themeColor="text1"/>
          <w:szCs w:val="24"/>
        </w:rPr>
        <w:t>m²</w:t>
      </w:r>
      <w:r>
        <w:rPr>
          <w:rFonts w:eastAsia="仿宋_GB2312"/>
          <w:color w:val="000000" w:themeColor="text1"/>
        </w:rPr>
        <w:t>，总体呈不规则多边形布置，平面布置按照功能不同分区布置，分为建筑物区域、道路及硬化区域、绿化区域，区内</w:t>
      </w:r>
      <w:r>
        <w:rPr>
          <w:rFonts w:eastAsia="仿宋_GB2312"/>
          <w:color w:val="000000" w:themeColor="text1"/>
          <w:lang w:val="zh-CN"/>
        </w:rPr>
        <w:t>道路宽度在</w:t>
      </w:r>
      <w:r>
        <w:rPr>
          <w:rFonts w:hint="eastAsia" w:eastAsia="仿宋_GB2312"/>
          <w:color w:val="000000" w:themeColor="text1"/>
          <w:lang w:val="en-US" w:eastAsia="zh-CN"/>
        </w:rPr>
        <w:t>6</w:t>
      </w:r>
      <w:r>
        <w:rPr>
          <w:rFonts w:eastAsia="仿宋_GB2312"/>
          <w:color w:val="000000" w:themeColor="text1"/>
        </w:rPr>
        <w:t>m以上</w:t>
      </w:r>
      <w:r>
        <w:rPr>
          <w:rFonts w:eastAsia="仿宋_GB2312"/>
          <w:color w:val="000000" w:themeColor="text1"/>
          <w:lang w:val="zh-CN"/>
        </w:rPr>
        <w:t>，道路转弯半径不小于</w:t>
      </w:r>
      <w:r>
        <w:rPr>
          <w:rFonts w:eastAsia="仿宋_GB2312"/>
          <w:color w:val="000000" w:themeColor="text1"/>
        </w:rPr>
        <w:t>9m</w:t>
      </w:r>
      <w:r>
        <w:rPr>
          <w:rFonts w:eastAsia="仿宋_GB2312"/>
          <w:color w:val="000000" w:themeColor="text1"/>
          <w:lang w:val="zh-CN"/>
        </w:rPr>
        <w:t>。</w:t>
      </w:r>
      <w:r>
        <w:rPr>
          <w:rFonts w:eastAsia="仿宋_GB2312"/>
          <w:color w:val="000000" w:themeColor="text1"/>
          <w:szCs w:val="22"/>
          <w:lang w:val="zh-CN"/>
        </w:rPr>
        <w:t>车行路面采用</w:t>
      </w:r>
      <w:r>
        <w:rPr>
          <w:rFonts w:eastAsia="仿宋_GB2312"/>
          <w:color w:val="000000" w:themeColor="text1"/>
          <w:szCs w:val="24"/>
          <w:lang w:val="zh-CN"/>
        </w:rPr>
        <w:t>水泥</w:t>
      </w:r>
      <w:r>
        <w:rPr>
          <w:rFonts w:eastAsia="仿宋_GB2312"/>
          <w:color w:val="000000" w:themeColor="text1"/>
          <w:szCs w:val="22"/>
          <w:lang w:val="zh-CN"/>
        </w:rPr>
        <w:t>混凝土路面，</w:t>
      </w:r>
      <w:r>
        <w:rPr>
          <w:rFonts w:hint="eastAsia" w:eastAsia="仿宋_GB2312"/>
          <w:color w:val="000000" w:themeColor="text1"/>
          <w:szCs w:val="22"/>
          <w:lang w:val="zh-CN"/>
        </w:rPr>
        <w:t>沿各建筑物之间空地布设环形道路</w:t>
      </w:r>
      <w:r>
        <w:rPr>
          <w:rFonts w:eastAsia="仿宋_GB2312"/>
          <w:color w:val="000000" w:themeColor="text1"/>
          <w:szCs w:val="24"/>
        </w:rPr>
        <w:t>。</w:t>
      </w:r>
    </w:p>
    <w:p>
      <w:pPr>
        <w:pStyle w:val="2"/>
        <w:spacing w:line="360" w:lineRule="auto"/>
        <w:ind w:left="0" w:leftChars="0" w:firstLine="480" w:firstLineChars="200"/>
        <w:jc w:val="both"/>
        <w:rPr>
          <w:rFonts w:eastAsia="仿宋_GB2312"/>
          <w:color w:val="000000" w:themeColor="text1"/>
          <w:szCs w:val="24"/>
          <w:highlight w:val="cyan"/>
        </w:rPr>
      </w:pPr>
      <w:r>
        <w:rPr>
          <w:rFonts w:eastAsia="仿宋_GB2312"/>
          <w:color w:val="000000" w:themeColor="text1"/>
          <w:szCs w:val="24"/>
        </w:rPr>
        <w:t>建筑物工程：</w:t>
      </w:r>
      <w:r>
        <w:rPr>
          <w:rFonts w:hint="eastAsia" w:eastAsia="仿宋_GB2312"/>
          <w:color w:val="000000" w:themeColor="text1"/>
          <w:szCs w:val="24"/>
        </w:rPr>
        <w:t>项目</w:t>
      </w:r>
      <w:r>
        <w:rPr>
          <w:rFonts w:eastAsia="仿宋_GB2312"/>
          <w:color w:val="000000" w:themeColor="text1"/>
          <w:szCs w:val="24"/>
        </w:rPr>
        <w:t>总占地面积为</w:t>
      </w:r>
      <w:r>
        <w:rPr>
          <w:rFonts w:hint="eastAsia" w:eastAsia="仿宋_GB2312"/>
          <w:color w:val="000000" w:themeColor="text1"/>
          <w:szCs w:val="24"/>
          <w:lang w:eastAsia="zh-CN"/>
        </w:rPr>
        <w:t>13022</w:t>
      </w:r>
      <w:r>
        <w:rPr>
          <w:rFonts w:eastAsia="仿宋_GB2312"/>
          <w:color w:val="000000" w:themeColor="text1"/>
          <w:szCs w:val="24"/>
        </w:rPr>
        <w:t>㎡，拟建建筑物总占地面积为</w:t>
      </w:r>
      <w:r>
        <w:rPr>
          <w:rFonts w:hint="eastAsia" w:eastAsia="仿宋_GB2312"/>
          <w:color w:val="000000" w:themeColor="text1"/>
          <w:szCs w:val="24"/>
          <w:lang w:eastAsia="zh-CN"/>
        </w:rPr>
        <w:t>8004.42</w:t>
      </w:r>
      <w:r>
        <w:rPr>
          <w:rFonts w:eastAsia="仿宋_GB2312"/>
          <w:color w:val="000000" w:themeColor="text1"/>
          <w:szCs w:val="24"/>
        </w:rPr>
        <w:t>㎡。</w:t>
      </w:r>
      <w:r>
        <w:rPr>
          <w:rFonts w:eastAsia="仿宋_GB2312"/>
          <w:color w:val="000000" w:themeColor="text1"/>
        </w:rPr>
        <w:t>结合场地形状，场区</w:t>
      </w:r>
      <w:r>
        <w:rPr>
          <w:rFonts w:hint="eastAsia" w:eastAsia="仿宋_GB2312"/>
          <w:color w:val="000000" w:themeColor="text1"/>
        </w:rPr>
        <w:t>由南向北侧</w:t>
      </w:r>
      <w:r>
        <w:rPr>
          <w:rFonts w:eastAsia="仿宋_GB2312"/>
          <w:color w:val="000000" w:themeColor="text1"/>
        </w:rPr>
        <w:t>依次布</w:t>
      </w:r>
      <w:r>
        <w:rPr>
          <w:rFonts w:hint="eastAsia" w:eastAsia="仿宋_GB2312"/>
          <w:color w:val="000000" w:themeColor="text1"/>
        </w:rPr>
        <w:t>置</w:t>
      </w:r>
      <w:r>
        <w:rPr>
          <w:rFonts w:hint="eastAsia" w:eastAsia="仿宋_GB2312"/>
          <w:color w:val="000000" w:themeColor="text1"/>
          <w:lang w:val="en-US" w:eastAsia="zh-CN"/>
        </w:rPr>
        <w:t>厂房、灰库</w:t>
      </w:r>
      <w:r>
        <w:rPr>
          <w:rFonts w:eastAsia="仿宋_GB2312"/>
          <w:color w:val="000000" w:themeColor="text1"/>
        </w:rPr>
        <w:t>。</w:t>
      </w:r>
    </w:p>
    <w:p>
      <w:pPr>
        <w:spacing w:line="360" w:lineRule="auto"/>
        <w:ind w:firstLine="480" w:firstLineChars="200"/>
        <w:rPr>
          <w:rFonts w:eastAsia="仿宋_GB2312"/>
          <w:color w:val="000000" w:themeColor="text1"/>
          <w:szCs w:val="24"/>
          <w:highlight w:val="cyan"/>
          <w:lang w:val="zh-CN"/>
        </w:rPr>
      </w:pPr>
      <w:r>
        <w:rPr>
          <w:rFonts w:eastAsia="仿宋_GB2312"/>
          <w:color w:val="000000" w:themeColor="text1"/>
          <w:szCs w:val="24"/>
        </w:rPr>
        <w:t>道路及硬化工程：</w:t>
      </w:r>
      <w:r>
        <w:rPr>
          <w:rFonts w:eastAsia="仿宋_GB2312"/>
          <w:color w:val="000000" w:themeColor="text1"/>
          <w:szCs w:val="24"/>
          <w:lang w:val="zh-CN"/>
        </w:rPr>
        <w:t>本项目</w:t>
      </w:r>
      <w:r>
        <w:rPr>
          <w:rFonts w:hint="eastAsia" w:eastAsia="仿宋_GB2312"/>
          <w:color w:val="000000" w:themeColor="text1"/>
          <w:szCs w:val="24"/>
        </w:rPr>
        <w:t>区内</w:t>
      </w:r>
      <w:r>
        <w:rPr>
          <w:rFonts w:eastAsia="仿宋_GB2312"/>
          <w:color w:val="000000" w:themeColor="text1"/>
          <w:szCs w:val="24"/>
          <w:lang w:val="zh-CN"/>
        </w:rPr>
        <w:t>道路及地面硬化铺装面积为</w:t>
      </w:r>
      <w:r>
        <w:rPr>
          <w:rFonts w:hint="eastAsia" w:eastAsia="仿宋_GB2312"/>
          <w:color w:val="000000" w:themeColor="text1"/>
          <w:szCs w:val="24"/>
          <w:lang w:val="zh-CN"/>
        </w:rPr>
        <w:t>1258.75</w:t>
      </w:r>
      <w:r>
        <w:rPr>
          <w:rFonts w:eastAsia="仿宋_GB2312"/>
          <w:color w:val="000000" w:themeColor="text1"/>
          <w:szCs w:val="24"/>
          <w:lang w:val="zh-CN"/>
        </w:rPr>
        <w:t>㎡。道路宽度在</w:t>
      </w:r>
      <w:r>
        <w:rPr>
          <w:rFonts w:hint="eastAsia" w:eastAsia="仿宋_GB2312"/>
          <w:color w:val="000000" w:themeColor="text1"/>
          <w:szCs w:val="24"/>
          <w:lang w:val="en-US" w:eastAsia="zh-CN"/>
        </w:rPr>
        <w:t>6</w:t>
      </w:r>
      <w:r>
        <w:rPr>
          <w:rFonts w:eastAsia="仿宋_GB2312"/>
          <w:color w:val="000000" w:themeColor="text1"/>
          <w:szCs w:val="24"/>
        </w:rPr>
        <w:t>m以上</w:t>
      </w:r>
      <w:r>
        <w:rPr>
          <w:rFonts w:eastAsia="仿宋_GB2312"/>
          <w:color w:val="000000" w:themeColor="text1"/>
          <w:szCs w:val="24"/>
          <w:lang w:val="zh-CN"/>
        </w:rPr>
        <w:t>，道路转弯半径不小于</w:t>
      </w:r>
      <w:r>
        <w:rPr>
          <w:rFonts w:eastAsia="仿宋_GB2312"/>
          <w:color w:val="000000" w:themeColor="text1"/>
          <w:szCs w:val="24"/>
        </w:rPr>
        <w:t>9m</w:t>
      </w:r>
      <w:r>
        <w:rPr>
          <w:rFonts w:eastAsia="仿宋_GB2312"/>
          <w:color w:val="000000" w:themeColor="text1"/>
          <w:szCs w:val="24"/>
          <w:lang w:val="zh-CN"/>
        </w:rPr>
        <w:t>。为便于日常维护，</w:t>
      </w:r>
      <w:r>
        <w:rPr>
          <w:rFonts w:hint="eastAsia" w:eastAsia="仿宋_GB2312"/>
          <w:color w:val="000000" w:themeColor="text1"/>
          <w:szCs w:val="24"/>
        </w:rPr>
        <w:t>场</w:t>
      </w:r>
      <w:r>
        <w:rPr>
          <w:rFonts w:eastAsia="仿宋_GB2312"/>
          <w:color w:val="000000" w:themeColor="text1"/>
          <w:szCs w:val="24"/>
          <w:lang w:val="zh-CN"/>
        </w:rPr>
        <w:t>区道路及硬化拟采用水泥混凝土路面，初步确定其结构如下：</w:t>
      </w:r>
      <w:r>
        <w:rPr>
          <w:rFonts w:hint="eastAsia" w:eastAsia="仿宋_GB2312"/>
          <w:color w:val="000000" w:themeColor="text1"/>
          <w:szCs w:val="24"/>
        </w:rPr>
        <w:t>场</w:t>
      </w:r>
      <w:r>
        <w:rPr>
          <w:rFonts w:eastAsia="仿宋_GB2312"/>
          <w:color w:val="000000" w:themeColor="text1"/>
          <w:szCs w:val="24"/>
          <w:lang w:val="zh-CN"/>
        </w:rPr>
        <w:t>区道路及地面硬化设计路面结构总厚度为60cm：20cm水泥混凝土面层；20cm水泥稳定碎石（水泥掺量6％）；20cm山皮石垫层</w:t>
      </w:r>
      <w:r>
        <w:rPr>
          <w:rFonts w:hint="eastAsia" w:eastAsia="仿宋_GB2312"/>
          <w:color w:val="000000" w:themeColor="text1"/>
          <w:szCs w:val="24"/>
          <w:lang w:val="zh-CN"/>
        </w:rPr>
        <w:t>。</w:t>
      </w:r>
    </w:p>
    <w:p>
      <w:pPr>
        <w:spacing w:line="360" w:lineRule="auto"/>
        <w:ind w:firstLine="480" w:firstLineChars="200"/>
        <w:rPr>
          <w:rFonts w:eastAsia="仿宋_GB2312"/>
          <w:b/>
          <w:bCs/>
          <w:color w:val="000000" w:themeColor="text1"/>
          <w:szCs w:val="24"/>
          <w:highlight w:val="cyan"/>
        </w:rPr>
      </w:pPr>
      <w:r>
        <w:rPr>
          <w:rFonts w:eastAsia="仿宋_GB2312"/>
          <w:color w:val="000000" w:themeColor="text1"/>
          <w:szCs w:val="24"/>
        </w:rPr>
        <w:t>绿化工程：为美化环境，改善劳动环境，在建筑物周边进行绿化，种植草坪和各种欣赏的树木、花卉，绿化面积</w:t>
      </w:r>
      <w:r>
        <w:rPr>
          <w:rFonts w:hint="eastAsia" w:eastAsia="仿宋_GB2312"/>
          <w:color w:val="000000" w:themeColor="text1"/>
          <w:szCs w:val="24"/>
          <w:lang w:eastAsia="zh-CN"/>
        </w:rPr>
        <w:t>1258.75</w:t>
      </w:r>
      <w:r>
        <w:rPr>
          <w:rFonts w:eastAsia="仿宋_GB2312"/>
          <w:color w:val="000000" w:themeColor="text1"/>
          <w:szCs w:val="24"/>
        </w:rPr>
        <w:t>㎡，满足绿化要求。</w:t>
      </w:r>
    </w:p>
    <w:p>
      <w:pPr>
        <w:spacing w:line="240" w:lineRule="auto"/>
        <w:jc w:val="center"/>
        <w:rPr>
          <w:rFonts w:eastAsia="仿宋_GB2312"/>
          <w:b/>
          <w:color w:val="000000" w:themeColor="text1"/>
          <w:szCs w:val="24"/>
          <w:highlight w:val="none"/>
          <w:vertAlign w:val="superscript"/>
        </w:rPr>
      </w:pPr>
      <w:r>
        <w:rPr>
          <w:rFonts w:eastAsia="仿宋_GB2312"/>
          <w:b/>
          <w:bCs/>
          <w:color w:val="000000" w:themeColor="text1"/>
          <w:szCs w:val="24"/>
          <w:highlight w:val="none"/>
        </w:rPr>
        <w:t xml:space="preserve">表2-3     主要建构筑物一览表     </w:t>
      </w:r>
      <w:r>
        <w:rPr>
          <w:rFonts w:eastAsia="仿宋_GB2312"/>
          <w:b/>
          <w:color w:val="000000" w:themeColor="text1"/>
          <w:szCs w:val="24"/>
          <w:highlight w:val="none"/>
        </w:rPr>
        <w:t>单位：m</w:t>
      </w:r>
      <w:r>
        <w:rPr>
          <w:rFonts w:eastAsia="仿宋_GB2312"/>
          <w:b/>
          <w:color w:val="000000" w:themeColor="text1"/>
          <w:szCs w:val="24"/>
          <w:highlight w:val="none"/>
          <w:vertAlign w:val="superscript"/>
        </w:rPr>
        <w:t>2</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1365"/>
        <w:gridCol w:w="766"/>
        <w:gridCol w:w="1851"/>
        <w:gridCol w:w="1933"/>
        <w:gridCol w:w="1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590" w:type="pct"/>
            <w:vAlign w:val="center"/>
          </w:tcPr>
          <w:p>
            <w:pPr>
              <w:widowControl/>
              <w:adjustRightInd/>
              <w:spacing w:line="240" w:lineRule="auto"/>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序号</w:t>
            </w:r>
          </w:p>
        </w:tc>
        <w:tc>
          <w:tcPr>
            <w:tcW w:w="800" w:type="pct"/>
            <w:vAlign w:val="center"/>
          </w:tcPr>
          <w:p>
            <w:pPr>
              <w:widowControl/>
              <w:adjustRightInd/>
              <w:spacing w:line="240" w:lineRule="auto"/>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建筑物名称</w:t>
            </w:r>
          </w:p>
        </w:tc>
        <w:tc>
          <w:tcPr>
            <w:tcW w:w="449" w:type="pct"/>
            <w:vAlign w:val="center"/>
          </w:tcPr>
          <w:p>
            <w:pPr>
              <w:widowControl/>
              <w:adjustRightInd/>
              <w:spacing w:line="240" w:lineRule="auto"/>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层数</w:t>
            </w:r>
          </w:p>
        </w:tc>
        <w:tc>
          <w:tcPr>
            <w:tcW w:w="1085" w:type="pct"/>
            <w:vAlign w:val="center"/>
          </w:tcPr>
          <w:p>
            <w:pPr>
              <w:widowControl/>
              <w:adjustRightInd/>
              <w:spacing w:line="240" w:lineRule="auto"/>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lang w:val="en-US" w:eastAsia="zh-CN"/>
              </w:rPr>
              <w:t>地上</w:t>
            </w:r>
            <w:r>
              <w:rPr>
                <w:rFonts w:hint="eastAsia" w:eastAsia="仿宋_GB2312"/>
                <w:color w:val="000000" w:themeColor="text1"/>
                <w:kern w:val="2"/>
                <w:sz w:val="21"/>
                <w:szCs w:val="21"/>
                <w:lang w:val="zh-CN"/>
              </w:rPr>
              <w:t>建筑面积(㎡)</w:t>
            </w:r>
          </w:p>
        </w:tc>
        <w:tc>
          <w:tcPr>
            <w:tcW w:w="1133" w:type="pct"/>
            <w:vAlign w:val="center"/>
          </w:tcPr>
          <w:p>
            <w:pPr>
              <w:widowControl/>
              <w:adjustRightInd/>
              <w:spacing w:line="240" w:lineRule="auto"/>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lang w:val="en-US" w:eastAsia="zh-CN"/>
              </w:rPr>
              <w:t>地下</w:t>
            </w:r>
            <w:r>
              <w:rPr>
                <w:rFonts w:hint="eastAsia" w:eastAsia="仿宋_GB2312"/>
                <w:color w:val="000000" w:themeColor="text1"/>
                <w:kern w:val="2"/>
                <w:sz w:val="21"/>
                <w:szCs w:val="21"/>
                <w:lang w:val="zh-CN"/>
              </w:rPr>
              <w:t>建筑面积(㎡)</w:t>
            </w:r>
          </w:p>
        </w:tc>
        <w:tc>
          <w:tcPr>
            <w:tcW w:w="940" w:type="pct"/>
            <w:vAlign w:val="center"/>
          </w:tcPr>
          <w:p>
            <w:pPr>
              <w:widowControl/>
              <w:adjustRightInd/>
              <w:spacing w:line="240" w:lineRule="auto"/>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基底</w:t>
            </w:r>
            <w:r>
              <w:rPr>
                <w:rFonts w:hint="eastAsia" w:eastAsia="仿宋_GB2312"/>
                <w:color w:val="000000" w:themeColor="text1"/>
                <w:kern w:val="2"/>
                <w:sz w:val="21"/>
                <w:szCs w:val="21"/>
                <w:lang w:val="zh-CN"/>
              </w:rPr>
              <w:t>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0" w:type="pct"/>
            <w:vAlign w:val="center"/>
          </w:tcPr>
          <w:p>
            <w:pPr>
              <w:widowControl/>
              <w:adjustRightInd/>
              <w:spacing w:line="240" w:lineRule="auto"/>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1</w:t>
            </w:r>
          </w:p>
        </w:tc>
        <w:tc>
          <w:tcPr>
            <w:tcW w:w="800" w:type="pct"/>
            <w:vAlign w:val="center"/>
          </w:tcPr>
          <w:p>
            <w:pPr>
              <w:widowControl/>
              <w:adjustRightInd/>
              <w:spacing w:line="240" w:lineRule="auto"/>
              <w:jc w:val="center"/>
              <w:textAlignment w:val="auto"/>
              <w:rPr>
                <w:rFonts w:hint="eastAsia" w:eastAsia="仿宋_GB2312"/>
                <w:color w:val="000000" w:themeColor="text1"/>
                <w:kern w:val="2"/>
                <w:sz w:val="21"/>
                <w:szCs w:val="21"/>
                <w:lang w:eastAsia="zh-CN"/>
              </w:rPr>
            </w:pPr>
            <w:r>
              <w:rPr>
                <w:rFonts w:hint="eastAsia" w:eastAsia="仿宋_GB2312"/>
                <w:color w:val="000000" w:themeColor="text1"/>
                <w:kern w:val="2"/>
                <w:sz w:val="21"/>
                <w:szCs w:val="21"/>
                <w:lang w:val="en-US" w:eastAsia="zh-CN"/>
              </w:rPr>
              <w:t>生产车间</w:t>
            </w:r>
          </w:p>
        </w:tc>
        <w:tc>
          <w:tcPr>
            <w:tcW w:w="449" w:type="pct"/>
            <w:vAlign w:val="center"/>
          </w:tcPr>
          <w:p>
            <w:pPr>
              <w:widowControl/>
              <w:adjustRightInd/>
              <w:spacing w:line="240" w:lineRule="auto"/>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lang w:val="en-US" w:eastAsia="zh-CN"/>
              </w:rPr>
              <w:t>1</w:t>
            </w:r>
            <w:r>
              <w:rPr>
                <w:rFonts w:hint="eastAsia" w:eastAsia="仿宋_GB2312"/>
                <w:color w:val="000000" w:themeColor="text1"/>
                <w:kern w:val="2"/>
                <w:sz w:val="21"/>
                <w:szCs w:val="21"/>
              </w:rPr>
              <w:t>F</w:t>
            </w:r>
          </w:p>
        </w:tc>
        <w:tc>
          <w:tcPr>
            <w:tcW w:w="1085" w:type="pct"/>
            <w:vAlign w:val="center"/>
          </w:tcPr>
          <w:p>
            <w:pPr>
              <w:widowControl/>
              <w:adjustRightInd/>
              <w:spacing w:line="240" w:lineRule="auto"/>
              <w:jc w:val="center"/>
              <w:textAlignment w:val="auto"/>
              <w:rPr>
                <w:rFonts w:hint="default" w:eastAsia="仿宋_GB2312"/>
                <w:color w:val="000000" w:themeColor="text1"/>
                <w:kern w:val="2"/>
                <w:sz w:val="21"/>
                <w:szCs w:val="21"/>
                <w:lang w:val="en-US" w:eastAsia="zh-CN"/>
              </w:rPr>
            </w:pPr>
            <w:r>
              <w:rPr>
                <w:rFonts w:hint="eastAsia" w:eastAsia="仿宋_GB2312"/>
                <w:color w:val="000000" w:themeColor="text1"/>
                <w:kern w:val="2"/>
                <w:sz w:val="21"/>
                <w:szCs w:val="21"/>
                <w:lang w:val="en-US" w:eastAsia="zh-CN"/>
              </w:rPr>
              <w:t>6964.17</w:t>
            </w:r>
          </w:p>
        </w:tc>
        <w:tc>
          <w:tcPr>
            <w:tcW w:w="1133" w:type="pct"/>
            <w:vAlign w:val="center"/>
          </w:tcPr>
          <w:p>
            <w:pPr>
              <w:widowControl/>
              <w:adjustRightInd/>
              <w:spacing w:line="240" w:lineRule="auto"/>
              <w:jc w:val="center"/>
              <w:textAlignment w:val="auto"/>
              <w:rPr>
                <w:rFonts w:eastAsia="仿宋_GB2312"/>
                <w:color w:val="000000" w:themeColor="text1"/>
                <w:kern w:val="2"/>
                <w:sz w:val="21"/>
                <w:szCs w:val="21"/>
              </w:rPr>
            </w:pPr>
          </w:p>
        </w:tc>
        <w:tc>
          <w:tcPr>
            <w:tcW w:w="940" w:type="pct"/>
            <w:vAlign w:val="center"/>
          </w:tcPr>
          <w:p>
            <w:pPr>
              <w:widowControl/>
              <w:adjustRightInd/>
              <w:spacing w:line="240" w:lineRule="auto"/>
              <w:jc w:val="center"/>
              <w:textAlignment w:val="auto"/>
              <w:rPr>
                <w:rFonts w:hint="default" w:eastAsia="仿宋_GB2312"/>
                <w:color w:val="000000" w:themeColor="text1"/>
                <w:kern w:val="2"/>
                <w:sz w:val="21"/>
                <w:szCs w:val="21"/>
                <w:lang w:val="en-US" w:eastAsia="zh-CN"/>
              </w:rPr>
            </w:pPr>
            <w:r>
              <w:rPr>
                <w:rFonts w:hint="eastAsia" w:eastAsia="仿宋_GB2312"/>
                <w:color w:val="000000" w:themeColor="text1"/>
                <w:kern w:val="2"/>
                <w:sz w:val="21"/>
                <w:szCs w:val="21"/>
                <w:lang w:val="en-US" w:eastAsia="zh-CN"/>
              </w:rPr>
              <w:t>6964.17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0" w:type="pct"/>
            <w:vAlign w:val="center"/>
          </w:tcPr>
          <w:p>
            <w:pPr>
              <w:widowControl/>
              <w:adjustRightInd/>
              <w:spacing w:line="240" w:lineRule="auto"/>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2</w:t>
            </w:r>
          </w:p>
        </w:tc>
        <w:tc>
          <w:tcPr>
            <w:tcW w:w="800" w:type="pct"/>
            <w:vAlign w:val="center"/>
          </w:tcPr>
          <w:p>
            <w:pPr>
              <w:widowControl/>
              <w:adjustRightInd/>
              <w:spacing w:line="240" w:lineRule="auto"/>
              <w:jc w:val="center"/>
              <w:textAlignment w:val="auto"/>
              <w:rPr>
                <w:rFonts w:hint="eastAsia" w:eastAsia="仿宋_GB2312"/>
                <w:color w:val="000000" w:themeColor="text1"/>
                <w:kern w:val="2"/>
                <w:sz w:val="21"/>
                <w:szCs w:val="21"/>
                <w:lang w:eastAsia="zh-CN"/>
              </w:rPr>
            </w:pPr>
            <w:r>
              <w:rPr>
                <w:rFonts w:hint="eastAsia" w:eastAsia="仿宋_GB2312"/>
                <w:color w:val="000000" w:themeColor="text1"/>
                <w:kern w:val="2"/>
                <w:sz w:val="21"/>
                <w:szCs w:val="21"/>
                <w:lang w:val="en-US" w:eastAsia="zh-CN"/>
              </w:rPr>
              <w:t>灰库</w:t>
            </w:r>
          </w:p>
        </w:tc>
        <w:tc>
          <w:tcPr>
            <w:tcW w:w="449" w:type="pct"/>
            <w:vAlign w:val="center"/>
          </w:tcPr>
          <w:p>
            <w:pPr>
              <w:widowControl/>
              <w:adjustRightInd/>
              <w:spacing w:line="240" w:lineRule="auto"/>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1F</w:t>
            </w:r>
          </w:p>
        </w:tc>
        <w:tc>
          <w:tcPr>
            <w:tcW w:w="1085" w:type="pct"/>
            <w:vAlign w:val="center"/>
          </w:tcPr>
          <w:p>
            <w:pPr>
              <w:widowControl/>
              <w:adjustRightInd/>
              <w:spacing w:line="240" w:lineRule="auto"/>
              <w:jc w:val="center"/>
              <w:textAlignment w:val="auto"/>
              <w:rPr>
                <w:rFonts w:hint="default" w:eastAsia="仿宋_GB2312"/>
                <w:color w:val="000000" w:themeColor="text1"/>
                <w:kern w:val="2"/>
                <w:sz w:val="21"/>
                <w:szCs w:val="21"/>
                <w:lang w:val="en-US" w:eastAsia="zh-CN"/>
              </w:rPr>
            </w:pPr>
            <w:r>
              <w:rPr>
                <w:rFonts w:hint="eastAsia" w:eastAsia="仿宋_GB2312"/>
                <w:color w:val="000000" w:themeColor="text1"/>
                <w:kern w:val="2"/>
                <w:sz w:val="21"/>
                <w:szCs w:val="21"/>
                <w:lang w:val="en-US" w:eastAsia="zh-CN"/>
              </w:rPr>
              <w:t>1040.25</w:t>
            </w:r>
          </w:p>
        </w:tc>
        <w:tc>
          <w:tcPr>
            <w:tcW w:w="1133" w:type="pct"/>
            <w:vAlign w:val="center"/>
          </w:tcPr>
          <w:p>
            <w:pPr>
              <w:widowControl/>
              <w:adjustRightInd/>
              <w:spacing w:line="240" w:lineRule="auto"/>
              <w:jc w:val="center"/>
              <w:textAlignment w:val="auto"/>
              <w:rPr>
                <w:rFonts w:eastAsia="仿宋_GB2312"/>
                <w:color w:val="000000" w:themeColor="text1"/>
                <w:kern w:val="2"/>
                <w:sz w:val="21"/>
                <w:szCs w:val="21"/>
              </w:rPr>
            </w:pPr>
          </w:p>
        </w:tc>
        <w:tc>
          <w:tcPr>
            <w:tcW w:w="940" w:type="pct"/>
            <w:vAlign w:val="center"/>
          </w:tcPr>
          <w:p>
            <w:pPr>
              <w:widowControl/>
              <w:adjustRightInd/>
              <w:spacing w:line="240" w:lineRule="auto"/>
              <w:jc w:val="center"/>
              <w:textAlignment w:val="auto"/>
              <w:rPr>
                <w:rFonts w:hint="default" w:eastAsia="仿宋_GB2312"/>
                <w:color w:val="000000" w:themeColor="text1"/>
                <w:kern w:val="2"/>
                <w:sz w:val="21"/>
                <w:szCs w:val="21"/>
                <w:lang w:val="en-US" w:eastAsia="zh-CN"/>
              </w:rPr>
            </w:pPr>
            <w:r>
              <w:rPr>
                <w:rFonts w:hint="eastAsia" w:eastAsia="仿宋_GB2312"/>
                <w:color w:val="000000" w:themeColor="text1"/>
                <w:kern w:val="2"/>
                <w:sz w:val="21"/>
                <w:szCs w:val="21"/>
                <w:lang w:val="en-US" w:eastAsia="zh-CN"/>
              </w:rPr>
              <w:t>1040.25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0" w:type="pct"/>
            <w:vAlign w:val="center"/>
          </w:tcPr>
          <w:p>
            <w:pPr>
              <w:widowControl/>
              <w:adjustRightInd/>
              <w:spacing w:line="240" w:lineRule="auto"/>
              <w:jc w:val="center"/>
              <w:textAlignment w:val="auto"/>
              <w:rPr>
                <w:rFonts w:eastAsia="仿宋_GB2312"/>
                <w:color w:val="000000" w:themeColor="text1"/>
                <w:kern w:val="2"/>
                <w:sz w:val="21"/>
                <w:szCs w:val="21"/>
              </w:rPr>
            </w:pPr>
          </w:p>
        </w:tc>
        <w:tc>
          <w:tcPr>
            <w:tcW w:w="800" w:type="pct"/>
            <w:vAlign w:val="center"/>
          </w:tcPr>
          <w:p>
            <w:pPr>
              <w:widowControl/>
              <w:adjustRightInd/>
              <w:spacing w:line="240" w:lineRule="auto"/>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小计</w:t>
            </w:r>
          </w:p>
        </w:tc>
        <w:tc>
          <w:tcPr>
            <w:tcW w:w="449" w:type="pct"/>
            <w:vAlign w:val="center"/>
          </w:tcPr>
          <w:p>
            <w:pPr>
              <w:widowControl/>
              <w:adjustRightInd/>
              <w:spacing w:line="240" w:lineRule="auto"/>
              <w:jc w:val="center"/>
              <w:textAlignment w:val="auto"/>
              <w:rPr>
                <w:rFonts w:eastAsia="仿宋_GB2312"/>
                <w:color w:val="000000" w:themeColor="text1"/>
                <w:kern w:val="2"/>
                <w:sz w:val="21"/>
                <w:szCs w:val="21"/>
              </w:rPr>
            </w:pPr>
          </w:p>
        </w:tc>
        <w:tc>
          <w:tcPr>
            <w:tcW w:w="1085" w:type="pct"/>
            <w:vAlign w:val="center"/>
          </w:tcPr>
          <w:p>
            <w:pPr>
              <w:widowControl/>
              <w:adjustRightInd/>
              <w:spacing w:line="240" w:lineRule="auto"/>
              <w:jc w:val="center"/>
              <w:textAlignment w:val="auto"/>
              <w:rPr>
                <w:rFonts w:hint="default" w:eastAsia="仿宋_GB2312"/>
                <w:color w:val="000000" w:themeColor="text1"/>
                <w:kern w:val="2"/>
                <w:sz w:val="21"/>
                <w:szCs w:val="21"/>
                <w:lang w:val="en-US" w:eastAsia="zh-CN"/>
              </w:rPr>
            </w:pPr>
            <w:r>
              <w:rPr>
                <w:rFonts w:hint="eastAsia" w:eastAsia="仿宋_GB2312"/>
                <w:color w:val="000000" w:themeColor="text1"/>
                <w:kern w:val="2"/>
                <w:sz w:val="21"/>
                <w:szCs w:val="21"/>
                <w:lang w:val="en-US" w:eastAsia="zh-CN"/>
              </w:rPr>
              <w:t>8004.42</w:t>
            </w:r>
          </w:p>
        </w:tc>
        <w:tc>
          <w:tcPr>
            <w:tcW w:w="1133" w:type="pct"/>
            <w:vAlign w:val="center"/>
          </w:tcPr>
          <w:p>
            <w:pPr>
              <w:widowControl/>
              <w:adjustRightInd/>
              <w:spacing w:line="240" w:lineRule="auto"/>
              <w:jc w:val="center"/>
              <w:textAlignment w:val="auto"/>
              <w:rPr>
                <w:rFonts w:eastAsia="仿宋_GB2312"/>
                <w:color w:val="000000" w:themeColor="text1"/>
                <w:kern w:val="2"/>
                <w:sz w:val="21"/>
                <w:szCs w:val="21"/>
              </w:rPr>
            </w:pPr>
          </w:p>
        </w:tc>
        <w:tc>
          <w:tcPr>
            <w:tcW w:w="940" w:type="pct"/>
            <w:vAlign w:val="center"/>
          </w:tcPr>
          <w:p>
            <w:pPr>
              <w:widowControl/>
              <w:adjustRightInd/>
              <w:spacing w:line="240" w:lineRule="auto"/>
              <w:jc w:val="center"/>
              <w:textAlignment w:val="auto"/>
              <w:rPr>
                <w:rFonts w:hint="eastAsia" w:eastAsia="仿宋_GB2312"/>
                <w:color w:val="000000" w:themeColor="text1"/>
                <w:kern w:val="2"/>
                <w:sz w:val="21"/>
                <w:szCs w:val="21"/>
                <w:lang w:eastAsia="zh-CN"/>
              </w:rPr>
            </w:pPr>
            <w:r>
              <w:rPr>
                <w:rFonts w:hint="eastAsia" w:eastAsia="仿宋_GB2312"/>
                <w:color w:val="000000" w:themeColor="text1"/>
                <w:kern w:val="2"/>
                <w:sz w:val="21"/>
                <w:szCs w:val="21"/>
                <w:lang w:eastAsia="zh-CN"/>
              </w:rPr>
              <w:t>8004.42</w:t>
            </w:r>
          </w:p>
        </w:tc>
      </w:tr>
    </w:tbl>
    <w:p>
      <w:pPr>
        <w:spacing w:line="360" w:lineRule="auto"/>
        <w:jc w:val="both"/>
        <w:rPr>
          <w:rFonts w:eastAsia="仿宋_GB2312"/>
          <w:color w:val="000000" w:themeColor="text1"/>
          <w:highlight w:val="cyan"/>
        </w:rPr>
      </w:pPr>
      <w:r>
        <w:rPr>
          <w:rFonts w:eastAsia="仿宋_GB2312"/>
          <w:b/>
          <w:color w:val="000000" w:themeColor="text1"/>
          <w:szCs w:val="24"/>
        </w:rPr>
        <w:t>2.1.4竖向布置</w:t>
      </w:r>
    </w:p>
    <w:p>
      <w:pPr>
        <w:spacing w:line="360" w:lineRule="auto"/>
        <w:ind w:firstLine="480" w:firstLineChars="200"/>
        <w:jc w:val="both"/>
        <w:rPr>
          <w:rFonts w:eastAsia="仿宋_GB2312"/>
          <w:color w:val="000000" w:themeColor="text1"/>
          <w:szCs w:val="24"/>
          <w:highlight w:val="cyan"/>
        </w:rPr>
      </w:pPr>
      <w:r>
        <w:rPr>
          <w:rFonts w:eastAsia="仿宋_GB2312"/>
          <w:color w:val="000000" w:themeColor="text1"/>
          <w:szCs w:val="24"/>
        </w:rPr>
        <w:t>本项目竖向布置设计采取平坡式布置，规划在原有地形的基础上，在保证地面和路面排水所要求的最小坡度的前提下，结合现状地形，根据场地自然地势，顺坡就势，</w:t>
      </w:r>
      <w:r>
        <w:rPr>
          <w:rFonts w:hint="eastAsia" w:eastAsia="仿宋_GB2312"/>
          <w:color w:val="000000" w:themeColor="text1"/>
          <w:szCs w:val="24"/>
        </w:rPr>
        <w:t>项目</w:t>
      </w:r>
      <w:r>
        <w:rPr>
          <w:rFonts w:eastAsia="仿宋_GB2312"/>
          <w:color w:val="000000" w:themeColor="text1"/>
          <w:szCs w:val="24"/>
        </w:rPr>
        <w:t>区地面坡度约4‰左右，坡向</w:t>
      </w:r>
      <w:r>
        <w:rPr>
          <w:rFonts w:hint="eastAsia" w:eastAsia="仿宋_GB2312"/>
          <w:color w:val="000000" w:themeColor="text1"/>
          <w:szCs w:val="24"/>
        </w:rPr>
        <w:t>项目</w:t>
      </w:r>
      <w:r>
        <w:rPr>
          <w:rFonts w:eastAsia="仿宋_GB2312"/>
          <w:color w:val="000000" w:themeColor="text1"/>
          <w:szCs w:val="24"/>
        </w:rPr>
        <w:t>区北侧</w:t>
      </w:r>
      <w:r>
        <w:rPr>
          <w:rFonts w:hint="eastAsia" w:eastAsia="仿宋_GB2312"/>
          <w:color w:val="000000" w:themeColor="text1"/>
          <w:szCs w:val="24"/>
          <w:lang w:val="en-US" w:eastAsia="zh-CN"/>
        </w:rPr>
        <w:t>长白线</w:t>
      </w:r>
      <w:r>
        <w:rPr>
          <w:rFonts w:eastAsia="仿宋_GB2312"/>
          <w:color w:val="000000" w:themeColor="text1"/>
          <w:szCs w:val="24"/>
        </w:rPr>
        <w:t>现有市政雨水管网，减少工程土石方量和有利于市政工程管线布置为原则，确定场区设计标高，工程建设区原地面高程</w:t>
      </w:r>
      <w:r>
        <w:rPr>
          <w:rFonts w:hint="eastAsia" w:eastAsia="仿宋_GB2312"/>
          <w:color w:val="000000" w:themeColor="text1"/>
          <w:szCs w:val="24"/>
        </w:rPr>
        <w:t>1</w:t>
      </w:r>
      <w:r>
        <w:rPr>
          <w:rFonts w:hint="eastAsia" w:eastAsia="仿宋_GB2312"/>
          <w:color w:val="000000" w:themeColor="text1"/>
          <w:szCs w:val="24"/>
          <w:lang w:val="en-US" w:eastAsia="zh-CN"/>
        </w:rPr>
        <w:t>98.20</w:t>
      </w:r>
      <w:r>
        <w:rPr>
          <w:rFonts w:eastAsia="仿宋_GB2312"/>
          <w:color w:val="000000" w:themeColor="text1"/>
          <w:szCs w:val="24"/>
        </w:rPr>
        <w:t>m~</w:t>
      </w:r>
      <w:r>
        <w:rPr>
          <w:rFonts w:hint="eastAsia" w:eastAsia="仿宋_GB2312"/>
          <w:color w:val="000000" w:themeColor="text1"/>
          <w:szCs w:val="24"/>
        </w:rPr>
        <w:t>1</w:t>
      </w:r>
      <w:r>
        <w:rPr>
          <w:rFonts w:hint="eastAsia" w:eastAsia="仿宋_GB2312"/>
          <w:color w:val="000000" w:themeColor="text1"/>
          <w:szCs w:val="24"/>
          <w:lang w:val="en-US" w:eastAsia="zh-CN"/>
        </w:rPr>
        <w:t>99.24</w:t>
      </w:r>
      <w:r>
        <w:rPr>
          <w:rFonts w:eastAsia="仿宋_GB2312"/>
          <w:color w:val="000000" w:themeColor="text1"/>
          <w:szCs w:val="24"/>
        </w:rPr>
        <w:t>m，室外地坪高程</w:t>
      </w:r>
      <w:r>
        <w:rPr>
          <w:rFonts w:hint="eastAsia" w:eastAsia="仿宋_GB2312"/>
          <w:color w:val="000000" w:themeColor="text1"/>
          <w:szCs w:val="24"/>
        </w:rPr>
        <w:t>1</w:t>
      </w:r>
      <w:r>
        <w:rPr>
          <w:rFonts w:hint="eastAsia" w:eastAsia="仿宋_GB2312"/>
          <w:color w:val="000000" w:themeColor="text1"/>
          <w:szCs w:val="24"/>
          <w:lang w:val="en-US" w:eastAsia="zh-CN"/>
        </w:rPr>
        <w:t>98.55</w:t>
      </w:r>
      <w:r>
        <w:rPr>
          <w:rFonts w:hint="eastAsia" w:eastAsia="仿宋_GB2312"/>
          <w:color w:val="000000" w:themeColor="text1"/>
          <w:szCs w:val="24"/>
        </w:rPr>
        <w:t>m</w:t>
      </w:r>
      <w:r>
        <w:rPr>
          <w:rFonts w:eastAsia="仿宋_GB2312"/>
          <w:color w:val="000000" w:themeColor="text1"/>
          <w:szCs w:val="24"/>
        </w:rPr>
        <w:t>~</w:t>
      </w:r>
      <w:r>
        <w:rPr>
          <w:rFonts w:hint="eastAsia" w:eastAsia="仿宋_GB2312"/>
          <w:color w:val="000000" w:themeColor="text1"/>
          <w:szCs w:val="24"/>
        </w:rPr>
        <w:t>1</w:t>
      </w:r>
      <w:r>
        <w:rPr>
          <w:rFonts w:hint="eastAsia" w:eastAsia="仿宋_GB2312"/>
          <w:color w:val="000000" w:themeColor="text1"/>
          <w:szCs w:val="24"/>
          <w:lang w:val="en-US" w:eastAsia="zh-CN"/>
        </w:rPr>
        <w:t>99.0</w:t>
      </w:r>
      <w:r>
        <w:rPr>
          <w:rFonts w:hint="eastAsia" w:eastAsia="仿宋_GB2312"/>
          <w:color w:val="000000" w:themeColor="text1"/>
          <w:szCs w:val="24"/>
        </w:rPr>
        <w:t>0</w:t>
      </w:r>
      <w:r>
        <w:rPr>
          <w:rFonts w:eastAsia="仿宋_GB2312"/>
          <w:color w:val="000000" w:themeColor="text1"/>
          <w:szCs w:val="24"/>
        </w:rPr>
        <w:t>m。场区内排水管线沿道路敷设，地面雨水的排水方式为暗管排水，经雨水收集口排入地下管道，进入市政排水管网中</w:t>
      </w:r>
      <w:r>
        <w:rPr>
          <w:rFonts w:eastAsia="仿宋_GB2312"/>
          <w:color w:val="000000" w:themeColor="text1"/>
        </w:rPr>
        <w:t>，</w:t>
      </w:r>
      <w:r>
        <w:rPr>
          <w:rFonts w:eastAsia="仿宋_GB2312"/>
          <w:color w:val="000000" w:themeColor="text1"/>
          <w:szCs w:val="24"/>
        </w:rPr>
        <w:t>同时，充分结合原有地形地貌尽量减少填挖方量，以降低工程造价</w:t>
      </w:r>
      <w:r>
        <w:rPr>
          <w:rFonts w:hint="eastAsia" w:eastAsia="仿宋_GB2312"/>
          <w:color w:val="000000" w:themeColor="text1"/>
          <w:szCs w:val="24"/>
        </w:rPr>
        <w:t>。</w:t>
      </w:r>
    </w:p>
    <w:p>
      <w:pPr>
        <w:spacing w:line="360" w:lineRule="auto"/>
        <w:rPr>
          <w:rFonts w:eastAsia="仿宋_GB2312"/>
          <w:b/>
          <w:bCs/>
          <w:color w:val="000000" w:themeColor="text1"/>
        </w:rPr>
      </w:pPr>
      <w:r>
        <w:rPr>
          <w:rFonts w:eastAsia="仿宋_GB2312"/>
          <w:b/>
          <w:bCs/>
          <w:color w:val="000000" w:themeColor="text1"/>
        </w:rPr>
        <w:t>2.1.5公用工程</w:t>
      </w:r>
    </w:p>
    <w:p>
      <w:pPr>
        <w:spacing w:line="360" w:lineRule="auto"/>
        <w:ind w:firstLine="480" w:firstLineChars="200"/>
        <w:rPr>
          <w:rFonts w:eastAsia="仿宋_GB2312"/>
          <w:color w:val="000000" w:themeColor="text1"/>
          <w:highlight w:val="cyan"/>
        </w:rPr>
      </w:pPr>
      <w:bookmarkStart w:id="16" w:name="_Toc33699162"/>
      <w:bookmarkStart w:id="17" w:name="_Toc33099728"/>
      <w:bookmarkStart w:id="18" w:name="_Toc27413355"/>
      <w:r>
        <w:rPr>
          <w:rFonts w:eastAsia="仿宋_GB2312"/>
          <w:color w:val="000000" w:themeColor="text1"/>
        </w:rPr>
        <w:t>（1）供电系统</w:t>
      </w:r>
      <w:bookmarkEnd w:id="16"/>
      <w:bookmarkEnd w:id="17"/>
      <w:bookmarkEnd w:id="18"/>
    </w:p>
    <w:p>
      <w:pPr>
        <w:spacing w:line="360" w:lineRule="auto"/>
        <w:ind w:firstLine="480" w:firstLineChars="200"/>
        <w:rPr>
          <w:rFonts w:eastAsia="仿宋_GB2312"/>
          <w:color w:val="000000" w:themeColor="text1"/>
          <w:highlight w:val="cyan"/>
        </w:rPr>
      </w:pPr>
      <w:r>
        <w:rPr>
          <w:rFonts w:eastAsia="仿宋_GB2312"/>
          <w:color w:val="000000" w:themeColor="text1"/>
        </w:rPr>
        <w:t>接引</w:t>
      </w:r>
      <w:r>
        <w:rPr>
          <w:rFonts w:hint="eastAsia" w:eastAsia="仿宋_GB2312"/>
          <w:color w:val="000000" w:themeColor="text1"/>
          <w:lang w:val="en-US" w:eastAsia="zh-CN"/>
        </w:rPr>
        <w:t>长白线</w:t>
      </w:r>
      <w:r>
        <w:rPr>
          <w:rFonts w:eastAsia="仿宋_GB2312"/>
          <w:color w:val="000000" w:themeColor="text1"/>
        </w:rPr>
        <w:t>既有电力线路，由电力部门负责接入，接入口在红线边缘，能够满足本项目的用电需求。室外线路</w:t>
      </w:r>
      <w:r>
        <w:rPr>
          <w:rFonts w:hint="eastAsia" w:eastAsia="仿宋_GB2312"/>
          <w:color w:val="000000" w:themeColor="text1"/>
        </w:rPr>
        <w:t>铺</w:t>
      </w:r>
      <w:r>
        <w:rPr>
          <w:rFonts w:eastAsia="仿宋_GB2312"/>
          <w:color w:val="000000" w:themeColor="text1"/>
        </w:rPr>
        <w:t>设长度为</w:t>
      </w:r>
      <w:r>
        <w:rPr>
          <w:rFonts w:hint="eastAsia" w:eastAsia="仿宋_GB2312"/>
          <w:color w:val="000000" w:themeColor="text1"/>
          <w:lang w:val="en-US" w:eastAsia="zh-CN"/>
        </w:rPr>
        <w:t>6</w:t>
      </w:r>
      <w:r>
        <w:rPr>
          <w:rFonts w:hint="eastAsia" w:eastAsia="仿宋_GB2312"/>
          <w:color w:val="000000" w:themeColor="text1"/>
        </w:rPr>
        <w:t>0</w:t>
      </w:r>
      <w:r>
        <w:rPr>
          <w:rFonts w:eastAsia="仿宋_GB2312"/>
          <w:color w:val="000000" w:themeColor="text1"/>
        </w:rPr>
        <w:t>m，管线沟槽开挖断面尺寸为：深度0.5m，宽0.5m</w:t>
      </w:r>
      <w:r>
        <w:rPr>
          <w:rFonts w:hint="eastAsia" w:eastAsia="仿宋_GB2312"/>
          <w:color w:val="000000" w:themeColor="text1"/>
        </w:rPr>
        <w:t>，</w:t>
      </w:r>
      <w:r>
        <w:rPr>
          <w:rFonts w:eastAsia="仿宋_GB2312"/>
          <w:color w:val="000000" w:themeColor="text1"/>
        </w:rPr>
        <w:t>最小坡度取4‰。</w:t>
      </w:r>
    </w:p>
    <w:p>
      <w:pPr>
        <w:spacing w:line="360" w:lineRule="auto"/>
        <w:ind w:firstLine="480" w:firstLineChars="200"/>
        <w:rPr>
          <w:rFonts w:eastAsia="仿宋_GB2312"/>
          <w:color w:val="000000" w:themeColor="text1"/>
        </w:rPr>
      </w:pPr>
      <w:bookmarkStart w:id="19" w:name="_Toc27413356"/>
      <w:bookmarkStart w:id="20" w:name="_Toc33099729"/>
      <w:bookmarkStart w:id="21" w:name="_Toc33699163"/>
      <w:r>
        <w:rPr>
          <w:rFonts w:eastAsia="仿宋_GB2312"/>
          <w:color w:val="000000" w:themeColor="text1"/>
        </w:rPr>
        <w:t>（2）给排水系统</w:t>
      </w:r>
      <w:bookmarkEnd w:id="19"/>
      <w:bookmarkEnd w:id="20"/>
      <w:bookmarkEnd w:id="21"/>
    </w:p>
    <w:p>
      <w:pPr>
        <w:spacing w:line="360" w:lineRule="auto"/>
        <w:ind w:firstLine="480" w:firstLineChars="200"/>
        <w:rPr>
          <w:rFonts w:eastAsia="仿宋_GB2312"/>
          <w:color w:val="000000" w:themeColor="text1"/>
          <w:highlight w:val="cyan"/>
        </w:rPr>
      </w:pPr>
      <w:r>
        <w:rPr>
          <w:rFonts w:hint="eastAsia" w:eastAsia="仿宋_GB2312"/>
          <w:color w:val="000000" w:themeColor="text1"/>
        </w:rPr>
        <w:t>供水：</w:t>
      </w:r>
      <w:r>
        <w:rPr>
          <w:rFonts w:eastAsia="仿宋_GB2312"/>
          <w:color w:val="000000" w:themeColor="text1"/>
        </w:rPr>
        <w:t>项目水源引自</w:t>
      </w:r>
      <w:r>
        <w:rPr>
          <w:rFonts w:hint="eastAsia" w:eastAsia="仿宋_GB2312"/>
          <w:color w:val="000000" w:themeColor="text1"/>
          <w:lang w:val="en-US" w:eastAsia="zh-CN"/>
        </w:rPr>
        <w:t>长白线</w:t>
      </w:r>
      <w:r>
        <w:rPr>
          <w:rFonts w:eastAsia="仿宋_GB2312"/>
          <w:color w:val="000000" w:themeColor="text1"/>
        </w:rPr>
        <w:t>市政给水管网提供，接入口在红线边缘，可直接接引，以地埋方式接入。供水管线管材采用</w:t>
      </w:r>
      <w:r>
        <w:rPr>
          <w:rFonts w:hint="eastAsia" w:eastAsia="仿宋_GB2312"/>
          <w:color w:val="000000" w:themeColor="text1"/>
        </w:rPr>
        <w:t>HDPE</w:t>
      </w:r>
      <w:r>
        <w:rPr>
          <w:rFonts w:eastAsia="仿宋_GB2312"/>
          <w:color w:val="000000" w:themeColor="text1"/>
        </w:rPr>
        <w:t>给水塑料管，粘接阀门采用铜制闸阀，沿厂区道路埋地</w:t>
      </w:r>
      <w:r>
        <w:rPr>
          <w:rFonts w:hint="eastAsia" w:eastAsia="仿宋_GB2312"/>
          <w:color w:val="000000" w:themeColor="text1"/>
        </w:rPr>
        <w:t>铺</w:t>
      </w:r>
      <w:r>
        <w:rPr>
          <w:rFonts w:eastAsia="仿宋_GB2312"/>
          <w:color w:val="000000" w:themeColor="text1"/>
        </w:rPr>
        <w:t>设，管网长度为</w:t>
      </w:r>
      <w:r>
        <w:rPr>
          <w:rFonts w:hint="eastAsia" w:eastAsia="仿宋_GB2312"/>
          <w:color w:val="000000" w:themeColor="text1"/>
          <w:lang w:val="en-US" w:eastAsia="zh-CN"/>
        </w:rPr>
        <w:t>60</w:t>
      </w:r>
      <w:r>
        <w:rPr>
          <w:rFonts w:eastAsia="仿宋_GB2312"/>
          <w:color w:val="000000" w:themeColor="text1"/>
        </w:rPr>
        <w:t>m。</w:t>
      </w:r>
      <w:r>
        <w:rPr>
          <w:rFonts w:hint="eastAsia" w:eastAsia="仿宋_GB2312"/>
          <w:color w:val="000000" w:themeColor="text1"/>
        </w:rPr>
        <w:t>项目</w:t>
      </w:r>
      <w:r>
        <w:rPr>
          <w:rFonts w:eastAsia="仿宋_GB2312"/>
          <w:color w:val="000000" w:themeColor="text1"/>
        </w:rPr>
        <w:t>区</w:t>
      </w:r>
      <w:r>
        <w:rPr>
          <w:rFonts w:hint="eastAsia" w:eastAsia="仿宋_GB2312"/>
          <w:color w:val="000000" w:themeColor="text1"/>
          <w:lang w:val="en-US" w:eastAsia="zh-CN"/>
        </w:rPr>
        <w:t>北</w:t>
      </w:r>
      <w:r>
        <w:rPr>
          <w:rFonts w:eastAsia="仿宋_GB2312"/>
          <w:color w:val="000000" w:themeColor="text1"/>
        </w:rPr>
        <w:t>侧</w:t>
      </w:r>
      <w:r>
        <w:rPr>
          <w:rFonts w:hint="eastAsia" w:eastAsia="仿宋_GB2312"/>
          <w:color w:val="000000" w:themeColor="text1"/>
          <w:lang w:val="en-US" w:eastAsia="zh-CN"/>
        </w:rPr>
        <w:t>长白线</w:t>
      </w:r>
      <w:r>
        <w:rPr>
          <w:rFonts w:eastAsia="仿宋_GB2312"/>
          <w:color w:val="000000" w:themeColor="text1"/>
        </w:rPr>
        <w:t>现有</w:t>
      </w:r>
      <w:r>
        <w:rPr>
          <w:rFonts w:eastAsia="仿宋_GB2312"/>
          <w:color w:val="000000" w:themeColor="text1"/>
          <w:lang w:val="zh-CN"/>
        </w:rPr>
        <w:t>市政供水管网，东西走向，市政供水压力0.2M</w:t>
      </w:r>
      <w:r>
        <w:rPr>
          <w:rFonts w:hint="eastAsia" w:eastAsia="仿宋_GB2312"/>
          <w:color w:val="000000" w:themeColor="text1"/>
        </w:rPr>
        <w:t>P</w:t>
      </w:r>
      <w:r>
        <w:rPr>
          <w:rFonts w:eastAsia="仿宋_GB2312"/>
          <w:color w:val="000000" w:themeColor="text1"/>
          <w:lang w:val="zh-CN"/>
        </w:rPr>
        <w:t>a</w:t>
      </w:r>
      <w:r>
        <w:rPr>
          <w:rFonts w:eastAsia="仿宋_GB2312"/>
          <w:color w:val="000000" w:themeColor="text1"/>
        </w:rPr>
        <w:t>，</w:t>
      </w:r>
      <w:r>
        <w:rPr>
          <w:rFonts w:hint="eastAsia" w:eastAsia="仿宋_GB2312"/>
          <w:color w:val="000000" w:themeColor="text1"/>
        </w:rPr>
        <w:t>项目</w:t>
      </w:r>
      <w:r>
        <w:rPr>
          <w:rFonts w:eastAsia="仿宋_GB2312"/>
          <w:color w:val="000000" w:themeColor="text1"/>
        </w:rPr>
        <w:t>区供水系统采用全自动变频调速供水装置，经加压泵送入</w:t>
      </w:r>
      <w:r>
        <w:rPr>
          <w:rFonts w:hint="eastAsia" w:eastAsia="仿宋_GB2312"/>
          <w:color w:val="000000" w:themeColor="text1"/>
        </w:rPr>
        <w:t>项目</w:t>
      </w:r>
      <w:r>
        <w:rPr>
          <w:rFonts w:eastAsia="仿宋_GB2312"/>
          <w:color w:val="000000" w:themeColor="text1"/>
        </w:rPr>
        <w:t>区内环状供水网。管线沟槽开挖断面尺寸为：深度</w:t>
      </w:r>
      <w:r>
        <w:rPr>
          <w:rFonts w:hint="eastAsia" w:eastAsia="仿宋_GB2312"/>
          <w:color w:val="000000" w:themeColor="text1"/>
        </w:rPr>
        <w:t>2.0</w:t>
      </w:r>
      <w:r>
        <w:rPr>
          <w:rFonts w:eastAsia="仿宋_GB2312"/>
          <w:color w:val="000000" w:themeColor="text1"/>
        </w:rPr>
        <w:t>m，上口宽</w:t>
      </w:r>
      <w:r>
        <w:rPr>
          <w:rFonts w:hint="eastAsia" w:eastAsia="仿宋_GB2312"/>
          <w:color w:val="000000" w:themeColor="text1"/>
        </w:rPr>
        <w:t>1.2</w:t>
      </w:r>
      <w:r>
        <w:rPr>
          <w:rFonts w:eastAsia="仿宋_GB2312"/>
          <w:color w:val="000000" w:themeColor="text1"/>
        </w:rPr>
        <w:t>m，下口宽1.</w:t>
      </w:r>
      <w:r>
        <w:rPr>
          <w:rFonts w:hint="eastAsia" w:eastAsia="仿宋_GB2312"/>
          <w:color w:val="000000" w:themeColor="text1"/>
        </w:rPr>
        <w:t>0</w:t>
      </w:r>
      <w:r>
        <w:rPr>
          <w:rFonts w:eastAsia="仿宋_GB2312"/>
          <w:color w:val="000000" w:themeColor="text1"/>
        </w:rPr>
        <w:t>m</w:t>
      </w:r>
      <w:r>
        <w:rPr>
          <w:rFonts w:hint="eastAsia" w:eastAsia="仿宋_GB2312"/>
          <w:color w:val="000000" w:themeColor="text1"/>
        </w:rPr>
        <w:t>，</w:t>
      </w:r>
      <w:r>
        <w:rPr>
          <w:rFonts w:eastAsia="仿宋_GB2312"/>
          <w:color w:val="000000" w:themeColor="text1"/>
        </w:rPr>
        <w:t>最小坡度取4‰</w:t>
      </w:r>
      <w:r>
        <w:rPr>
          <w:rFonts w:hint="eastAsia" w:eastAsia="仿宋_GB2312"/>
          <w:color w:val="000000" w:themeColor="text1"/>
        </w:rPr>
        <w:t>。</w:t>
      </w:r>
    </w:p>
    <w:p>
      <w:pPr>
        <w:pStyle w:val="2"/>
        <w:spacing w:line="360" w:lineRule="auto"/>
        <w:ind w:left="0" w:leftChars="0" w:firstLine="480" w:firstLineChars="200"/>
        <w:jc w:val="both"/>
        <w:rPr>
          <w:rFonts w:eastAsia="仿宋_GB2312"/>
          <w:color w:val="000000" w:themeColor="text1"/>
        </w:rPr>
      </w:pPr>
      <w:r>
        <w:rPr>
          <w:rFonts w:hint="eastAsia" w:eastAsia="仿宋_GB2312"/>
          <w:color w:val="000000" w:themeColor="text1"/>
        </w:rPr>
        <w:t>排水：</w:t>
      </w:r>
      <w:r>
        <w:rPr>
          <w:rFonts w:eastAsia="仿宋_GB2312"/>
          <w:color w:val="000000" w:themeColor="text1"/>
        </w:rPr>
        <w:t>采用雨污水分流的排水体制</w:t>
      </w:r>
      <w:r>
        <w:rPr>
          <w:rFonts w:hint="eastAsia" w:eastAsia="仿宋_GB2312"/>
          <w:color w:val="000000" w:themeColor="text1"/>
        </w:rPr>
        <w:t>。</w:t>
      </w:r>
    </w:p>
    <w:p>
      <w:pPr>
        <w:pStyle w:val="2"/>
        <w:spacing w:line="360" w:lineRule="auto"/>
        <w:ind w:left="0" w:leftChars="0" w:firstLine="480" w:firstLineChars="200"/>
        <w:jc w:val="both"/>
        <w:rPr>
          <w:rFonts w:hint="eastAsia" w:eastAsia="仿宋_GB2312"/>
          <w:color w:val="000000" w:themeColor="text1"/>
        </w:rPr>
      </w:pPr>
      <w:r>
        <w:rPr>
          <w:rFonts w:hint="eastAsia" w:eastAsia="仿宋_GB2312"/>
          <w:color w:val="000000" w:themeColor="text1"/>
        </w:rPr>
        <w:t>雨水排水系统：</w:t>
      </w:r>
      <w:r>
        <w:rPr>
          <w:rFonts w:eastAsia="仿宋_GB2312"/>
          <w:color w:val="000000" w:themeColor="text1"/>
        </w:rPr>
        <w:t>雨水</w:t>
      </w:r>
      <w:r>
        <w:rPr>
          <w:rFonts w:hint="eastAsia" w:eastAsia="仿宋_GB2312"/>
          <w:color w:val="000000" w:themeColor="text1"/>
        </w:rPr>
        <w:t>通过项目区溢流式雨水口井盖</w:t>
      </w:r>
      <w:r>
        <w:rPr>
          <w:rFonts w:hint="eastAsia" w:eastAsia="仿宋_GB2312"/>
          <w:color w:val="000000" w:themeColor="text1"/>
          <w:lang w:val="en-US" w:eastAsia="zh-CN"/>
        </w:rPr>
        <w:t>流入雨水排水管线</w:t>
      </w:r>
      <w:r>
        <w:rPr>
          <w:rFonts w:hint="eastAsia" w:eastAsia="仿宋_GB2312"/>
          <w:color w:val="000000" w:themeColor="text1"/>
          <w:lang w:eastAsia="zh-CN"/>
        </w:rPr>
        <w:t>，</w:t>
      </w:r>
      <w:r>
        <w:rPr>
          <w:rFonts w:eastAsia="仿宋_GB2312"/>
          <w:color w:val="000000" w:themeColor="text1"/>
        </w:rPr>
        <w:t>管材采用</w:t>
      </w:r>
      <w:r>
        <w:rPr>
          <w:rFonts w:hint="eastAsia" w:eastAsia="仿宋_GB2312"/>
          <w:color w:val="000000" w:themeColor="text1"/>
        </w:rPr>
        <w:t>HDPE</w:t>
      </w:r>
      <w:r>
        <w:rPr>
          <w:rFonts w:eastAsia="仿宋_GB2312"/>
          <w:color w:val="000000" w:themeColor="text1"/>
        </w:rPr>
        <w:t>排水管。本项目污水管</w:t>
      </w:r>
      <w:r>
        <w:rPr>
          <w:rFonts w:hint="eastAsia" w:eastAsia="仿宋_GB2312"/>
          <w:color w:val="000000" w:themeColor="text1"/>
        </w:rPr>
        <w:t>管径</w:t>
      </w:r>
      <w:r>
        <w:rPr>
          <w:rFonts w:eastAsia="仿宋_GB2312"/>
          <w:color w:val="000000" w:themeColor="text1"/>
        </w:rPr>
        <w:t>为</w:t>
      </w:r>
      <w:r>
        <w:rPr>
          <w:rFonts w:eastAsia="仿宋_GB2312"/>
          <w:color w:val="000000" w:themeColor="text1"/>
          <w:lang w:val="zh-CN"/>
        </w:rPr>
        <w:t>DN</w:t>
      </w:r>
      <w:r>
        <w:rPr>
          <w:rFonts w:hint="eastAsia" w:eastAsia="仿宋_GB2312"/>
          <w:color w:val="000000" w:themeColor="text1"/>
          <w:lang w:val="en-US" w:eastAsia="zh-CN"/>
        </w:rPr>
        <w:t>3</w:t>
      </w:r>
      <w:r>
        <w:rPr>
          <w:rFonts w:eastAsia="仿宋_GB2312"/>
          <w:color w:val="000000" w:themeColor="text1"/>
        </w:rPr>
        <w:t>00，管道长度为</w:t>
      </w:r>
      <w:r>
        <w:rPr>
          <w:rFonts w:hint="eastAsia" w:eastAsia="仿宋_GB2312"/>
          <w:color w:val="000000" w:themeColor="text1"/>
          <w:lang w:val="en-US" w:eastAsia="zh-CN"/>
        </w:rPr>
        <w:t>411</w:t>
      </w:r>
      <w:r>
        <w:rPr>
          <w:rFonts w:eastAsia="仿宋_GB2312"/>
          <w:color w:val="000000" w:themeColor="text1"/>
        </w:rPr>
        <w:t>m。管线沟槽开挖断面尺寸为：深度2.</w:t>
      </w:r>
      <w:r>
        <w:rPr>
          <w:rFonts w:hint="eastAsia" w:eastAsia="仿宋_GB2312"/>
          <w:color w:val="000000" w:themeColor="text1"/>
          <w:lang w:val="en-US" w:eastAsia="zh-CN"/>
        </w:rPr>
        <w:t>1</w:t>
      </w:r>
      <w:r>
        <w:rPr>
          <w:rFonts w:eastAsia="仿宋_GB2312"/>
          <w:color w:val="000000" w:themeColor="text1"/>
        </w:rPr>
        <w:t>m，上口宽</w:t>
      </w:r>
      <w:r>
        <w:rPr>
          <w:rFonts w:hint="eastAsia" w:eastAsia="仿宋_GB2312"/>
          <w:color w:val="000000" w:themeColor="text1"/>
        </w:rPr>
        <w:t>1.2</w:t>
      </w:r>
      <w:r>
        <w:rPr>
          <w:rFonts w:eastAsia="仿宋_GB2312"/>
          <w:color w:val="000000" w:themeColor="text1"/>
        </w:rPr>
        <w:t>m，下口宽1.</w:t>
      </w:r>
      <w:r>
        <w:rPr>
          <w:rFonts w:hint="eastAsia" w:eastAsia="仿宋_GB2312"/>
          <w:color w:val="000000" w:themeColor="text1"/>
        </w:rPr>
        <w:t>0</w:t>
      </w:r>
      <w:r>
        <w:rPr>
          <w:rFonts w:eastAsia="仿宋_GB2312"/>
          <w:color w:val="000000" w:themeColor="text1"/>
        </w:rPr>
        <w:t>m</w:t>
      </w:r>
      <w:r>
        <w:rPr>
          <w:rFonts w:hint="eastAsia" w:eastAsia="仿宋_GB2312"/>
          <w:color w:val="000000" w:themeColor="text1"/>
        </w:rPr>
        <w:t>，</w:t>
      </w:r>
      <w:r>
        <w:rPr>
          <w:rFonts w:eastAsia="仿宋_GB2312"/>
          <w:color w:val="000000" w:themeColor="text1"/>
        </w:rPr>
        <w:t>最小坡度取4‰</w:t>
      </w:r>
      <w:r>
        <w:rPr>
          <w:rFonts w:hint="eastAsia" w:eastAsia="仿宋_GB2312"/>
          <w:color w:val="000000" w:themeColor="text1"/>
        </w:rPr>
        <w:t>。</w:t>
      </w:r>
    </w:p>
    <w:p>
      <w:pPr>
        <w:pStyle w:val="2"/>
        <w:spacing w:line="360" w:lineRule="auto"/>
        <w:ind w:left="0" w:leftChars="0" w:firstLine="480" w:firstLineChars="200"/>
        <w:jc w:val="both"/>
        <w:rPr>
          <w:rFonts w:eastAsia="仿宋_GB2312"/>
          <w:color w:val="000000" w:themeColor="text1"/>
          <w:highlight w:val="cyan"/>
        </w:rPr>
      </w:pPr>
      <w:r>
        <w:rPr>
          <w:rFonts w:hint="eastAsia" w:eastAsia="仿宋_GB2312"/>
          <w:color w:val="000000" w:themeColor="text1"/>
        </w:rPr>
        <w:t>污水排水系统：</w:t>
      </w:r>
      <w:r>
        <w:rPr>
          <w:rFonts w:eastAsia="仿宋_GB2312"/>
          <w:color w:val="000000" w:themeColor="text1"/>
        </w:rPr>
        <w:t>本项目</w:t>
      </w:r>
      <w:r>
        <w:rPr>
          <w:rFonts w:hint="eastAsia" w:eastAsia="仿宋_GB2312"/>
          <w:color w:val="000000" w:themeColor="text1"/>
        </w:rPr>
        <w:t>污水排入</w:t>
      </w:r>
      <w:r>
        <w:rPr>
          <w:rFonts w:hint="eastAsia" w:eastAsia="仿宋_GB2312"/>
          <w:color w:val="000000" w:themeColor="text1"/>
          <w:lang w:val="en-US" w:eastAsia="zh-CN"/>
        </w:rPr>
        <w:t>长白线</w:t>
      </w:r>
      <w:r>
        <w:rPr>
          <w:rFonts w:hint="eastAsia" w:eastAsia="仿宋_GB2312"/>
          <w:color w:val="000000" w:themeColor="text1"/>
        </w:rPr>
        <w:t>市政排水管网，</w:t>
      </w:r>
      <w:r>
        <w:rPr>
          <w:rFonts w:eastAsia="仿宋_GB2312"/>
          <w:color w:val="000000" w:themeColor="text1"/>
        </w:rPr>
        <w:t>排水管材采用</w:t>
      </w:r>
      <w:r>
        <w:rPr>
          <w:rFonts w:hint="eastAsia" w:eastAsia="仿宋_GB2312"/>
          <w:color w:val="000000" w:themeColor="text1"/>
        </w:rPr>
        <w:t>HDPE</w:t>
      </w:r>
      <w:r>
        <w:rPr>
          <w:rFonts w:eastAsia="仿宋_GB2312"/>
          <w:color w:val="000000" w:themeColor="text1"/>
        </w:rPr>
        <w:t>排水管。本项目污水管</w:t>
      </w:r>
      <w:r>
        <w:rPr>
          <w:rFonts w:hint="eastAsia" w:eastAsia="仿宋_GB2312"/>
          <w:color w:val="000000" w:themeColor="text1"/>
        </w:rPr>
        <w:t>管径</w:t>
      </w:r>
      <w:r>
        <w:rPr>
          <w:rFonts w:eastAsia="仿宋_GB2312"/>
          <w:color w:val="000000" w:themeColor="text1"/>
        </w:rPr>
        <w:t>为</w:t>
      </w:r>
      <w:r>
        <w:rPr>
          <w:rFonts w:eastAsia="仿宋_GB2312"/>
          <w:color w:val="000000" w:themeColor="text1"/>
          <w:lang w:val="zh-CN"/>
        </w:rPr>
        <w:t>DN</w:t>
      </w:r>
      <w:r>
        <w:rPr>
          <w:rFonts w:hint="eastAsia" w:eastAsia="仿宋_GB2312"/>
          <w:color w:val="000000" w:themeColor="text1"/>
          <w:lang w:val="en-US" w:eastAsia="zh-CN"/>
        </w:rPr>
        <w:t>3</w:t>
      </w:r>
      <w:r>
        <w:rPr>
          <w:rFonts w:eastAsia="仿宋_GB2312"/>
          <w:color w:val="000000" w:themeColor="text1"/>
        </w:rPr>
        <w:t>00，管道长度为</w:t>
      </w:r>
      <w:r>
        <w:rPr>
          <w:rFonts w:hint="eastAsia" w:eastAsia="仿宋_GB2312"/>
          <w:color w:val="000000" w:themeColor="text1"/>
          <w:lang w:val="en-US" w:eastAsia="zh-CN"/>
        </w:rPr>
        <w:t>100</w:t>
      </w:r>
      <w:r>
        <w:rPr>
          <w:rFonts w:eastAsia="仿宋_GB2312"/>
          <w:color w:val="000000" w:themeColor="text1"/>
        </w:rPr>
        <w:t>m。管线沟槽开挖断面尺寸为：深度2.1m，上口宽</w:t>
      </w:r>
      <w:r>
        <w:rPr>
          <w:rFonts w:hint="eastAsia" w:eastAsia="仿宋_GB2312"/>
          <w:color w:val="000000" w:themeColor="text1"/>
        </w:rPr>
        <w:t>1.2</w:t>
      </w:r>
      <w:r>
        <w:rPr>
          <w:rFonts w:eastAsia="仿宋_GB2312"/>
          <w:color w:val="000000" w:themeColor="text1"/>
        </w:rPr>
        <w:t>m，下口宽1.</w:t>
      </w:r>
      <w:r>
        <w:rPr>
          <w:rFonts w:hint="eastAsia" w:eastAsia="仿宋_GB2312"/>
          <w:color w:val="000000" w:themeColor="text1"/>
        </w:rPr>
        <w:t>0</w:t>
      </w:r>
      <w:r>
        <w:rPr>
          <w:rFonts w:eastAsia="仿宋_GB2312"/>
          <w:color w:val="000000" w:themeColor="text1"/>
        </w:rPr>
        <w:t>m</w:t>
      </w:r>
      <w:r>
        <w:rPr>
          <w:rFonts w:hint="eastAsia" w:eastAsia="仿宋_GB2312"/>
          <w:color w:val="000000" w:themeColor="text1"/>
        </w:rPr>
        <w:t>，</w:t>
      </w:r>
      <w:r>
        <w:rPr>
          <w:rFonts w:eastAsia="仿宋_GB2312"/>
          <w:color w:val="000000" w:themeColor="text1"/>
        </w:rPr>
        <w:t>最小坡度取4‰</w:t>
      </w:r>
      <w:r>
        <w:rPr>
          <w:rFonts w:hint="eastAsia" w:eastAsia="仿宋_GB2312"/>
          <w:color w:val="000000" w:themeColor="text1"/>
        </w:rPr>
        <w:t>。</w:t>
      </w:r>
    </w:p>
    <w:p>
      <w:pPr>
        <w:numPr>
          <w:ilvl w:val="0"/>
          <w:numId w:val="1"/>
        </w:numPr>
        <w:spacing w:line="360" w:lineRule="auto"/>
        <w:ind w:firstLine="480" w:firstLineChars="200"/>
        <w:rPr>
          <w:rFonts w:eastAsia="仿宋_GB2312"/>
          <w:color w:val="000000" w:themeColor="text1"/>
        </w:rPr>
      </w:pPr>
      <w:r>
        <w:rPr>
          <w:rFonts w:hint="eastAsia" w:eastAsia="仿宋_GB2312"/>
          <w:color w:val="000000" w:themeColor="text1"/>
        </w:rPr>
        <w:t>燃气系统</w:t>
      </w:r>
    </w:p>
    <w:p>
      <w:pPr>
        <w:pStyle w:val="2"/>
        <w:spacing w:line="360" w:lineRule="auto"/>
        <w:ind w:left="0" w:leftChars="0" w:firstLine="480" w:firstLineChars="200"/>
        <w:jc w:val="both"/>
        <w:rPr>
          <w:rFonts w:eastAsia="仿宋_GB2312"/>
          <w:color w:val="000000" w:themeColor="text1"/>
        </w:rPr>
      </w:pPr>
      <w:r>
        <w:rPr>
          <w:rFonts w:hint="eastAsia" w:eastAsia="仿宋_GB2312"/>
          <w:color w:val="000000" w:themeColor="text1"/>
        </w:rPr>
        <w:t>本项目燃气引用</w:t>
      </w:r>
      <w:r>
        <w:rPr>
          <w:rFonts w:hint="eastAsia" w:eastAsia="仿宋_GB2312"/>
          <w:color w:val="000000" w:themeColor="text1"/>
          <w:lang w:val="en-US" w:eastAsia="zh-CN"/>
        </w:rPr>
        <w:t>长白线</w:t>
      </w:r>
      <w:r>
        <w:rPr>
          <w:rFonts w:hint="eastAsia" w:eastAsia="仿宋_GB2312"/>
          <w:color w:val="000000" w:themeColor="text1"/>
        </w:rPr>
        <w:t>市政燃气管网，可以满足本项目需求。</w:t>
      </w:r>
      <w:r>
        <w:rPr>
          <w:rFonts w:eastAsia="仿宋_GB2312"/>
          <w:color w:val="000000" w:themeColor="text1"/>
        </w:rPr>
        <w:t>室外线路敷设长度为</w:t>
      </w:r>
      <w:r>
        <w:rPr>
          <w:rFonts w:hint="eastAsia" w:eastAsia="仿宋_GB2312"/>
          <w:color w:val="000000" w:themeColor="text1"/>
          <w:lang w:val="en-US" w:eastAsia="zh-CN"/>
        </w:rPr>
        <w:t>100</w:t>
      </w:r>
      <w:r>
        <w:rPr>
          <w:rFonts w:eastAsia="仿宋_GB2312"/>
          <w:color w:val="000000" w:themeColor="text1"/>
        </w:rPr>
        <w:t>m，管线沟槽开挖断面尺寸为：深度</w:t>
      </w:r>
      <w:r>
        <w:rPr>
          <w:rFonts w:hint="eastAsia" w:eastAsia="仿宋_GB2312"/>
          <w:color w:val="000000" w:themeColor="text1"/>
        </w:rPr>
        <w:t>1.9</w:t>
      </w:r>
      <w:r>
        <w:rPr>
          <w:rFonts w:eastAsia="仿宋_GB2312"/>
          <w:color w:val="000000" w:themeColor="text1"/>
        </w:rPr>
        <w:t>m，宽0.5m</w:t>
      </w:r>
      <w:r>
        <w:rPr>
          <w:rFonts w:hint="eastAsia" w:eastAsia="仿宋_GB2312"/>
          <w:color w:val="000000" w:themeColor="text1"/>
        </w:rPr>
        <w:t>，</w:t>
      </w:r>
      <w:r>
        <w:rPr>
          <w:rFonts w:eastAsia="仿宋_GB2312"/>
          <w:color w:val="000000" w:themeColor="text1"/>
        </w:rPr>
        <w:t>最小坡度取4‰。</w:t>
      </w:r>
    </w:p>
    <w:p>
      <w:pPr>
        <w:spacing w:line="360" w:lineRule="auto"/>
        <w:ind w:firstLine="480" w:firstLineChars="200"/>
        <w:rPr>
          <w:rFonts w:eastAsia="仿宋_GB2312"/>
          <w:color w:val="000000" w:themeColor="text1"/>
        </w:rPr>
      </w:pPr>
      <w:r>
        <w:rPr>
          <w:rFonts w:hint="eastAsia" w:eastAsia="仿宋_GB2312"/>
          <w:color w:val="000000" w:themeColor="text1"/>
        </w:rPr>
        <w:t>（4）供暖系统</w:t>
      </w:r>
    </w:p>
    <w:p>
      <w:pPr>
        <w:spacing w:line="360" w:lineRule="auto"/>
        <w:ind w:firstLine="480" w:firstLineChars="200"/>
        <w:rPr>
          <w:rFonts w:eastAsia="仿宋_GB2312"/>
          <w:color w:val="000000" w:themeColor="text1"/>
        </w:rPr>
      </w:pPr>
      <w:bookmarkStart w:id="22" w:name="_Toc27413357"/>
      <w:bookmarkStart w:id="23" w:name="_Toc33099730"/>
      <w:bookmarkStart w:id="24" w:name="_Toc33699165"/>
      <w:r>
        <w:rPr>
          <w:rFonts w:eastAsia="仿宋_GB2312"/>
          <w:color w:val="000000" w:themeColor="text1"/>
        </w:rPr>
        <w:t>本项目</w:t>
      </w:r>
      <w:r>
        <w:rPr>
          <w:rFonts w:hint="eastAsia" w:eastAsia="仿宋_GB2312"/>
          <w:color w:val="000000" w:themeColor="text1"/>
        </w:rPr>
        <w:t>供热采用</w:t>
      </w:r>
      <w:r>
        <w:rPr>
          <w:rFonts w:hint="eastAsia" w:eastAsia="仿宋_GB2312"/>
          <w:color w:val="000000" w:themeColor="text1"/>
          <w:lang w:val="en-US" w:eastAsia="zh-CN"/>
        </w:rPr>
        <w:t>长白线</w:t>
      </w:r>
      <w:r>
        <w:rPr>
          <w:rFonts w:hint="eastAsia" w:eastAsia="仿宋_GB2312"/>
          <w:color w:val="000000" w:themeColor="text1"/>
        </w:rPr>
        <w:t>供热管网集中供热，冬季供暖依托集中供热，</w:t>
      </w:r>
      <w:r>
        <w:rPr>
          <w:rFonts w:eastAsia="仿宋_GB2312"/>
          <w:color w:val="000000" w:themeColor="text1"/>
        </w:rPr>
        <w:t>可以满足项目供暖需求。</w:t>
      </w:r>
    </w:p>
    <w:p>
      <w:pPr>
        <w:spacing w:line="360" w:lineRule="auto"/>
        <w:ind w:firstLine="480" w:firstLineChars="200"/>
        <w:rPr>
          <w:rFonts w:eastAsia="仿宋_GB2312"/>
          <w:color w:val="000000" w:themeColor="text1"/>
        </w:rPr>
      </w:pPr>
      <w:r>
        <w:rPr>
          <w:rFonts w:eastAsia="仿宋_GB2312"/>
          <w:color w:val="000000" w:themeColor="text1"/>
        </w:rPr>
        <w:t>（</w:t>
      </w:r>
      <w:r>
        <w:rPr>
          <w:rFonts w:hint="eastAsia" w:eastAsia="仿宋_GB2312"/>
          <w:color w:val="000000" w:themeColor="text1"/>
        </w:rPr>
        <w:t>5</w:t>
      </w:r>
      <w:r>
        <w:rPr>
          <w:rFonts w:eastAsia="仿宋_GB2312"/>
          <w:color w:val="000000" w:themeColor="text1"/>
        </w:rPr>
        <w:t>）通讯系统</w:t>
      </w:r>
      <w:bookmarkEnd w:id="22"/>
      <w:bookmarkEnd w:id="23"/>
      <w:bookmarkEnd w:id="24"/>
    </w:p>
    <w:p>
      <w:pPr>
        <w:spacing w:line="360" w:lineRule="auto"/>
        <w:ind w:firstLine="480" w:firstLineChars="200"/>
        <w:rPr>
          <w:rFonts w:eastAsia="仿宋_GB2312"/>
          <w:color w:val="000000" w:themeColor="text1"/>
        </w:rPr>
      </w:pPr>
      <w:r>
        <w:rPr>
          <w:rFonts w:eastAsia="仿宋_GB2312"/>
          <w:color w:val="000000" w:themeColor="text1"/>
        </w:rPr>
        <w:t>本项目区</w:t>
      </w:r>
      <w:r>
        <w:rPr>
          <w:rFonts w:hint="eastAsia" w:eastAsia="仿宋_GB2312"/>
          <w:color w:val="000000" w:themeColor="text1"/>
        </w:rPr>
        <w:t>西</w:t>
      </w:r>
      <w:r>
        <w:rPr>
          <w:rFonts w:eastAsia="仿宋_GB2312"/>
          <w:color w:val="000000" w:themeColor="text1"/>
        </w:rPr>
        <w:t>侧</w:t>
      </w:r>
      <w:r>
        <w:rPr>
          <w:rFonts w:hint="eastAsia" w:eastAsia="仿宋_GB2312"/>
          <w:color w:val="000000" w:themeColor="text1"/>
        </w:rPr>
        <w:t>古城街</w:t>
      </w:r>
      <w:r>
        <w:rPr>
          <w:rFonts w:eastAsia="仿宋_GB2312"/>
          <w:color w:val="000000" w:themeColor="text1"/>
        </w:rPr>
        <w:t>现有通讯光缆，本项目可直接引入，可以满足项目通讯需求。</w:t>
      </w:r>
    </w:p>
    <w:p>
      <w:pPr>
        <w:spacing w:line="360" w:lineRule="auto"/>
        <w:rPr>
          <w:color w:val="000000" w:themeColor="text1"/>
        </w:rPr>
      </w:pPr>
      <w:r>
        <w:rPr>
          <w:rFonts w:eastAsia="仿宋_GB2312"/>
          <w:b/>
          <w:bCs/>
          <w:color w:val="000000" w:themeColor="text1"/>
          <w:szCs w:val="24"/>
        </w:rPr>
        <w:t>2.1.</w:t>
      </w:r>
      <w:r>
        <w:rPr>
          <w:rFonts w:hint="eastAsia" w:eastAsia="仿宋_GB2312"/>
          <w:b/>
          <w:bCs/>
          <w:color w:val="000000" w:themeColor="text1"/>
          <w:szCs w:val="24"/>
        </w:rPr>
        <w:t>6</w:t>
      </w:r>
      <w:r>
        <w:rPr>
          <w:rFonts w:eastAsia="仿宋_GB2312"/>
          <w:b/>
          <w:bCs/>
          <w:color w:val="000000" w:themeColor="text1"/>
          <w:szCs w:val="24"/>
        </w:rPr>
        <w:t>项目内外交通</w:t>
      </w:r>
    </w:p>
    <w:p>
      <w:pPr>
        <w:spacing w:line="360" w:lineRule="auto"/>
        <w:ind w:firstLine="480" w:firstLineChars="200"/>
        <w:jc w:val="both"/>
        <w:rPr>
          <w:color w:val="000000" w:themeColor="text1"/>
          <w:highlight w:val="cyan"/>
        </w:rPr>
      </w:pPr>
      <w:r>
        <w:rPr>
          <w:rFonts w:hint="eastAsia" w:eastAsia="仿宋_GB2312"/>
          <w:color w:val="000000" w:themeColor="text1"/>
        </w:rPr>
        <w:t>项目</w:t>
      </w:r>
      <w:r>
        <w:rPr>
          <w:rFonts w:eastAsia="仿宋_GB2312"/>
          <w:color w:val="000000" w:themeColor="text1"/>
        </w:rPr>
        <w:t>区</w:t>
      </w:r>
      <w:r>
        <w:rPr>
          <w:rFonts w:hint="eastAsia" w:eastAsia="仿宋_GB2312"/>
          <w:color w:val="000000" w:themeColor="text1"/>
          <w:lang w:val="en-US" w:eastAsia="zh-CN"/>
        </w:rPr>
        <w:t>北侧长白线</w:t>
      </w:r>
      <w:r>
        <w:rPr>
          <w:rFonts w:hint="eastAsia" w:eastAsia="仿宋_GB2312"/>
          <w:color w:val="000000" w:themeColor="text1"/>
        </w:rPr>
        <w:t>，</w:t>
      </w:r>
      <w:r>
        <w:rPr>
          <w:rFonts w:eastAsia="仿宋_GB2312"/>
          <w:color w:val="000000" w:themeColor="text1"/>
        </w:rPr>
        <w:t>交通运输方便，可利用公路对原材料及产品进行运输。</w:t>
      </w:r>
      <w:r>
        <w:rPr>
          <w:rFonts w:hint="eastAsia" w:eastAsia="仿宋_GB2312"/>
          <w:color w:val="000000" w:themeColor="text1"/>
        </w:rPr>
        <w:t>场</w:t>
      </w:r>
      <w:r>
        <w:rPr>
          <w:rFonts w:eastAsia="仿宋_GB2312"/>
          <w:color w:val="000000" w:themeColor="text1"/>
        </w:rPr>
        <w:t>外运输采用外协运输和客户自提方式解决，运输方式均为公路运输。工程建设区内部道路采用永临结合的方式，除各</w:t>
      </w:r>
      <w:r>
        <w:rPr>
          <w:rFonts w:hint="eastAsia" w:eastAsia="仿宋_GB2312"/>
          <w:color w:val="000000" w:themeColor="text1"/>
        </w:rPr>
        <w:t>绿化区和</w:t>
      </w:r>
      <w:r>
        <w:rPr>
          <w:rFonts w:eastAsia="仿宋_GB2312"/>
          <w:color w:val="000000" w:themeColor="text1"/>
        </w:rPr>
        <w:t>建筑物占地范围外，全部采用水泥稳定砂砾层铺筑进行硬化处理，施工期间用作临时道路使用。</w:t>
      </w:r>
      <w:r>
        <w:rPr>
          <w:rFonts w:hint="eastAsia" w:eastAsia="仿宋_GB2312"/>
          <w:color w:val="000000" w:themeColor="text1"/>
        </w:rPr>
        <w:t>可以</w:t>
      </w:r>
      <w:r>
        <w:rPr>
          <w:rFonts w:eastAsia="仿宋_GB2312"/>
          <w:color w:val="000000" w:themeColor="text1"/>
        </w:rPr>
        <w:t>完全满足本项目施工期间各种材料的运输，工程施工期间不需修建外部施工道路，工程建设区内除各建筑物占地范围外，全部采用</w:t>
      </w:r>
      <w:r>
        <w:rPr>
          <w:rFonts w:eastAsia="仿宋_GB2312"/>
          <w:color w:val="000000" w:themeColor="text1"/>
          <w:szCs w:val="24"/>
          <w:lang w:val="zh-CN"/>
        </w:rPr>
        <w:t>水泥混凝土</w:t>
      </w:r>
      <w:r>
        <w:rPr>
          <w:rFonts w:hint="eastAsia" w:eastAsia="仿宋_GB2312"/>
          <w:color w:val="000000" w:themeColor="text1"/>
          <w:szCs w:val="24"/>
        </w:rPr>
        <w:t>及</w:t>
      </w:r>
      <w:r>
        <w:rPr>
          <w:rFonts w:eastAsia="仿宋_GB2312"/>
          <w:color w:val="000000" w:themeColor="text1"/>
        </w:rPr>
        <w:t>水泥稳定砂</w:t>
      </w:r>
      <w:r>
        <w:rPr>
          <w:rFonts w:hint="eastAsia" w:eastAsia="仿宋_GB2312"/>
          <w:color w:val="000000" w:themeColor="text1"/>
        </w:rPr>
        <w:t>碎石</w:t>
      </w:r>
      <w:r>
        <w:rPr>
          <w:rFonts w:eastAsia="仿宋_GB2312"/>
          <w:color w:val="000000" w:themeColor="text1"/>
        </w:rPr>
        <w:t>铺筑进行硬化处理。本项目施工所需各种材料均由汽车利用现有城市道路运至施工现场。</w:t>
      </w:r>
    </w:p>
    <w:p>
      <w:pPr>
        <w:pStyle w:val="4"/>
        <w:spacing w:before="0" w:after="0" w:line="360" w:lineRule="auto"/>
        <w:rPr>
          <w:rFonts w:ascii="Times New Roman" w:hAnsi="Times New Roman" w:eastAsia="仿宋_GB2312"/>
          <w:color w:val="000000" w:themeColor="text1"/>
          <w:sz w:val="28"/>
          <w:szCs w:val="28"/>
        </w:rPr>
      </w:pPr>
      <w:bookmarkStart w:id="25" w:name="_Toc30169"/>
      <w:r>
        <w:rPr>
          <w:rFonts w:ascii="Times New Roman" w:hAnsi="Times New Roman" w:eastAsia="仿宋_GB2312"/>
          <w:color w:val="000000" w:themeColor="text1"/>
          <w:sz w:val="28"/>
          <w:szCs w:val="28"/>
        </w:rPr>
        <w:t>2.2施工组织</w:t>
      </w:r>
      <w:bookmarkEnd w:id="25"/>
    </w:p>
    <w:p>
      <w:pPr>
        <w:spacing w:line="360" w:lineRule="auto"/>
        <w:jc w:val="both"/>
        <w:rPr>
          <w:rFonts w:eastAsia="仿宋_GB2312"/>
          <w:b/>
          <w:color w:val="000000" w:themeColor="text1"/>
          <w:szCs w:val="24"/>
        </w:rPr>
      </w:pPr>
      <w:r>
        <w:rPr>
          <w:rFonts w:eastAsia="仿宋_GB2312"/>
          <w:b/>
          <w:color w:val="000000" w:themeColor="text1"/>
          <w:szCs w:val="24"/>
        </w:rPr>
        <w:t>2.2.1施工生产区和生活区布置</w:t>
      </w:r>
    </w:p>
    <w:p>
      <w:pPr>
        <w:spacing w:line="360" w:lineRule="auto"/>
        <w:ind w:firstLine="480" w:firstLineChars="200"/>
        <w:jc w:val="both"/>
        <w:rPr>
          <w:rFonts w:eastAsia="仿宋_GB2312"/>
          <w:b/>
          <w:color w:val="000000" w:themeColor="text1"/>
          <w:szCs w:val="24"/>
        </w:rPr>
      </w:pPr>
      <w:r>
        <w:rPr>
          <w:rFonts w:eastAsia="仿宋_GB2312"/>
          <w:color w:val="000000" w:themeColor="text1"/>
        </w:rPr>
        <w:t>本工程施工场地可在占地范围内布设完成，位于项目内</w:t>
      </w:r>
      <w:r>
        <w:rPr>
          <w:rFonts w:hint="eastAsia" w:eastAsia="仿宋_GB2312"/>
          <w:color w:val="000000" w:themeColor="text1"/>
          <w:lang w:val="en-US" w:eastAsia="zh-CN"/>
        </w:rPr>
        <w:t>北</w:t>
      </w:r>
      <w:r>
        <w:rPr>
          <w:rFonts w:hint="eastAsia" w:eastAsia="仿宋_GB2312"/>
          <w:color w:val="000000" w:themeColor="text1"/>
        </w:rPr>
        <w:t>侧</w:t>
      </w:r>
      <w:r>
        <w:rPr>
          <w:rFonts w:eastAsia="仿宋_GB2312"/>
          <w:color w:val="000000" w:themeColor="text1"/>
        </w:rPr>
        <w:t>空地，不新增临时占地。本工程施工场地占地面积</w:t>
      </w:r>
      <w:r>
        <w:rPr>
          <w:rFonts w:hint="eastAsia" w:eastAsia="仿宋_GB2312"/>
          <w:color w:val="000000" w:themeColor="text1"/>
          <w:lang w:val="en-US" w:eastAsia="zh-CN"/>
        </w:rPr>
        <w:t>20</w:t>
      </w:r>
      <w:r>
        <w:rPr>
          <w:rFonts w:eastAsia="仿宋_GB2312"/>
          <w:color w:val="000000" w:themeColor="text1"/>
        </w:rPr>
        <w:t>0m</w:t>
      </w:r>
      <w:r>
        <w:rPr>
          <w:rFonts w:eastAsia="仿宋_GB2312"/>
          <w:color w:val="000000" w:themeColor="text1"/>
          <w:vertAlign w:val="superscript"/>
        </w:rPr>
        <w:t>2</w:t>
      </w:r>
      <w:r>
        <w:rPr>
          <w:rFonts w:eastAsia="仿宋_GB2312"/>
          <w:color w:val="000000" w:themeColor="text1"/>
        </w:rPr>
        <w:t>，呈矩形布设，长度</w:t>
      </w:r>
      <w:r>
        <w:rPr>
          <w:rFonts w:hint="eastAsia" w:eastAsia="仿宋_GB2312"/>
          <w:color w:val="000000" w:themeColor="text1"/>
          <w:lang w:val="en-US" w:eastAsia="zh-CN"/>
        </w:rPr>
        <w:t>20</w:t>
      </w:r>
      <w:r>
        <w:rPr>
          <w:rFonts w:eastAsia="仿宋_GB2312"/>
          <w:color w:val="000000" w:themeColor="text1"/>
        </w:rPr>
        <w:t>m，宽度</w:t>
      </w:r>
      <w:r>
        <w:rPr>
          <w:rFonts w:hint="eastAsia" w:eastAsia="仿宋_GB2312"/>
          <w:color w:val="000000" w:themeColor="text1"/>
          <w:lang w:val="en-US" w:eastAsia="zh-CN"/>
        </w:rPr>
        <w:t>10</w:t>
      </w:r>
      <w:r>
        <w:rPr>
          <w:rFonts w:eastAsia="仿宋_GB2312"/>
          <w:color w:val="000000" w:themeColor="text1"/>
        </w:rPr>
        <w:t>m，用于施工期间停放施工机械，堆放施工材料，施工人员办公及住宿。</w:t>
      </w:r>
    </w:p>
    <w:p>
      <w:pPr>
        <w:spacing w:line="360" w:lineRule="auto"/>
        <w:jc w:val="both"/>
        <w:rPr>
          <w:rFonts w:eastAsia="仿宋_GB2312"/>
          <w:b/>
          <w:color w:val="000000" w:themeColor="text1"/>
          <w:szCs w:val="24"/>
        </w:rPr>
      </w:pPr>
      <w:r>
        <w:rPr>
          <w:rFonts w:eastAsia="仿宋_GB2312"/>
          <w:b/>
          <w:color w:val="000000" w:themeColor="text1"/>
          <w:szCs w:val="24"/>
        </w:rPr>
        <w:t>2.2.2施工道路布置</w:t>
      </w:r>
    </w:p>
    <w:p>
      <w:pPr>
        <w:spacing w:line="360" w:lineRule="auto"/>
        <w:ind w:firstLine="480" w:firstLineChars="200"/>
        <w:rPr>
          <w:rFonts w:eastAsia="仿宋_GB2312"/>
          <w:color w:val="000000" w:themeColor="text1"/>
          <w:highlight w:val="cyan"/>
        </w:rPr>
      </w:pPr>
      <w:r>
        <w:rPr>
          <w:rFonts w:eastAsia="仿宋_GB2312"/>
          <w:color w:val="000000" w:themeColor="text1"/>
        </w:rPr>
        <w:t>本项目所在地区交通便利，接引</w:t>
      </w:r>
      <w:r>
        <w:rPr>
          <w:rFonts w:hint="eastAsia" w:eastAsia="仿宋_GB2312"/>
          <w:color w:val="000000" w:themeColor="text1"/>
          <w:lang w:val="en-US" w:eastAsia="zh-CN"/>
        </w:rPr>
        <w:t>长白线</w:t>
      </w:r>
      <w:r>
        <w:rPr>
          <w:rFonts w:eastAsia="仿宋_GB2312"/>
          <w:color w:val="000000" w:themeColor="text1"/>
        </w:rPr>
        <w:t>既有市政道路可直接进入场区，完全满足本项目施工期间各种材料的运输。工程施工期间不需修建外部施工道路，施工期间设置临时施工道路，采用永临结合的方式，临时施工道路全部采用夯土机进行压实处理，施工期间用作临时道路使用，施工结束后，作为项目区内道路铺筑基层使用。</w:t>
      </w:r>
    </w:p>
    <w:p>
      <w:pPr>
        <w:spacing w:line="360" w:lineRule="auto"/>
        <w:jc w:val="both"/>
        <w:rPr>
          <w:rFonts w:eastAsia="仿宋_GB2312"/>
          <w:b/>
          <w:bCs/>
          <w:color w:val="000000" w:themeColor="text1"/>
        </w:rPr>
      </w:pPr>
      <w:r>
        <w:rPr>
          <w:rFonts w:eastAsia="仿宋_GB2312"/>
          <w:b/>
          <w:bCs/>
          <w:color w:val="000000" w:themeColor="text1"/>
        </w:rPr>
        <w:t>2.2.3临时堆土场布置</w:t>
      </w:r>
    </w:p>
    <w:p>
      <w:pPr>
        <w:spacing w:line="360" w:lineRule="auto"/>
        <w:ind w:firstLine="480" w:firstLineChars="200"/>
        <w:jc w:val="both"/>
        <w:rPr>
          <w:rFonts w:eastAsia="仿宋_GB2312"/>
          <w:color w:val="000000" w:themeColor="text1"/>
          <w:highlight w:val="cyan"/>
        </w:rPr>
      </w:pPr>
      <w:r>
        <w:rPr>
          <w:rFonts w:eastAsia="仿宋_GB2312"/>
          <w:color w:val="000000" w:themeColor="text1"/>
        </w:rPr>
        <w:t>本项目土方临时堆放场位于项目区内</w:t>
      </w:r>
      <w:r>
        <w:rPr>
          <w:rFonts w:hint="eastAsia" w:eastAsia="仿宋_GB2312"/>
          <w:color w:val="000000" w:themeColor="text1"/>
          <w:lang w:val="en-US" w:eastAsia="zh-CN"/>
        </w:rPr>
        <w:t>西侧</w:t>
      </w:r>
      <w:r>
        <w:rPr>
          <w:rFonts w:eastAsia="仿宋_GB2312"/>
          <w:color w:val="000000" w:themeColor="text1"/>
        </w:rPr>
        <w:t>空地，</w:t>
      </w:r>
      <w:r>
        <w:rPr>
          <w:rFonts w:eastAsia="仿宋_GB2312"/>
          <w:snapToGrid w:val="0"/>
          <w:color w:val="000000" w:themeColor="text1"/>
          <w:szCs w:val="24"/>
        </w:rPr>
        <w:t>台体堆放，边坡比1:1</w:t>
      </w:r>
      <w:r>
        <w:rPr>
          <w:rFonts w:hint="eastAsia" w:eastAsia="仿宋_GB2312"/>
          <w:snapToGrid w:val="0"/>
          <w:color w:val="000000" w:themeColor="text1"/>
          <w:szCs w:val="24"/>
        </w:rPr>
        <w:t>.5</w:t>
      </w:r>
      <w:r>
        <w:rPr>
          <w:rFonts w:eastAsia="仿宋_GB2312"/>
          <w:snapToGrid w:val="0"/>
          <w:color w:val="000000" w:themeColor="text1"/>
          <w:szCs w:val="24"/>
        </w:rPr>
        <w:t>，</w:t>
      </w:r>
      <w:r>
        <w:rPr>
          <w:rFonts w:eastAsia="仿宋_GB2312"/>
          <w:color w:val="000000" w:themeColor="text1"/>
        </w:rPr>
        <w:t>土方临时堆土场</w:t>
      </w:r>
      <w:r>
        <w:rPr>
          <w:rFonts w:eastAsia="仿宋_GB2312"/>
          <w:color w:val="000000" w:themeColor="text1"/>
          <w:szCs w:val="24"/>
        </w:rPr>
        <w:t>规格为</w:t>
      </w:r>
      <w:r>
        <w:rPr>
          <w:rFonts w:hint="eastAsia" w:eastAsia="仿宋_GB2312"/>
          <w:color w:val="000000" w:themeColor="text1"/>
          <w:szCs w:val="24"/>
          <w:highlight w:val="none"/>
        </w:rPr>
        <w:t>5</w:t>
      </w:r>
      <w:r>
        <w:rPr>
          <w:rFonts w:hint="eastAsia" w:eastAsia="仿宋_GB2312"/>
          <w:color w:val="000000" w:themeColor="text1"/>
          <w:szCs w:val="24"/>
          <w:highlight w:val="none"/>
          <w:lang w:val="en-US" w:eastAsia="zh-CN"/>
        </w:rPr>
        <w:t>5</w:t>
      </w:r>
      <w:r>
        <w:rPr>
          <w:rFonts w:eastAsia="仿宋_GB2312"/>
          <w:color w:val="000000" w:themeColor="text1"/>
          <w:highlight w:val="none"/>
        </w:rPr>
        <w:t>m（长）×</w:t>
      </w:r>
      <w:r>
        <w:rPr>
          <w:rFonts w:hint="eastAsia" w:eastAsia="仿宋_GB2312"/>
          <w:color w:val="000000" w:themeColor="text1"/>
          <w:highlight w:val="none"/>
          <w:lang w:val="en-US" w:eastAsia="zh-CN"/>
        </w:rPr>
        <w:t>12</w:t>
      </w:r>
      <w:r>
        <w:rPr>
          <w:rFonts w:eastAsia="仿宋_GB2312"/>
          <w:color w:val="000000" w:themeColor="text1"/>
          <w:highlight w:val="none"/>
        </w:rPr>
        <w:t>m（宽）</w:t>
      </w:r>
      <w:r>
        <w:rPr>
          <w:rFonts w:eastAsia="仿宋_GB2312"/>
          <w:color w:val="000000" w:themeColor="text1"/>
          <w:szCs w:val="24"/>
          <w:highlight w:val="none"/>
        </w:rPr>
        <w:t>，占地面积</w:t>
      </w:r>
      <w:r>
        <w:rPr>
          <w:rFonts w:hint="eastAsia" w:eastAsia="仿宋_GB2312"/>
          <w:color w:val="000000" w:themeColor="text1"/>
          <w:szCs w:val="24"/>
          <w:highlight w:val="none"/>
          <w:lang w:val="en-US" w:eastAsia="zh-CN"/>
        </w:rPr>
        <w:t>66</w:t>
      </w:r>
      <w:r>
        <w:rPr>
          <w:rFonts w:hint="eastAsia" w:eastAsia="仿宋_GB2312"/>
          <w:color w:val="000000" w:themeColor="text1"/>
          <w:szCs w:val="24"/>
          <w:highlight w:val="none"/>
        </w:rPr>
        <w:t>0</w:t>
      </w:r>
      <w:r>
        <w:rPr>
          <w:rFonts w:eastAsia="仿宋_GB2312"/>
          <w:color w:val="000000" w:themeColor="text1"/>
          <w:szCs w:val="24"/>
          <w:highlight w:val="none"/>
        </w:rPr>
        <w:t>m</w:t>
      </w:r>
      <w:r>
        <w:rPr>
          <w:rFonts w:eastAsia="仿宋_GB2312"/>
          <w:color w:val="000000" w:themeColor="text1"/>
          <w:szCs w:val="24"/>
          <w:highlight w:val="none"/>
          <w:vertAlign w:val="superscript"/>
        </w:rPr>
        <w:t>2</w:t>
      </w:r>
      <w:r>
        <w:rPr>
          <w:rFonts w:eastAsia="仿宋_GB2312"/>
          <w:color w:val="000000" w:themeColor="text1"/>
          <w:szCs w:val="24"/>
          <w:highlight w:val="none"/>
        </w:rPr>
        <w:t>，</w:t>
      </w:r>
      <w:r>
        <w:rPr>
          <w:rFonts w:eastAsia="仿宋_GB2312"/>
          <w:color w:val="000000" w:themeColor="text1"/>
          <w:szCs w:val="24"/>
        </w:rPr>
        <w:t>堆高为</w:t>
      </w:r>
      <w:r>
        <w:rPr>
          <w:rFonts w:hint="eastAsia" w:eastAsia="仿宋_GB2312"/>
          <w:color w:val="000000" w:themeColor="text1"/>
          <w:szCs w:val="24"/>
        </w:rPr>
        <w:t>4</w:t>
      </w:r>
      <w:r>
        <w:rPr>
          <w:rFonts w:eastAsia="仿宋_GB2312"/>
          <w:color w:val="000000" w:themeColor="text1"/>
          <w:szCs w:val="24"/>
        </w:rPr>
        <w:t>.0m，共计堆土</w:t>
      </w:r>
      <w:r>
        <w:rPr>
          <w:rFonts w:hint="eastAsia" w:eastAsia="仿宋_GB2312"/>
          <w:color w:val="000000" w:themeColor="text1"/>
          <w:szCs w:val="24"/>
        </w:rPr>
        <w:t>0.</w:t>
      </w:r>
      <w:r>
        <w:rPr>
          <w:rFonts w:hint="eastAsia" w:eastAsia="仿宋_GB2312"/>
          <w:color w:val="000000" w:themeColor="text1"/>
          <w:szCs w:val="24"/>
          <w:lang w:val="en-US" w:eastAsia="zh-CN"/>
        </w:rPr>
        <w:t>15</w:t>
      </w:r>
      <w:r>
        <w:rPr>
          <w:rFonts w:eastAsia="仿宋_GB2312"/>
          <w:color w:val="000000" w:themeColor="text1"/>
          <w:szCs w:val="24"/>
        </w:rPr>
        <w:t>万m</w:t>
      </w:r>
      <w:r>
        <w:rPr>
          <w:rFonts w:eastAsia="仿宋_GB2312"/>
          <w:color w:val="000000" w:themeColor="text1"/>
          <w:szCs w:val="24"/>
          <w:vertAlign w:val="superscript"/>
        </w:rPr>
        <w:t>3</w:t>
      </w:r>
      <w:r>
        <w:rPr>
          <w:rFonts w:eastAsia="仿宋_GB2312"/>
          <w:color w:val="000000" w:themeColor="text1"/>
          <w:szCs w:val="24"/>
        </w:rPr>
        <w:t>，</w:t>
      </w:r>
      <w:r>
        <w:rPr>
          <w:rFonts w:eastAsia="仿宋_GB2312"/>
          <w:color w:val="000000" w:themeColor="text1"/>
        </w:rPr>
        <w:t>临时堆土场容积</w:t>
      </w:r>
      <w:r>
        <w:rPr>
          <w:rFonts w:hint="eastAsia" w:eastAsia="仿宋_GB2312"/>
          <w:color w:val="000000" w:themeColor="text1"/>
        </w:rPr>
        <w:t>0.</w:t>
      </w:r>
      <w:r>
        <w:rPr>
          <w:rFonts w:hint="eastAsia" w:eastAsia="仿宋_GB2312"/>
          <w:color w:val="000000" w:themeColor="text1"/>
          <w:lang w:val="en-US" w:eastAsia="zh-CN"/>
        </w:rPr>
        <w:t>15</w:t>
      </w:r>
      <w:r>
        <w:rPr>
          <w:rFonts w:eastAsia="仿宋_GB2312"/>
          <w:color w:val="000000" w:themeColor="text1"/>
          <w:szCs w:val="24"/>
        </w:rPr>
        <w:t>万m</w:t>
      </w:r>
      <w:r>
        <w:rPr>
          <w:rFonts w:eastAsia="仿宋_GB2312"/>
          <w:color w:val="000000" w:themeColor="text1"/>
          <w:szCs w:val="24"/>
          <w:vertAlign w:val="superscript"/>
        </w:rPr>
        <w:t>3</w:t>
      </w:r>
      <w:r>
        <w:rPr>
          <w:rFonts w:eastAsia="仿宋_GB2312"/>
          <w:color w:val="000000" w:themeColor="text1"/>
          <w:szCs w:val="24"/>
        </w:rPr>
        <w:t>，</w:t>
      </w:r>
      <w:r>
        <w:rPr>
          <w:rFonts w:eastAsia="仿宋_GB2312"/>
          <w:color w:val="000000" w:themeColor="text1"/>
        </w:rPr>
        <w:t>土方临时堆放场满足本项目土方堆置需求。</w:t>
      </w:r>
    </w:p>
    <w:p>
      <w:pPr>
        <w:spacing w:line="360" w:lineRule="auto"/>
        <w:jc w:val="both"/>
        <w:rPr>
          <w:rFonts w:eastAsia="仿宋_GB2312"/>
          <w:b/>
          <w:color w:val="000000" w:themeColor="text1"/>
          <w:szCs w:val="24"/>
        </w:rPr>
      </w:pPr>
      <w:r>
        <w:rPr>
          <w:rFonts w:eastAsia="仿宋_GB2312"/>
          <w:b/>
          <w:color w:val="000000" w:themeColor="text1"/>
          <w:szCs w:val="24"/>
        </w:rPr>
        <w:t>2.2.4施工力能</w:t>
      </w:r>
    </w:p>
    <w:p>
      <w:pPr>
        <w:spacing w:line="360" w:lineRule="auto"/>
        <w:ind w:firstLine="480" w:firstLineChars="200"/>
        <w:rPr>
          <w:rFonts w:eastAsia="仿宋_GB2312"/>
          <w:color w:val="000000" w:themeColor="text1"/>
        </w:rPr>
      </w:pPr>
      <w:r>
        <w:rPr>
          <w:rFonts w:eastAsia="仿宋_GB2312"/>
          <w:color w:val="000000" w:themeColor="text1"/>
        </w:rPr>
        <w:t>施工用水：项目前期水源引自</w:t>
      </w:r>
      <w:r>
        <w:rPr>
          <w:rFonts w:hint="eastAsia" w:eastAsia="仿宋_GB2312"/>
          <w:color w:val="000000" w:themeColor="text1"/>
          <w:lang w:val="en-US" w:eastAsia="zh-CN"/>
        </w:rPr>
        <w:t>长白线</w:t>
      </w:r>
      <w:r>
        <w:rPr>
          <w:rFonts w:eastAsia="仿宋_GB2312"/>
          <w:color w:val="000000" w:themeColor="text1"/>
        </w:rPr>
        <w:t>既有市政供水管网。</w:t>
      </w:r>
    </w:p>
    <w:p>
      <w:pPr>
        <w:spacing w:line="360" w:lineRule="auto"/>
        <w:ind w:firstLine="480" w:firstLineChars="200"/>
        <w:rPr>
          <w:rFonts w:eastAsia="仿宋_GB2312"/>
          <w:color w:val="000000" w:themeColor="text1"/>
        </w:rPr>
      </w:pPr>
      <w:r>
        <w:rPr>
          <w:rFonts w:eastAsia="仿宋_GB2312"/>
          <w:color w:val="000000" w:themeColor="text1"/>
        </w:rPr>
        <w:t>施工用电：本工程施工用电接引</w:t>
      </w:r>
      <w:r>
        <w:rPr>
          <w:rFonts w:hint="eastAsia" w:eastAsia="仿宋_GB2312"/>
          <w:color w:val="000000" w:themeColor="text1"/>
          <w:lang w:val="en-US" w:eastAsia="zh-CN"/>
        </w:rPr>
        <w:t>长白线</w:t>
      </w:r>
      <w:r>
        <w:rPr>
          <w:rFonts w:eastAsia="仿宋_GB2312"/>
          <w:color w:val="000000" w:themeColor="text1"/>
        </w:rPr>
        <w:t>既有电力线路，能够满足本项目的用电需求。</w:t>
      </w:r>
    </w:p>
    <w:p>
      <w:pPr>
        <w:spacing w:line="360" w:lineRule="auto"/>
        <w:ind w:firstLine="480" w:firstLineChars="200"/>
        <w:rPr>
          <w:rFonts w:eastAsia="仿宋_GB2312"/>
          <w:color w:val="000000" w:themeColor="text1"/>
        </w:rPr>
      </w:pPr>
      <w:r>
        <w:rPr>
          <w:rFonts w:eastAsia="仿宋_GB2312"/>
          <w:color w:val="000000" w:themeColor="text1"/>
        </w:rPr>
        <w:t>施工通讯：使用手机进行通讯。</w:t>
      </w:r>
    </w:p>
    <w:p>
      <w:pPr>
        <w:spacing w:line="360" w:lineRule="auto"/>
        <w:ind w:firstLine="480" w:firstLineChars="200"/>
        <w:jc w:val="both"/>
        <w:rPr>
          <w:rFonts w:eastAsia="仿宋_GB2312"/>
          <w:color w:val="000000" w:themeColor="text1"/>
          <w:highlight w:val="cyan"/>
        </w:rPr>
      </w:pPr>
      <w:r>
        <w:rPr>
          <w:rFonts w:eastAsia="仿宋_GB2312"/>
          <w:color w:val="000000" w:themeColor="text1"/>
        </w:rPr>
        <w:t>施工道路：利用既有市政道路可直接进入场区。</w:t>
      </w:r>
    </w:p>
    <w:p>
      <w:pPr>
        <w:spacing w:line="360" w:lineRule="auto"/>
        <w:jc w:val="both"/>
        <w:rPr>
          <w:rFonts w:eastAsia="仿宋_GB2312"/>
          <w:color w:val="000000" w:themeColor="text1"/>
        </w:rPr>
      </w:pPr>
      <w:r>
        <w:rPr>
          <w:rFonts w:eastAsia="仿宋_GB2312"/>
          <w:b/>
          <w:color w:val="000000" w:themeColor="text1"/>
          <w:szCs w:val="24"/>
        </w:rPr>
        <w:t>2.2.5施工方法与工艺</w:t>
      </w:r>
    </w:p>
    <w:p>
      <w:pPr>
        <w:pStyle w:val="7"/>
        <w:adjustRightInd w:val="0"/>
        <w:snapToGrid w:val="0"/>
        <w:spacing w:line="360" w:lineRule="auto"/>
        <w:ind w:firstLine="480"/>
        <w:rPr>
          <w:rFonts w:eastAsia="仿宋_GB2312"/>
          <w:color w:val="000000" w:themeColor="text1"/>
          <w:sz w:val="24"/>
        </w:rPr>
      </w:pPr>
      <w:r>
        <w:rPr>
          <w:rFonts w:eastAsia="仿宋_GB2312"/>
          <w:color w:val="000000" w:themeColor="text1"/>
          <w:sz w:val="24"/>
        </w:rPr>
        <w:t>（1）建筑物施工</w:t>
      </w:r>
    </w:p>
    <w:p>
      <w:pPr>
        <w:pStyle w:val="7"/>
        <w:adjustRightInd w:val="0"/>
        <w:snapToGrid w:val="0"/>
        <w:spacing w:line="360" w:lineRule="auto"/>
        <w:ind w:firstLine="480"/>
        <w:rPr>
          <w:rFonts w:eastAsia="仿宋_GB2312"/>
          <w:color w:val="000000" w:themeColor="text1"/>
          <w:sz w:val="24"/>
        </w:rPr>
      </w:pPr>
      <w:r>
        <w:rPr>
          <w:rFonts w:eastAsia="仿宋_GB2312"/>
          <w:color w:val="000000" w:themeColor="text1"/>
          <w:sz w:val="24"/>
        </w:rPr>
        <w:t>建筑物基础处理完成后，进行基坑及建构筑物基础的混凝土浇筑，工程建设区建构筑物大部分施工都为混凝土桩基础，钢混框架，混凝土浇筑过程严格按照设计施工。混凝土全部采用商品混凝土，不单独设置混凝土搅拌设施等。</w:t>
      </w:r>
    </w:p>
    <w:p>
      <w:pPr>
        <w:pStyle w:val="7"/>
        <w:adjustRightInd w:val="0"/>
        <w:snapToGrid w:val="0"/>
        <w:spacing w:line="360" w:lineRule="auto"/>
        <w:ind w:firstLine="480"/>
        <w:rPr>
          <w:rFonts w:eastAsia="仿宋_GB2312"/>
          <w:color w:val="000000" w:themeColor="text1"/>
          <w:sz w:val="24"/>
        </w:rPr>
      </w:pPr>
      <w:r>
        <w:rPr>
          <w:rFonts w:eastAsia="仿宋_GB2312"/>
          <w:color w:val="000000" w:themeColor="text1"/>
          <w:sz w:val="24"/>
        </w:rPr>
        <w:t>（2）道路及硬化区域混凝土浇筑</w:t>
      </w:r>
    </w:p>
    <w:p>
      <w:pPr>
        <w:pStyle w:val="7"/>
        <w:adjustRightInd w:val="0"/>
        <w:snapToGrid w:val="0"/>
        <w:spacing w:line="360" w:lineRule="auto"/>
        <w:ind w:firstLine="480"/>
        <w:rPr>
          <w:rFonts w:eastAsia="仿宋_GB2312"/>
          <w:color w:val="000000" w:themeColor="text1"/>
          <w:sz w:val="24"/>
        </w:rPr>
      </w:pPr>
      <w:r>
        <w:rPr>
          <w:rFonts w:eastAsia="仿宋_GB2312"/>
          <w:color w:val="000000" w:themeColor="text1"/>
          <w:sz w:val="24"/>
        </w:rPr>
        <w:t>建构筑物工程施工结束后进行道路及硬化区域的沥青混凝土、人行步道方砖铺装，沥青铺筑、人行步道方砖铺装过程严格按照设计高程及尺寸施工。道路硬化区域施工的程序一般为：放线、清理、平整、压实、修防护工程、铺面层等。施工前，施工单位应根据工程特点、气象条件，严格按照水土保持方案要求，确定最佳施工工序和施工方法；施工时，土石方的挖填采用机械和人工相结合的方法，道路施工应分片、分段进行施工，不宜全面铺开。地基表层进行碾压时，要求基底压实度（重型）不小于90%。在施工过程中对土方调配平衡坚持前期后期紧密配合，杜绝重复填挖，土方运输避免散落，注意保护挖、填方边坡稳定。路基土方采用机械挖土、汽车运输、机械碾压方法施工，且必须分层碾压，严格控制最佳含水量，达到要求的压实度。机械不易施工处采用人工打夯压实为辅，平整、压实结束后进行高程测量。景观工程硬化施工工艺主要为基层清理，铺垫砂浆，弹控制线，铺砖，修整，嵌缝等环节。铺设方砖前将基底地面上的杂物清除干净，高低不平的区域进行平整，并进行夯实，夯实后进行水泥石灰稳定石屑层的施工，然后铺装方砖。</w:t>
      </w:r>
    </w:p>
    <w:p>
      <w:pPr>
        <w:pStyle w:val="7"/>
        <w:adjustRightInd w:val="0"/>
        <w:snapToGrid w:val="0"/>
        <w:spacing w:line="360" w:lineRule="auto"/>
        <w:ind w:firstLine="480"/>
        <w:rPr>
          <w:rFonts w:eastAsia="仿宋_GB2312"/>
          <w:color w:val="000000" w:themeColor="text1"/>
          <w:sz w:val="24"/>
        </w:rPr>
      </w:pPr>
      <w:r>
        <w:rPr>
          <w:rFonts w:eastAsia="仿宋_GB2312"/>
          <w:color w:val="000000" w:themeColor="text1"/>
          <w:sz w:val="24"/>
        </w:rPr>
        <w:t>（3）绿化</w:t>
      </w:r>
    </w:p>
    <w:p>
      <w:pPr>
        <w:pStyle w:val="7"/>
        <w:snapToGrid w:val="0"/>
        <w:spacing w:line="360" w:lineRule="auto"/>
        <w:ind w:firstLine="480"/>
        <w:rPr>
          <w:rFonts w:eastAsia="仿宋_GB2312"/>
          <w:color w:val="000000" w:themeColor="text1"/>
          <w:sz w:val="24"/>
        </w:rPr>
      </w:pPr>
      <w:r>
        <w:rPr>
          <w:rFonts w:eastAsia="仿宋_GB2312"/>
          <w:color w:val="000000" w:themeColor="text1"/>
          <w:sz w:val="24"/>
        </w:rPr>
        <w:t>主体工程设计在工程建设区绿化区域内进行全面绿化措施，提高场区内的环境质量，绿化区域内绿化苗木选取观赏性好，不产生花絮的树木和花卉草坪进行绿化。采用草坪与灌木、乔木相结合的方式，集中做绿化小品设计，避免出现裸露地表。</w:t>
      </w:r>
    </w:p>
    <w:p>
      <w:pPr>
        <w:pStyle w:val="7"/>
        <w:adjustRightInd w:val="0"/>
        <w:snapToGrid w:val="0"/>
        <w:spacing w:line="360" w:lineRule="auto"/>
        <w:ind w:firstLine="480"/>
        <w:rPr>
          <w:rFonts w:eastAsia="仿宋_GB2312"/>
          <w:color w:val="000000" w:themeColor="text1"/>
          <w:sz w:val="24"/>
        </w:rPr>
      </w:pPr>
      <w:r>
        <w:rPr>
          <w:rFonts w:hint="eastAsia" w:eastAsia="仿宋_GB2312"/>
          <w:color w:val="000000" w:themeColor="text1"/>
          <w:sz w:val="24"/>
        </w:rPr>
        <w:t>（4）管线施工工艺</w:t>
      </w:r>
    </w:p>
    <w:p>
      <w:pPr>
        <w:pStyle w:val="7"/>
        <w:adjustRightInd w:val="0"/>
        <w:snapToGrid w:val="0"/>
        <w:spacing w:line="360" w:lineRule="auto"/>
        <w:ind w:firstLine="480"/>
        <w:rPr>
          <w:rFonts w:eastAsia="仿宋_GB2312"/>
          <w:color w:val="000000" w:themeColor="text1"/>
          <w:sz w:val="24"/>
        </w:rPr>
      </w:pPr>
      <w:r>
        <w:rPr>
          <w:rFonts w:hint="eastAsia" w:eastAsia="仿宋_GB2312"/>
          <w:color w:val="000000" w:themeColor="text1"/>
          <w:sz w:val="24"/>
        </w:rPr>
        <w:t>根据项目地质情况，结合污水管道的埋深，采用放坡开挖，坡比为1:0.7，单侧堆土，机械开挖沟槽。管线施工工艺流程一般为：测量、开挖、放线、浇筑混凝土枕基、铺设管道、标线。</w:t>
      </w:r>
      <w:r>
        <w:rPr>
          <w:rFonts w:eastAsia="仿宋_GB2312"/>
          <w:color w:val="000000" w:themeColor="text1"/>
          <w:sz w:val="24"/>
        </w:rPr>
        <w:t>施工时，土石方的挖填采用机械和人工相结合的方法，</w:t>
      </w:r>
      <w:r>
        <w:rPr>
          <w:rFonts w:hint="eastAsia" w:eastAsia="仿宋_GB2312"/>
          <w:color w:val="000000" w:themeColor="text1"/>
          <w:sz w:val="24"/>
        </w:rPr>
        <w:t>管线</w:t>
      </w:r>
      <w:r>
        <w:rPr>
          <w:rFonts w:eastAsia="仿宋_GB2312"/>
          <w:color w:val="000000" w:themeColor="text1"/>
          <w:sz w:val="24"/>
        </w:rPr>
        <w:t>施工应分片、分段进行施工，不宜全面铺开。</w:t>
      </w:r>
      <w:r>
        <w:rPr>
          <w:rFonts w:hint="eastAsia" w:eastAsia="仿宋_GB2312"/>
          <w:color w:val="000000" w:themeColor="text1"/>
          <w:sz w:val="24"/>
        </w:rPr>
        <w:t>本项目供水系统管沟开挖深度为2.0m；</w:t>
      </w:r>
      <w:r>
        <w:rPr>
          <w:rFonts w:hint="eastAsia" w:eastAsia="仿宋_GB2312"/>
          <w:color w:val="000000" w:themeColor="text1"/>
          <w:sz w:val="24"/>
          <w:lang w:val="en-US" w:eastAsia="zh-CN"/>
        </w:rPr>
        <w:t>雨</w:t>
      </w:r>
      <w:r>
        <w:rPr>
          <w:rFonts w:hint="eastAsia" w:eastAsia="仿宋_GB2312"/>
          <w:color w:val="000000" w:themeColor="text1"/>
          <w:sz w:val="24"/>
        </w:rPr>
        <w:t>污水排水系统管沟开挖深度为2.1m；电缆线管沟开挖深度为0.5m。土石方开挖后就近堆置；土方回填采用机械运输，人工摊铺，打夯机压实，每层摊铺压实厚度不宜大于20cm。管沟开挖在场平后，结合道路硬化进行施工，以减少对地表的重复扰动。</w:t>
      </w:r>
    </w:p>
    <w:p>
      <w:pPr>
        <w:pStyle w:val="4"/>
        <w:spacing w:before="0" w:after="0" w:line="360" w:lineRule="auto"/>
        <w:rPr>
          <w:rFonts w:ascii="Times New Roman" w:hAnsi="Times New Roman" w:eastAsia="仿宋_GB2312"/>
          <w:color w:val="000000" w:themeColor="text1"/>
          <w:sz w:val="28"/>
          <w:szCs w:val="28"/>
        </w:rPr>
      </w:pPr>
      <w:bookmarkStart w:id="26" w:name="_Toc27990"/>
      <w:r>
        <w:rPr>
          <w:rFonts w:ascii="Times New Roman" w:hAnsi="Times New Roman" w:eastAsia="仿宋_GB2312"/>
          <w:color w:val="000000" w:themeColor="text1"/>
          <w:sz w:val="28"/>
          <w:szCs w:val="28"/>
        </w:rPr>
        <w:t>2.3工程占地</w:t>
      </w:r>
      <w:bookmarkEnd w:id="26"/>
    </w:p>
    <w:p>
      <w:pPr>
        <w:spacing w:line="360" w:lineRule="auto"/>
        <w:ind w:firstLine="480" w:firstLineChars="200"/>
        <w:jc w:val="both"/>
        <w:rPr>
          <w:rFonts w:eastAsia="仿宋_GB2312"/>
          <w:bCs/>
          <w:color w:val="000000" w:themeColor="text1"/>
        </w:rPr>
      </w:pPr>
      <w:r>
        <w:rPr>
          <w:rFonts w:eastAsia="仿宋_GB2312"/>
          <w:color w:val="000000" w:themeColor="text1"/>
        </w:rPr>
        <w:t>本项目总占地面积</w:t>
      </w:r>
      <w:r>
        <w:rPr>
          <w:rFonts w:eastAsia="仿宋_GB2312"/>
          <w:color w:val="000000" w:themeColor="text1"/>
          <w:szCs w:val="24"/>
        </w:rPr>
        <w:t>为</w:t>
      </w:r>
      <w:r>
        <w:rPr>
          <w:rFonts w:hint="eastAsia" w:eastAsia="仿宋_GB2312"/>
          <w:color w:val="000000" w:themeColor="text1"/>
          <w:szCs w:val="24"/>
          <w:lang w:val="en-US" w:eastAsia="zh-CN"/>
        </w:rPr>
        <w:t>1.30</w:t>
      </w:r>
      <w:r>
        <w:rPr>
          <w:rFonts w:eastAsia="仿宋_GB2312"/>
          <w:color w:val="000000" w:themeColor="text1"/>
          <w:szCs w:val="24"/>
        </w:rPr>
        <w:t>hm²，全部为永久征地，占地</w:t>
      </w:r>
      <w:r>
        <w:rPr>
          <w:rFonts w:eastAsia="仿宋_GB2312"/>
          <w:color w:val="000000" w:themeColor="text1"/>
        </w:rPr>
        <w:t>类型为</w:t>
      </w:r>
      <w:r>
        <w:rPr>
          <w:rFonts w:hint="eastAsia" w:eastAsia="仿宋_GB2312"/>
          <w:color w:val="000000" w:themeColor="text1"/>
          <w:lang w:val="en-US" w:eastAsia="zh-CN"/>
        </w:rPr>
        <w:t>工业</w:t>
      </w:r>
      <w:r>
        <w:rPr>
          <w:rFonts w:hint="eastAsia" w:eastAsia="仿宋_GB2312"/>
          <w:color w:val="000000" w:themeColor="text1"/>
        </w:rPr>
        <w:t>用地</w:t>
      </w:r>
      <w:r>
        <w:rPr>
          <w:rFonts w:eastAsia="仿宋_GB2312"/>
          <w:color w:val="000000" w:themeColor="text1"/>
        </w:rPr>
        <w:t>。本项目用地范围为政府拆迁后净地，地表组成为杂填土。工程占地详细情况见表2-4。</w:t>
      </w:r>
    </w:p>
    <w:p>
      <w:pPr>
        <w:pStyle w:val="71"/>
        <w:spacing w:line="240" w:lineRule="auto"/>
        <w:ind w:firstLine="0" w:firstLineChars="0"/>
        <w:jc w:val="center"/>
        <w:rPr>
          <w:rFonts w:ascii="Times New Roman" w:hAnsi="Times New Roman" w:eastAsia="仿宋_GB2312" w:cs="Times New Roman"/>
          <w:b w:val="0"/>
          <w:color w:val="000000" w:themeColor="text1"/>
        </w:rPr>
      </w:pPr>
      <w:r>
        <w:rPr>
          <w:rFonts w:ascii="Times New Roman" w:hAnsi="Times New Roman" w:eastAsia="仿宋_GB2312" w:cs="Times New Roman"/>
          <w:bCs/>
          <w:color w:val="000000" w:themeColor="text1"/>
        </w:rPr>
        <w:t>表2-4    工程占地表   单位：hm</w:t>
      </w:r>
      <w:r>
        <w:rPr>
          <w:rFonts w:ascii="Times New Roman" w:hAnsi="Times New Roman" w:cs="Times New Roman"/>
          <w:bCs/>
          <w:color w:val="000000" w:themeColor="text1"/>
        </w:rPr>
        <w:t>²</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9"/>
        <w:gridCol w:w="1430"/>
        <w:gridCol w:w="1215"/>
        <w:gridCol w:w="1200"/>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59" w:type="dxa"/>
            <w:vMerge w:val="restart"/>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项目组成</w:t>
            </w:r>
          </w:p>
        </w:tc>
        <w:tc>
          <w:tcPr>
            <w:tcW w:w="1430" w:type="dxa"/>
            <w:vMerge w:val="restart"/>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占地面积</w:t>
            </w:r>
          </w:p>
        </w:tc>
        <w:tc>
          <w:tcPr>
            <w:tcW w:w="2415" w:type="dxa"/>
            <w:gridSpan w:val="2"/>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用地性质</w:t>
            </w:r>
          </w:p>
        </w:tc>
        <w:tc>
          <w:tcPr>
            <w:tcW w:w="1717" w:type="dxa"/>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用地类型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59" w:type="dxa"/>
            <w:vMerge w:val="continue"/>
            <w:vAlign w:val="center"/>
          </w:tcPr>
          <w:p>
            <w:pPr>
              <w:widowControl/>
              <w:adjustRightInd/>
              <w:spacing w:line="240" w:lineRule="auto"/>
              <w:textAlignment w:val="auto"/>
              <w:rPr>
                <w:rFonts w:eastAsia="仿宋_GB2312"/>
                <w:color w:val="000000" w:themeColor="text1"/>
                <w:sz w:val="21"/>
                <w:szCs w:val="21"/>
              </w:rPr>
            </w:pPr>
          </w:p>
        </w:tc>
        <w:tc>
          <w:tcPr>
            <w:tcW w:w="1430" w:type="dxa"/>
            <w:vMerge w:val="continue"/>
            <w:vAlign w:val="center"/>
          </w:tcPr>
          <w:p>
            <w:pPr>
              <w:widowControl/>
              <w:adjustRightInd/>
              <w:spacing w:line="240" w:lineRule="auto"/>
              <w:textAlignment w:val="auto"/>
              <w:rPr>
                <w:rFonts w:eastAsia="仿宋_GB2312"/>
                <w:color w:val="000000" w:themeColor="text1"/>
                <w:sz w:val="21"/>
                <w:szCs w:val="21"/>
              </w:rPr>
            </w:pPr>
          </w:p>
        </w:tc>
        <w:tc>
          <w:tcPr>
            <w:tcW w:w="1215" w:type="dxa"/>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永久征地</w:t>
            </w:r>
          </w:p>
        </w:tc>
        <w:tc>
          <w:tcPr>
            <w:tcW w:w="1200" w:type="dxa"/>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临时用地</w:t>
            </w:r>
          </w:p>
        </w:tc>
        <w:tc>
          <w:tcPr>
            <w:tcW w:w="1717" w:type="dxa"/>
            <w:vAlign w:val="center"/>
          </w:tcPr>
          <w:p>
            <w:pPr>
              <w:widowControl/>
              <w:adjustRightInd/>
              <w:spacing w:line="240" w:lineRule="auto"/>
              <w:jc w:val="center"/>
              <w:textAlignment w:val="auto"/>
              <w:rPr>
                <w:rFonts w:eastAsia="仿宋_GB2312"/>
                <w:color w:val="000000" w:themeColor="text1"/>
                <w:sz w:val="21"/>
                <w:szCs w:val="21"/>
              </w:rPr>
            </w:pPr>
            <w:r>
              <w:rPr>
                <w:rFonts w:hint="eastAsia" w:eastAsia="仿宋_GB2312"/>
                <w:color w:val="000000" w:themeColor="text1"/>
                <w:sz w:val="21"/>
                <w:szCs w:val="21"/>
              </w:rPr>
              <w:t>居住（商业、住宅）用地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59" w:type="dxa"/>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工程建设区</w:t>
            </w:r>
          </w:p>
        </w:tc>
        <w:tc>
          <w:tcPr>
            <w:tcW w:w="1430" w:type="dxa"/>
            <w:vAlign w:val="center"/>
          </w:tcPr>
          <w:p>
            <w:pPr>
              <w:widowControl/>
              <w:adjustRightInd/>
              <w:spacing w:line="240" w:lineRule="auto"/>
              <w:jc w:val="center"/>
              <w:textAlignment w:val="auto"/>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1.30</w:t>
            </w:r>
          </w:p>
        </w:tc>
        <w:tc>
          <w:tcPr>
            <w:tcW w:w="1215" w:type="dxa"/>
            <w:vAlign w:val="center"/>
          </w:tcPr>
          <w:p>
            <w:pPr>
              <w:widowControl/>
              <w:adjustRightInd/>
              <w:spacing w:line="240" w:lineRule="auto"/>
              <w:jc w:val="center"/>
              <w:textAlignment w:val="auto"/>
              <w:rPr>
                <w:rFonts w:hint="eastAsia" w:eastAsia="仿宋_GB2312"/>
                <w:color w:val="000000" w:themeColor="text1"/>
                <w:sz w:val="21"/>
                <w:szCs w:val="21"/>
                <w:lang w:eastAsia="zh-CN"/>
              </w:rPr>
            </w:pPr>
            <w:r>
              <w:rPr>
                <w:rFonts w:hint="eastAsia" w:eastAsia="仿宋_GB2312"/>
                <w:color w:val="000000" w:themeColor="text1"/>
                <w:sz w:val="21"/>
                <w:szCs w:val="21"/>
                <w:lang w:val="en-US" w:eastAsia="zh-CN"/>
              </w:rPr>
              <w:t>1.30</w:t>
            </w:r>
          </w:p>
        </w:tc>
        <w:tc>
          <w:tcPr>
            <w:tcW w:w="1200" w:type="dxa"/>
            <w:vAlign w:val="center"/>
          </w:tcPr>
          <w:p>
            <w:pPr>
              <w:widowControl/>
              <w:adjustRightInd/>
              <w:spacing w:line="240" w:lineRule="auto"/>
              <w:jc w:val="center"/>
              <w:textAlignment w:val="auto"/>
              <w:rPr>
                <w:rFonts w:eastAsia="仿宋_GB2312"/>
                <w:color w:val="000000" w:themeColor="text1"/>
                <w:sz w:val="21"/>
                <w:szCs w:val="21"/>
              </w:rPr>
            </w:pPr>
          </w:p>
        </w:tc>
        <w:tc>
          <w:tcPr>
            <w:tcW w:w="1717" w:type="dxa"/>
            <w:vAlign w:val="center"/>
          </w:tcPr>
          <w:p>
            <w:pPr>
              <w:widowControl/>
              <w:adjustRightInd/>
              <w:spacing w:line="240" w:lineRule="auto"/>
              <w:jc w:val="center"/>
              <w:textAlignment w:val="auto"/>
              <w:rPr>
                <w:rFonts w:hint="eastAsia" w:eastAsia="仿宋_GB2312"/>
                <w:color w:val="000000" w:themeColor="text1"/>
                <w:sz w:val="21"/>
                <w:szCs w:val="21"/>
                <w:lang w:eastAsia="zh-CN"/>
              </w:rPr>
            </w:pPr>
            <w:r>
              <w:rPr>
                <w:rFonts w:hint="eastAsia" w:eastAsia="仿宋_GB2312"/>
                <w:color w:val="000000" w:themeColor="text1"/>
                <w:sz w:val="21"/>
                <w:szCs w:val="21"/>
                <w:lang w:val="en-US" w:eastAsia="zh-CN"/>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959" w:type="dxa"/>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合计</w:t>
            </w:r>
          </w:p>
        </w:tc>
        <w:tc>
          <w:tcPr>
            <w:tcW w:w="1430" w:type="dxa"/>
            <w:vAlign w:val="center"/>
          </w:tcPr>
          <w:p>
            <w:pPr>
              <w:widowControl/>
              <w:adjustRightInd/>
              <w:spacing w:line="240" w:lineRule="auto"/>
              <w:jc w:val="center"/>
              <w:textAlignment w:val="auto"/>
              <w:rPr>
                <w:rFonts w:hint="eastAsia" w:eastAsia="仿宋_GB2312"/>
                <w:color w:val="000000" w:themeColor="text1"/>
                <w:sz w:val="21"/>
                <w:szCs w:val="21"/>
                <w:lang w:eastAsia="zh-CN"/>
              </w:rPr>
            </w:pPr>
            <w:r>
              <w:rPr>
                <w:rFonts w:hint="eastAsia" w:eastAsia="仿宋_GB2312"/>
                <w:color w:val="000000" w:themeColor="text1"/>
                <w:sz w:val="21"/>
                <w:szCs w:val="21"/>
                <w:lang w:val="en-US" w:eastAsia="zh-CN"/>
              </w:rPr>
              <w:t>1.30</w:t>
            </w:r>
          </w:p>
        </w:tc>
        <w:tc>
          <w:tcPr>
            <w:tcW w:w="1215" w:type="dxa"/>
            <w:vAlign w:val="center"/>
          </w:tcPr>
          <w:p>
            <w:pPr>
              <w:widowControl/>
              <w:adjustRightInd/>
              <w:spacing w:line="240" w:lineRule="auto"/>
              <w:jc w:val="center"/>
              <w:textAlignment w:val="auto"/>
              <w:rPr>
                <w:rFonts w:hint="eastAsia" w:eastAsia="仿宋_GB2312"/>
                <w:color w:val="000000" w:themeColor="text1"/>
                <w:sz w:val="21"/>
                <w:szCs w:val="21"/>
                <w:lang w:eastAsia="zh-CN"/>
              </w:rPr>
            </w:pPr>
            <w:r>
              <w:rPr>
                <w:rFonts w:hint="eastAsia" w:eastAsia="仿宋_GB2312"/>
                <w:color w:val="000000" w:themeColor="text1"/>
                <w:sz w:val="21"/>
                <w:szCs w:val="21"/>
                <w:lang w:val="en-US" w:eastAsia="zh-CN"/>
              </w:rPr>
              <w:t>1.30</w:t>
            </w:r>
          </w:p>
        </w:tc>
        <w:tc>
          <w:tcPr>
            <w:tcW w:w="1200" w:type="dxa"/>
            <w:vAlign w:val="center"/>
          </w:tcPr>
          <w:p>
            <w:pPr>
              <w:widowControl/>
              <w:adjustRightInd/>
              <w:spacing w:line="240" w:lineRule="auto"/>
              <w:jc w:val="center"/>
              <w:textAlignment w:val="auto"/>
              <w:rPr>
                <w:rFonts w:eastAsia="仿宋_GB2312"/>
                <w:color w:val="000000" w:themeColor="text1"/>
                <w:sz w:val="21"/>
                <w:szCs w:val="21"/>
              </w:rPr>
            </w:pPr>
          </w:p>
        </w:tc>
        <w:tc>
          <w:tcPr>
            <w:tcW w:w="1717" w:type="dxa"/>
            <w:vAlign w:val="center"/>
          </w:tcPr>
          <w:p>
            <w:pPr>
              <w:widowControl/>
              <w:adjustRightInd/>
              <w:spacing w:line="240" w:lineRule="auto"/>
              <w:jc w:val="center"/>
              <w:textAlignment w:val="auto"/>
              <w:rPr>
                <w:rFonts w:hint="eastAsia" w:eastAsia="仿宋_GB2312"/>
                <w:color w:val="000000" w:themeColor="text1"/>
                <w:sz w:val="21"/>
                <w:szCs w:val="21"/>
                <w:lang w:eastAsia="zh-CN"/>
              </w:rPr>
            </w:pPr>
            <w:r>
              <w:rPr>
                <w:rFonts w:hint="eastAsia" w:eastAsia="仿宋_GB2312"/>
                <w:color w:val="000000" w:themeColor="text1"/>
                <w:sz w:val="21"/>
                <w:szCs w:val="21"/>
                <w:lang w:val="en-US" w:eastAsia="zh-CN"/>
              </w:rPr>
              <w:t>1.30</w:t>
            </w:r>
          </w:p>
        </w:tc>
      </w:tr>
    </w:tbl>
    <w:p>
      <w:pPr>
        <w:pStyle w:val="4"/>
        <w:spacing w:before="0" w:after="0" w:line="360" w:lineRule="auto"/>
        <w:rPr>
          <w:rFonts w:ascii="Times New Roman" w:hAnsi="Times New Roman" w:eastAsia="仿宋_GB2312"/>
          <w:color w:val="000000" w:themeColor="text1"/>
          <w:sz w:val="28"/>
          <w:szCs w:val="28"/>
        </w:rPr>
      </w:pPr>
      <w:bookmarkStart w:id="27" w:name="_Toc5788"/>
      <w:r>
        <w:rPr>
          <w:rFonts w:ascii="Times New Roman" w:hAnsi="Times New Roman" w:eastAsia="仿宋_GB2312"/>
          <w:color w:val="000000" w:themeColor="text1"/>
          <w:sz w:val="28"/>
          <w:szCs w:val="28"/>
        </w:rPr>
        <w:t>2.4土石方平衡</w:t>
      </w:r>
      <w:bookmarkEnd w:id="27"/>
    </w:p>
    <w:p>
      <w:pPr>
        <w:pStyle w:val="2"/>
        <w:spacing w:line="360" w:lineRule="auto"/>
        <w:ind w:left="0" w:leftChars="0" w:firstLine="480" w:firstLineChars="200"/>
        <w:jc w:val="both"/>
        <w:rPr>
          <w:rFonts w:eastAsia="仿宋_GB2312"/>
          <w:color w:val="000000" w:themeColor="text1"/>
        </w:rPr>
      </w:pPr>
      <w:r>
        <w:rPr>
          <w:rFonts w:eastAsia="仿宋_GB2312"/>
          <w:color w:val="000000" w:themeColor="text1"/>
        </w:rPr>
        <w:t>（1）表土平衡</w:t>
      </w:r>
    </w:p>
    <w:p>
      <w:pPr>
        <w:tabs>
          <w:tab w:val="left" w:pos="6096"/>
          <w:tab w:val="left" w:pos="8647"/>
        </w:tabs>
        <w:snapToGrid w:val="0"/>
        <w:spacing w:line="360" w:lineRule="auto"/>
        <w:ind w:firstLine="480" w:firstLineChars="200"/>
        <w:rPr>
          <w:rFonts w:eastAsia="仿宋_GB2312"/>
          <w:color w:val="000000" w:themeColor="text1"/>
          <w:szCs w:val="24"/>
          <w:highlight w:val="cyan"/>
        </w:rPr>
      </w:pPr>
      <w:r>
        <w:rPr>
          <w:rFonts w:eastAsia="仿宋_GB2312"/>
          <w:color w:val="000000" w:themeColor="text1"/>
        </w:rPr>
        <w:t>经现场查勘，本项目用地范围为政府拆迁后净地，地表物质组成为杂填土</w:t>
      </w:r>
      <w:r>
        <w:rPr>
          <w:rFonts w:eastAsia="仿宋_GB2312"/>
          <w:color w:val="000000" w:themeColor="text1"/>
          <w:szCs w:val="24"/>
        </w:rPr>
        <w:t>，</w:t>
      </w:r>
      <w:r>
        <w:rPr>
          <w:rFonts w:eastAsia="仿宋_GB2312"/>
          <w:color w:val="000000" w:themeColor="text1"/>
        </w:rPr>
        <w:t>不具备表土剥离条件；施工结束后，对拟采取绿化措施区域进行</w:t>
      </w:r>
      <w:r>
        <w:rPr>
          <w:rFonts w:eastAsia="仿宋_GB2312"/>
          <w:snapToGrid w:val="0"/>
          <w:color w:val="000000" w:themeColor="text1"/>
          <w:szCs w:val="24"/>
        </w:rPr>
        <w:t>绿化用土回覆</w:t>
      </w:r>
      <w:r>
        <w:rPr>
          <w:rFonts w:eastAsia="仿宋_GB2312"/>
          <w:color w:val="000000" w:themeColor="text1"/>
        </w:rPr>
        <w:t>，工程建设区绿化用土回覆面积</w:t>
      </w:r>
      <w:r>
        <w:rPr>
          <w:rFonts w:hint="eastAsia" w:eastAsia="仿宋_GB2312"/>
          <w:color w:val="000000" w:themeColor="text1"/>
        </w:rPr>
        <w:t>0.</w:t>
      </w:r>
      <w:r>
        <w:rPr>
          <w:rFonts w:hint="eastAsia" w:eastAsia="仿宋_GB2312"/>
          <w:color w:val="000000" w:themeColor="text1"/>
          <w:lang w:val="en-US" w:eastAsia="zh-CN"/>
        </w:rPr>
        <w:t>13</w:t>
      </w:r>
      <w:r>
        <w:rPr>
          <w:rFonts w:hint="eastAsia" w:eastAsia="仿宋_GB2312"/>
          <w:color w:val="000000" w:themeColor="text1"/>
        </w:rPr>
        <w:t>h</w:t>
      </w:r>
      <w:r>
        <w:rPr>
          <w:rFonts w:eastAsia="仿宋_GB2312"/>
          <w:color w:val="000000" w:themeColor="text1"/>
        </w:rPr>
        <w:t>m²，回覆厚度0.</w:t>
      </w:r>
      <w:r>
        <w:rPr>
          <w:rFonts w:hint="eastAsia" w:eastAsia="仿宋_GB2312"/>
          <w:color w:val="000000" w:themeColor="text1"/>
        </w:rPr>
        <w:t>30</w:t>
      </w:r>
      <w:r>
        <w:rPr>
          <w:rFonts w:eastAsia="仿宋_GB2312"/>
          <w:color w:val="000000" w:themeColor="text1"/>
        </w:rPr>
        <w:t>m，绿化用土回覆量</w:t>
      </w:r>
      <w:r>
        <w:rPr>
          <w:rFonts w:hint="eastAsia" w:eastAsia="仿宋_GB2312"/>
          <w:color w:val="000000" w:themeColor="text1"/>
        </w:rPr>
        <w:t>0.</w:t>
      </w:r>
      <w:r>
        <w:rPr>
          <w:rFonts w:hint="eastAsia" w:eastAsia="仿宋_GB2312"/>
          <w:color w:val="000000" w:themeColor="text1"/>
          <w:lang w:val="en-US" w:eastAsia="zh-CN"/>
        </w:rPr>
        <w:t>04</w:t>
      </w:r>
      <w:r>
        <w:rPr>
          <w:rFonts w:eastAsia="仿宋_GB2312"/>
          <w:color w:val="000000" w:themeColor="text1"/>
        </w:rPr>
        <w:t>万</w:t>
      </w:r>
      <w:r>
        <w:rPr>
          <w:rFonts w:eastAsia="仿宋_GB2312"/>
          <w:color w:val="000000" w:themeColor="text1"/>
          <w:szCs w:val="24"/>
        </w:rPr>
        <w:t>m³，</w:t>
      </w:r>
      <w:r>
        <w:rPr>
          <w:rFonts w:eastAsia="仿宋_GB2312"/>
          <w:color w:val="000000" w:themeColor="text1"/>
        </w:rPr>
        <w:t>委托园林绿化公司负责绿化工作，绿化用土由园林绿化公司提供，水土流失防治责任由供应方负责</w:t>
      </w:r>
      <w:r>
        <w:rPr>
          <w:rFonts w:eastAsia="仿宋_GB2312"/>
          <w:color w:val="000000" w:themeColor="text1"/>
          <w:szCs w:val="24"/>
        </w:rPr>
        <w:t>。</w:t>
      </w:r>
    </w:p>
    <w:p>
      <w:pPr>
        <w:pStyle w:val="2"/>
        <w:spacing w:line="360" w:lineRule="auto"/>
        <w:ind w:left="0" w:leftChars="0" w:firstLine="480" w:firstLineChars="200"/>
        <w:jc w:val="both"/>
        <w:rPr>
          <w:rFonts w:eastAsia="仿宋_GB2312"/>
          <w:color w:val="000000" w:themeColor="text1"/>
        </w:rPr>
      </w:pPr>
      <w:r>
        <w:rPr>
          <w:rFonts w:hint="eastAsia" w:eastAsia="仿宋_GB2312"/>
          <w:color w:val="000000" w:themeColor="text1"/>
        </w:rPr>
        <w:t>（2）</w:t>
      </w:r>
      <w:r>
        <w:rPr>
          <w:rFonts w:eastAsia="仿宋_GB2312"/>
          <w:color w:val="000000" w:themeColor="text1"/>
        </w:rPr>
        <w:t>土方平衡</w:t>
      </w:r>
    </w:p>
    <w:p>
      <w:pPr>
        <w:spacing w:line="360" w:lineRule="auto"/>
        <w:ind w:firstLine="480" w:firstLineChars="200"/>
        <w:rPr>
          <w:rFonts w:eastAsia="仿宋_GB2312"/>
          <w:color w:val="000000" w:themeColor="text1"/>
          <w:highlight w:val="cyan"/>
        </w:rPr>
      </w:pPr>
      <w:r>
        <w:rPr>
          <w:rFonts w:eastAsia="仿宋_GB2312"/>
          <w:color w:val="000000" w:themeColor="text1"/>
          <w:szCs w:val="24"/>
        </w:rPr>
        <w:t>工程建设区建筑物基础开挖</w:t>
      </w:r>
      <w:r>
        <w:rPr>
          <w:rFonts w:hint="eastAsia" w:eastAsia="仿宋_GB2312"/>
          <w:color w:val="000000" w:themeColor="text1"/>
          <w:szCs w:val="24"/>
        </w:rPr>
        <w:t>0.</w:t>
      </w:r>
      <w:r>
        <w:rPr>
          <w:rFonts w:hint="eastAsia" w:eastAsia="仿宋_GB2312"/>
          <w:color w:val="000000" w:themeColor="text1"/>
          <w:szCs w:val="24"/>
          <w:lang w:val="en-US" w:eastAsia="zh-CN"/>
        </w:rPr>
        <w:t>34</w:t>
      </w:r>
      <w:r>
        <w:rPr>
          <w:rFonts w:eastAsia="仿宋_GB2312"/>
          <w:color w:val="000000" w:themeColor="text1"/>
          <w:szCs w:val="24"/>
        </w:rPr>
        <w:t>万m</w:t>
      </w:r>
      <w:r>
        <w:rPr>
          <w:rFonts w:eastAsia="仿宋_GB2312"/>
          <w:color w:val="000000" w:themeColor="text1"/>
          <w:szCs w:val="24"/>
          <w:vertAlign w:val="superscript"/>
        </w:rPr>
        <w:t>3</w:t>
      </w:r>
      <w:r>
        <w:rPr>
          <w:rFonts w:eastAsia="仿宋_GB2312"/>
          <w:color w:val="000000" w:themeColor="text1"/>
          <w:szCs w:val="24"/>
        </w:rPr>
        <w:t>，基础回填</w:t>
      </w:r>
      <w:r>
        <w:rPr>
          <w:rFonts w:hint="eastAsia" w:eastAsia="仿宋_GB2312"/>
          <w:color w:val="000000" w:themeColor="text1"/>
          <w:szCs w:val="24"/>
        </w:rPr>
        <w:t>0.</w:t>
      </w:r>
      <w:r>
        <w:rPr>
          <w:rFonts w:hint="eastAsia" w:eastAsia="仿宋_GB2312"/>
          <w:color w:val="000000" w:themeColor="text1"/>
          <w:szCs w:val="24"/>
          <w:lang w:val="en-US" w:eastAsia="zh-CN"/>
        </w:rPr>
        <w:t>15</w:t>
      </w:r>
      <w:r>
        <w:rPr>
          <w:rFonts w:eastAsia="仿宋_GB2312"/>
          <w:color w:val="000000" w:themeColor="text1"/>
          <w:szCs w:val="24"/>
        </w:rPr>
        <w:t>万m</w:t>
      </w:r>
      <w:r>
        <w:rPr>
          <w:rFonts w:eastAsia="仿宋_GB2312"/>
          <w:color w:val="000000" w:themeColor="text1"/>
          <w:szCs w:val="24"/>
          <w:vertAlign w:val="superscript"/>
        </w:rPr>
        <w:t>3</w:t>
      </w:r>
      <w:r>
        <w:rPr>
          <w:rFonts w:eastAsia="仿宋_GB2312"/>
          <w:color w:val="000000" w:themeColor="text1"/>
          <w:szCs w:val="24"/>
        </w:rPr>
        <w:t>、场地平整</w:t>
      </w:r>
      <w:r>
        <w:rPr>
          <w:rFonts w:hint="eastAsia" w:eastAsia="仿宋_GB2312"/>
          <w:color w:val="000000" w:themeColor="text1"/>
          <w:szCs w:val="24"/>
        </w:rPr>
        <w:t>0.</w:t>
      </w:r>
      <w:r>
        <w:rPr>
          <w:rFonts w:hint="eastAsia" w:eastAsia="仿宋_GB2312"/>
          <w:color w:val="000000" w:themeColor="text1"/>
          <w:szCs w:val="24"/>
          <w:lang w:val="en-US" w:eastAsia="zh-CN"/>
        </w:rPr>
        <w:t>19</w:t>
      </w:r>
      <w:r>
        <w:rPr>
          <w:rFonts w:eastAsia="仿宋_GB2312"/>
          <w:color w:val="000000" w:themeColor="text1"/>
          <w:szCs w:val="24"/>
        </w:rPr>
        <w:t>万m</w:t>
      </w:r>
      <w:r>
        <w:rPr>
          <w:rFonts w:eastAsia="仿宋_GB2312"/>
          <w:color w:val="000000" w:themeColor="text1"/>
          <w:szCs w:val="24"/>
          <w:vertAlign w:val="superscript"/>
        </w:rPr>
        <w:t>3</w:t>
      </w:r>
      <w:r>
        <w:rPr>
          <w:rFonts w:eastAsia="仿宋_GB2312"/>
          <w:color w:val="000000" w:themeColor="text1"/>
          <w:szCs w:val="24"/>
        </w:rPr>
        <w:t>。</w:t>
      </w:r>
      <w:r>
        <w:rPr>
          <w:rFonts w:eastAsia="仿宋_GB2312"/>
          <w:color w:val="000000" w:themeColor="text1"/>
        </w:rPr>
        <w:t>工程建设区各类管线铺设需开挖沟槽总长</w:t>
      </w:r>
      <w:r>
        <w:rPr>
          <w:rFonts w:hint="eastAsia" w:eastAsia="仿宋_GB2312"/>
          <w:color w:val="000000" w:themeColor="text1"/>
          <w:lang w:val="en-US" w:eastAsia="zh-CN"/>
        </w:rPr>
        <w:t>731</w:t>
      </w:r>
      <w:r>
        <w:rPr>
          <w:rFonts w:eastAsia="仿宋_GB2312"/>
          <w:color w:val="000000" w:themeColor="text1"/>
        </w:rPr>
        <w:t>m，沟槽土方开挖量为</w:t>
      </w:r>
      <w:r>
        <w:rPr>
          <w:rFonts w:hint="eastAsia" w:eastAsia="仿宋_GB2312"/>
          <w:color w:val="000000" w:themeColor="text1"/>
        </w:rPr>
        <w:t>0.</w:t>
      </w:r>
      <w:r>
        <w:rPr>
          <w:rFonts w:hint="eastAsia" w:eastAsia="仿宋_GB2312"/>
          <w:color w:val="000000" w:themeColor="text1"/>
          <w:lang w:val="en-US" w:eastAsia="zh-CN"/>
        </w:rPr>
        <w:t>15</w:t>
      </w:r>
      <w:r>
        <w:rPr>
          <w:rFonts w:eastAsia="仿宋_GB2312"/>
          <w:color w:val="000000" w:themeColor="text1"/>
        </w:rPr>
        <w:t>万m³，</w:t>
      </w:r>
      <w:r>
        <w:rPr>
          <w:rFonts w:eastAsia="仿宋_GB2312"/>
          <w:color w:val="000000" w:themeColor="text1"/>
          <w:szCs w:val="24"/>
        </w:rPr>
        <w:t>沟槽开挖</w:t>
      </w:r>
      <w:r>
        <w:rPr>
          <w:rFonts w:eastAsia="仿宋_GB2312"/>
          <w:color w:val="000000" w:themeColor="text1"/>
        </w:rPr>
        <w:t>土方</w:t>
      </w:r>
      <w:r>
        <w:rPr>
          <w:rFonts w:eastAsia="仿宋_GB2312"/>
          <w:color w:val="000000" w:themeColor="text1"/>
          <w:szCs w:val="24"/>
        </w:rPr>
        <w:t>无需集中堆存，管线施工结束后立即回填，</w:t>
      </w:r>
      <w:r>
        <w:rPr>
          <w:rFonts w:eastAsia="仿宋_GB2312"/>
          <w:color w:val="000000" w:themeColor="text1"/>
        </w:rPr>
        <w:t>回填量</w:t>
      </w:r>
      <w:r>
        <w:rPr>
          <w:rFonts w:hint="eastAsia" w:eastAsia="仿宋_GB2312"/>
          <w:color w:val="000000" w:themeColor="text1"/>
        </w:rPr>
        <w:t>0.</w:t>
      </w:r>
      <w:r>
        <w:rPr>
          <w:rFonts w:hint="eastAsia" w:eastAsia="仿宋_GB2312"/>
          <w:color w:val="000000" w:themeColor="text1"/>
          <w:lang w:val="en-US" w:eastAsia="zh-CN"/>
        </w:rPr>
        <w:t>15</w:t>
      </w:r>
      <w:r>
        <w:rPr>
          <w:rFonts w:eastAsia="仿宋_GB2312"/>
          <w:color w:val="000000" w:themeColor="text1"/>
        </w:rPr>
        <w:t>万m³。</w:t>
      </w:r>
    </w:p>
    <w:p>
      <w:pPr>
        <w:spacing w:line="360" w:lineRule="auto"/>
        <w:ind w:firstLine="480" w:firstLineChars="200"/>
        <w:jc w:val="both"/>
        <w:rPr>
          <w:color w:val="000000" w:themeColor="text1"/>
        </w:rPr>
      </w:pPr>
      <w:r>
        <w:rPr>
          <w:rFonts w:eastAsia="仿宋_GB2312"/>
          <w:color w:val="000000" w:themeColor="text1"/>
        </w:rPr>
        <w:t>综上，本项目土石方挖填总量为</w:t>
      </w:r>
      <w:r>
        <w:rPr>
          <w:rFonts w:hint="eastAsia" w:eastAsia="仿宋_GB2312"/>
          <w:color w:val="000000" w:themeColor="text1"/>
          <w:lang w:val="en-US" w:eastAsia="zh-CN"/>
        </w:rPr>
        <w:t>1.02</w:t>
      </w:r>
      <w:r>
        <w:rPr>
          <w:rFonts w:eastAsia="仿宋_GB2312"/>
          <w:color w:val="000000" w:themeColor="text1"/>
        </w:rPr>
        <w:t>万m³，其中挖方量为</w:t>
      </w:r>
      <w:r>
        <w:rPr>
          <w:rFonts w:hint="eastAsia" w:eastAsia="仿宋_GB2312"/>
          <w:color w:val="000000" w:themeColor="text1"/>
          <w:lang w:val="en-US" w:eastAsia="zh-CN"/>
        </w:rPr>
        <w:t>0.49</w:t>
      </w:r>
      <w:r>
        <w:rPr>
          <w:rFonts w:eastAsia="仿宋_GB2312"/>
          <w:color w:val="000000" w:themeColor="text1"/>
        </w:rPr>
        <w:t>万m³；填方量为</w:t>
      </w:r>
      <w:r>
        <w:rPr>
          <w:rFonts w:hint="eastAsia" w:eastAsia="仿宋_GB2312"/>
          <w:color w:val="000000" w:themeColor="text1"/>
          <w:lang w:val="en-US" w:eastAsia="zh-CN"/>
        </w:rPr>
        <w:t>0.53</w:t>
      </w:r>
      <w:r>
        <w:rPr>
          <w:rFonts w:eastAsia="仿宋_GB2312"/>
          <w:color w:val="000000" w:themeColor="text1"/>
        </w:rPr>
        <w:t>万m³（含绿化用土回覆</w:t>
      </w:r>
      <w:r>
        <w:rPr>
          <w:rFonts w:hint="eastAsia" w:eastAsia="仿宋_GB2312"/>
          <w:color w:val="000000" w:themeColor="text1"/>
        </w:rPr>
        <w:t>0.</w:t>
      </w:r>
      <w:r>
        <w:rPr>
          <w:rFonts w:hint="eastAsia" w:eastAsia="仿宋_GB2312"/>
          <w:color w:val="000000" w:themeColor="text1"/>
          <w:lang w:val="en-US" w:eastAsia="zh-CN"/>
        </w:rPr>
        <w:t>04</w:t>
      </w:r>
      <w:r>
        <w:rPr>
          <w:rFonts w:eastAsia="仿宋_GB2312"/>
          <w:color w:val="000000" w:themeColor="text1"/>
        </w:rPr>
        <w:t>万m³）；借方</w:t>
      </w:r>
      <w:r>
        <w:rPr>
          <w:rFonts w:hint="eastAsia" w:eastAsia="仿宋_GB2312"/>
          <w:color w:val="000000" w:themeColor="text1"/>
        </w:rPr>
        <w:t>0.</w:t>
      </w:r>
      <w:r>
        <w:rPr>
          <w:rFonts w:hint="eastAsia" w:eastAsia="仿宋_GB2312"/>
          <w:color w:val="000000" w:themeColor="text1"/>
          <w:lang w:val="en-US" w:eastAsia="zh-CN"/>
        </w:rPr>
        <w:t>04</w:t>
      </w:r>
      <w:r>
        <w:rPr>
          <w:rFonts w:eastAsia="仿宋_GB2312"/>
          <w:color w:val="000000" w:themeColor="text1"/>
        </w:rPr>
        <w:t>万m³绿化用土由园林绿化公司提供，水土流失防治责任由供应方负责</w:t>
      </w:r>
      <w:r>
        <w:rPr>
          <w:rFonts w:eastAsia="仿宋_GB2312"/>
          <w:color w:val="000000" w:themeColor="text1"/>
          <w:szCs w:val="24"/>
        </w:rPr>
        <w:t>。</w:t>
      </w:r>
      <w:r>
        <w:rPr>
          <w:rFonts w:eastAsia="仿宋_GB2312"/>
          <w:color w:val="000000" w:themeColor="text1"/>
        </w:rPr>
        <w:t>本项目土石方平衡。该项工程土石方平衡及土石方流向见表2-5、表2-6、图2-1。</w:t>
      </w:r>
    </w:p>
    <w:p>
      <w:pPr>
        <w:snapToGrid w:val="0"/>
        <w:spacing w:line="240" w:lineRule="auto"/>
        <w:jc w:val="center"/>
        <w:rPr>
          <w:rFonts w:eastAsia="仿宋_GB2312"/>
          <w:color w:val="000000" w:themeColor="text1"/>
          <w:szCs w:val="28"/>
        </w:rPr>
      </w:pPr>
      <w:r>
        <w:rPr>
          <w:rFonts w:eastAsia="仿宋_GB2312"/>
          <w:b/>
          <w:color w:val="000000" w:themeColor="text1"/>
          <w:szCs w:val="24"/>
        </w:rPr>
        <w:t>表2-5             土石方平衡表</w:t>
      </w:r>
      <w:r>
        <w:rPr>
          <w:rFonts w:eastAsia="仿宋_GB2312"/>
          <w:bCs/>
          <w:color w:val="000000" w:themeColor="text1"/>
          <w:szCs w:val="24"/>
        </w:rPr>
        <w:t xml:space="preserve">       </w:t>
      </w:r>
      <w:r>
        <w:rPr>
          <w:rFonts w:eastAsia="仿宋_GB2312"/>
          <w:b/>
          <w:color w:val="000000" w:themeColor="text1"/>
          <w:szCs w:val="24"/>
        </w:rPr>
        <w:t>单位：万m</w:t>
      </w:r>
      <w:r>
        <w:rPr>
          <w:rFonts w:eastAsia="仿宋_GB2312"/>
          <w:b/>
          <w:color w:val="000000" w:themeColor="text1"/>
          <w:szCs w:val="24"/>
          <w:vertAlign w:val="superscript"/>
        </w:rPr>
        <w:t>3</w:t>
      </w:r>
    </w:p>
    <w:tbl>
      <w:tblPr>
        <w:tblStyle w:val="23"/>
        <w:tblW w:w="0" w:type="auto"/>
        <w:jc w:val="center"/>
        <w:tblLayout w:type="fixed"/>
        <w:tblCellMar>
          <w:top w:w="0" w:type="dxa"/>
          <w:left w:w="0" w:type="dxa"/>
          <w:bottom w:w="0" w:type="dxa"/>
          <w:right w:w="0" w:type="dxa"/>
        </w:tblCellMar>
      </w:tblPr>
      <w:tblGrid>
        <w:gridCol w:w="953"/>
        <w:gridCol w:w="1668"/>
        <w:gridCol w:w="1350"/>
        <w:gridCol w:w="1363"/>
        <w:gridCol w:w="1313"/>
        <w:gridCol w:w="849"/>
        <w:gridCol w:w="1025"/>
      </w:tblGrid>
      <w:tr>
        <w:tblPrEx>
          <w:tblCellMar>
            <w:top w:w="0" w:type="dxa"/>
            <w:left w:w="0" w:type="dxa"/>
            <w:bottom w:w="0" w:type="dxa"/>
            <w:right w:w="0" w:type="dxa"/>
          </w:tblCellMar>
        </w:tblPrEx>
        <w:trPr>
          <w:trHeight w:val="283" w:hRule="atLeast"/>
          <w:jc w:val="center"/>
        </w:trPr>
        <w:tc>
          <w:tcPr>
            <w:tcW w:w="953" w:type="dxa"/>
            <w:tcBorders>
              <w:top w:val="single" w:color="auto" w:sz="4" w:space="0"/>
              <w:left w:val="single" w:color="auto" w:sz="4" w:space="0"/>
              <w:bottom w:val="single" w:color="000000"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分区代号</w:t>
            </w:r>
          </w:p>
        </w:tc>
        <w:tc>
          <w:tcPr>
            <w:tcW w:w="1668" w:type="dxa"/>
            <w:tcBorders>
              <w:top w:val="single" w:color="auto" w:sz="4" w:space="0"/>
              <w:left w:val="single" w:color="auto" w:sz="4" w:space="0"/>
              <w:bottom w:val="single" w:color="000000"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防治分区</w:t>
            </w:r>
          </w:p>
        </w:tc>
        <w:tc>
          <w:tcPr>
            <w:tcW w:w="1350" w:type="dxa"/>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分类</w:t>
            </w:r>
          </w:p>
        </w:tc>
        <w:tc>
          <w:tcPr>
            <w:tcW w:w="1363" w:type="dxa"/>
            <w:tcBorders>
              <w:top w:val="single" w:color="auto" w:sz="4" w:space="0"/>
              <w:left w:val="single" w:color="auto" w:sz="4" w:space="0"/>
              <w:bottom w:val="single" w:color="000000"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开挖或剥离方</w:t>
            </w:r>
          </w:p>
        </w:tc>
        <w:tc>
          <w:tcPr>
            <w:tcW w:w="1313" w:type="dxa"/>
            <w:tcBorders>
              <w:top w:val="single" w:color="auto" w:sz="4" w:space="0"/>
              <w:left w:val="single" w:color="auto" w:sz="4" w:space="0"/>
              <w:bottom w:val="single" w:color="000000"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回填或回覆方</w:t>
            </w:r>
          </w:p>
        </w:tc>
        <w:tc>
          <w:tcPr>
            <w:tcW w:w="849" w:type="dxa"/>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借方</w:t>
            </w:r>
          </w:p>
        </w:tc>
        <w:tc>
          <w:tcPr>
            <w:tcW w:w="1025" w:type="dxa"/>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余（弃）方</w:t>
            </w:r>
          </w:p>
        </w:tc>
      </w:tr>
      <w:tr>
        <w:tblPrEx>
          <w:tblCellMar>
            <w:top w:w="0" w:type="dxa"/>
            <w:left w:w="0" w:type="dxa"/>
            <w:bottom w:w="0" w:type="dxa"/>
            <w:right w:w="0" w:type="dxa"/>
          </w:tblCellMar>
        </w:tblPrEx>
        <w:trPr>
          <w:trHeight w:val="283" w:hRule="atLeast"/>
          <w:jc w:val="center"/>
        </w:trPr>
        <w:tc>
          <w:tcPr>
            <w:tcW w:w="953" w:type="dxa"/>
            <w:vMerge w:val="restart"/>
            <w:tcBorders>
              <w:top w:val="nil"/>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r>
              <w:rPr>
                <w:color w:val="000000" w:themeColor="text1"/>
                <w:sz w:val="21"/>
                <w:szCs w:val="21"/>
              </w:rPr>
              <w:t>①</w:t>
            </w:r>
          </w:p>
        </w:tc>
        <w:tc>
          <w:tcPr>
            <w:tcW w:w="1668" w:type="dxa"/>
            <w:vMerge w:val="restart"/>
            <w:tcBorders>
              <w:top w:val="nil"/>
              <w:left w:val="single" w:color="auto" w:sz="4" w:space="0"/>
              <w:bottom w:val="single" w:color="000000"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工程建设区</w:t>
            </w:r>
          </w:p>
        </w:tc>
        <w:tc>
          <w:tcPr>
            <w:tcW w:w="1350" w:type="dxa"/>
            <w:tcBorders>
              <w:top w:val="nil"/>
              <w:left w:val="nil"/>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土石方</w:t>
            </w:r>
          </w:p>
        </w:tc>
        <w:tc>
          <w:tcPr>
            <w:tcW w:w="1363" w:type="dxa"/>
            <w:tcBorders>
              <w:top w:val="nil"/>
              <w:left w:val="nil"/>
              <w:bottom w:val="single" w:color="auto" w:sz="4" w:space="0"/>
              <w:right w:val="single" w:color="auto" w:sz="4" w:space="0"/>
            </w:tcBorders>
            <w:vAlign w:val="center"/>
          </w:tcPr>
          <w:p>
            <w:pPr>
              <w:adjustRightInd/>
              <w:spacing w:line="240" w:lineRule="auto"/>
              <w:jc w:val="center"/>
              <w:textAlignment w:val="auto"/>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0.49</w:t>
            </w:r>
          </w:p>
        </w:tc>
        <w:tc>
          <w:tcPr>
            <w:tcW w:w="1313" w:type="dxa"/>
            <w:tcBorders>
              <w:top w:val="nil"/>
              <w:left w:val="nil"/>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5</w:t>
            </w:r>
            <w:r>
              <w:rPr>
                <w:rFonts w:hint="eastAsia" w:eastAsia="仿宋_GB2312"/>
                <w:color w:val="000000" w:themeColor="text1"/>
                <w:sz w:val="21"/>
                <w:szCs w:val="21"/>
              </w:rPr>
              <w:t>3</w:t>
            </w:r>
          </w:p>
        </w:tc>
        <w:tc>
          <w:tcPr>
            <w:tcW w:w="849" w:type="dxa"/>
            <w:tcBorders>
              <w:top w:val="nil"/>
              <w:left w:val="nil"/>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p>
        </w:tc>
        <w:tc>
          <w:tcPr>
            <w:tcW w:w="1025" w:type="dxa"/>
            <w:tcBorders>
              <w:top w:val="nil"/>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p>
        </w:tc>
      </w:tr>
      <w:tr>
        <w:tblPrEx>
          <w:tblCellMar>
            <w:top w:w="0" w:type="dxa"/>
            <w:left w:w="0" w:type="dxa"/>
            <w:bottom w:w="0" w:type="dxa"/>
            <w:right w:w="0" w:type="dxa"/>
          </w:tblCellMar>
        </w:tblPrEx>
        <w:trPr>
          <w:trHeight w:val="283" w:hRule="atLeast"/>
          <w:jc w:val="center"/>
        </w:trPr>
        <w:tc>
          <w:tcPr>
            <w:tcW w:w="953" w:type="dxa"/>
            <w:vMerge w:val="continue"/>
            <w:tcBorders>
              <w:top w:val="nil"/>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p>
        </w:tc>
        <w:tc>
          <w:tcPr>
            <w:tcW w:w="1668" w:type="dxa"/>
            <w:vMerge w:val="continue"/>
            <w:tcBorders>
              <w:top w:val="nil"/>
              <w:left w:val="single" w:color="auto" w:sz="4" w:space="0"/>
              <w:bottom w:val="single" w:color="000000"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p>
        </w:tc>
        <w:tc>
          <w:tcPr>
            <w:tcW w:w="1350" w:type="dxa"/>
            <w:tcBorders>
              <w:top w:val="nil"/>
              <w:left w:val="nil"/>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表土</w:t>
            </w:r>
          </w:p>
        </w:tc>
        <w:tc>
          <w:tcPr>
            <w:tcW w:w="1363" w:type="dxa"/>
            <w:tcBorders>
              <w:top w:val="nil"/>
              <w:left w:val="nil"/>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p>
        </w:tc>
        <w:tc>
          <w:tcPr>
            <w:tcW w:w="1313" w:type="dxa"/>
            <w:tcBorders>
              <w:top w:val="nil"/>
              <w:left w:val="nil"/>
              <w:bottom w:val="single" w:color="auto" w:sz="4" w:space="0"/>
              <w:right w:val="single" w:color="auto" w:sz="4" w:space="0"/>
            </w:tcBorders>
            <w:vAlign w:val="center"/>
          </w:tcPr>
          <w:p>
            <w:pPr>
              <w:adjustRightInd/>
              <w:spacing w:line="240" w:lineRule="auto"/>
              <w:jc w:val="center"/>
              <w:textAlignment w:val="auto"/>
              <w:rPr>
                <w:rFonts w:hint="default" w:eastAsia="仿宋_GB2312"/>
                <w:color w:val="000000" w:themeColor="text1"/>
                <w:sz w:val="21"/>
                <w:szCs w:val="21"/>
                <w:lang w:val="en-US" w:eastAsia="zh-CN"/>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04</w:t>
            </w:r>
          </w:p>
        </w:tc>
        <w:tc>
          <w:tcPr>
            <w:tcW w:w="849" w:type="dxa"/>
            <w:tcBorders>
              <w:top w:val="nil"/>
              <w:left w:val="nil"/>
              <w:bottom w:val="single" w:color="auto" w:sz="4" w:space="0"/>
              <w:right w:val="single" w:color="auto" w:sz="4" w:space="0"/>
            </w:tcBorders>
            <w:vAlign w:val="center"/>
          </w:tcPr>
          <w:p>
            <w:pPr>
              <w:adjustRightInd/>
              <w:spacing w:line="240" w:lineRule="auto"/>
              <w:jc w:val="center"/>
              <w:textAlignment w:val="auto"/>
              <w:rPr>
                <w:rFonts w:hint="default" w:eastAsia="仿宋_GB2312"/>
                <w:color w:val="000000" w:themeColor="text1"/>
                <w:sz w:val="21"/>
                <w:szCs w:val="21"/>
                <w:lang w:val="en-US" w:eastAsia="zh-CN"/>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04</w:t>
            </w:r>
          </w:p>
        </w:tc>
        <w:tc>
          <w:tcPr>
            <w:tcW w:w="1025" w:type="dxa"/>
            <w:tcBorders>
              <w:top w:val="nil"/>
              <w:left w:val="nil"/>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p>
        </w:tc>
      </w:tr>
      <w:tr>
        <w:tblPrEx>
          <w:tblCellMar>
            <w:top w:w="0" w:type="dxa"/>
            <w:left w:w="0" w:type="dxa"/>
            <w:bottom w:w="0" w:type="dxa"/>
            <w:right w:w="0" w:type="dxa"/>
          </w:tblCellMar>
        </w:tblPrEx>
        <w:trPr>
          <w:trHeight w:val="283" w:hRule="atLeast"/>
          <w:jc w:val="center"/>
        </w:trPr>
        <w:tc>
          <w:tcPr>
            <w:tcW w:w="953" w:type="dxa"/>
            <w:vMerge w:val="continue"/>
            <w:tcBorders>
              <w:top w:val="nil"/>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p>
        </w:tc>
        <w:tc>
          <w:tcPr>
            <w:tcW w:w="1668" w:type="dxa"/>
            <w:vMerge w:val="continue"/>
            <w:tcBorders>
              <w:top w:val="nil"/>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p>
        </w:tc>
        <w:tc>
          <w:tcPr>
            <w:tcW w:w="1350" w:type="dxa"/>
            <w:tcBorders>
              <w:top w:val="nil"/>
              <w:left w:val="nil"/>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小计</w:t>
            </w:r>
          </w:p>
        </w:tc>
        <w:tc>
          <w:tcPr>
            <w:tcW w:w="1363" w:type="dxa"/>
            <w:tcBorders>
              <w:top w:val="nil"/>
              <w:left w:val="nil"/>
              <w:bottom w:val="single" w:color="auto" w:sz="4" w:space="0"/>
              <w:right w:val="single" w:color="auto" w:sz="4" w:space="0"/>
            </w:tcBorders>
            <w:vAlign w:val="center"/>
          </w:tcPr>
          <w:p>
            <w:pPr>
              <w:adjustRightInd/>
              <w:spacing w:line="240" w:lineRule="auto"/>
              <w:jc w:val="center"/>
              <w:textAlignment w:val="auto"/>
              <w:rPr>
                <w:rFonts w:hint="default" w:eastAsia="仿宋_GB2312"/>
                <w:color w:val="000000" w:themeColor="text1"/>
                <w:sz w:val="21"/>
                <w:szCs w:val="21"/>
                <w:lang w:val="en-US" w:eastAsia="zh-CN"/>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49</w:t>
            </w:r>
          </w:p>
        </w:tc>
        <w:tc>
          <w:tcPr>
            <w:tcW w:w="1313" w:type="dxa"/>
            <w:tcBorders>
              <w:top w:val="nil"/>
              <w:left w:val="nil"/>
              <w:bottom w:val="single" w:color="auto" w:sz="4" w:space="0"/>
              <w:right w:val="single" w:color="auto" w:sz="4" w:space="0"/>
            </w:tcBorders>
            <w:vAlign w:val="center"/>
          </w:tcPr>
          <w:p>
            <w:pPr>
              <w:adjustRightInd/>
              <w:spacing w:line="240" w:lineRule="auto"/>
              <w:jc w:val="center"/>
              <w:textAlignment w:val="auto"/>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0.57</w:t>
            </w:r>
          </w:p>
        </w:tc>
        <w:tc>
          <w:tcPr>
            <w:tcW w:w="849" w:type="dxa"/>
            <w:tcBorders>
              <w:top w:val="nil"/>
              <w:left w:val="nil"/>
              <w:bottom w:val="single" w:color="auto" w:sz="4" w:space="0"/>
              <w:right w:val="single" w:color="auto" w:sz="4" w:space="0"/>
            </w:tcBorders>
            <w:vAlign w:val="center"/>
          </w:tcPr>
          <w:p>
            <w:pPr>
              <w:adjustRightInd/>
              <w:spacing w:line="240" w:lineRule="auto"/>
              <w:jc w:val="center"/>
              <w:textAlignment w:val="auto"/>
              <w:rPr>
                <w:rFonts w:hint="default" w:eastAsia="仿宋_GB2312"/>
                <w:color w:val="000000" w:themeColor="text1"/>
                <w:sz w:val="21"/>
                <w:szCs w:val="21"/>
                <w:lang w:val="en-US" w:eastAsia="zh-CN"/>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04</w:t>
            </w:r>
          </w:p>
        </w:tc>
        <w:tc>
          <w:tcPr>
            <w:tcW w:w="1025" w:type="dxa"/>
            <w:tcBorders>
              <w:top w:val="nil"/>
              <w:left w:val="nil"/>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p>
        </w:tc>
      </w:tr>
      <w:tr>
        <w:tblPrEx>
          <w:tblCellMar>
            <w:top w:w="0" w:type="dxa"/>
            <w:left w:w="0" w:type="dxa"/>
            <w:bottom w:w="0" w:type="dxa"/>
            <w:right w:w="0" w:type="dxa"/>
          </w:tblCellMar>
        </w:tblPrEx>
        <w:trPr>
          <w:trHeight w:val="283" w:hRule="atLeast"/>
          <w:jc w:val="center"/>
        </w:trPr>
        <w:tc>
          <w:tcPr>
            <w:tcW w:w="2621"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合计</w:t>
            </w:r>
          </w:p>
        </w:tc>
        <w:tc>
          <w:tcPr>
            <w:tcW w:w="1350" w:type="dxa"/>
            <w:tcBorders>
              <w:top w:val="single" w:color="auto" w:sz="4" w:space="0"/>
              <w:left w:val="nil"/>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土石方</w:t>
            </w:r>
          </w:p>
        </w:tc>
        <w:tc>
          <w:tcPr>
            <w:tcW w:w="1363" w:type="dxa"/>
            <w:tcBorders>
              <w:top w:val="single" w:color="auto" w:sz="4" w:space="0"/>
              <w:left w:val="nil"/>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r>
              <w:rPr>
                <w:rFonts w:hint="eastAsia" w:eastAsia="仿宋_GB2312"/>
                <w:color w:val="000000" w:themeColor="text1"/>
                <w:sz w:val="21"/>
                <w:szCs w:val="21"/>
                <w:lang w:val="en-US" w:eastAsia="zh-CN"/>
              </w:rPr>
              <w:t>0.49</w:t>
            </w:r>
          </w:p>
        </w:tc>
        <w:tc>
          <w:tcPr>
            <w:tcW w:w="1313" w:type="dxa"/>
            <w:tcBorders>
              <w:top w:val="single" w:color="auto" w:sz="4" w:space="0"/>
              <w:left w:val="nil"/>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5</w:t>
            </w:r>
            <w:r>
              <w:rPr>
                <w:rFonts w:hint="eastAsia" w:eastAsia="仿宋_GB2312"/>
                <w:color w:val="000000" w:themeColor="text1"/>
                <w:sz w:val="21"/>
                <w:szCs w:val="21"/>
              </w:rPr>
              <w:t>3</w:t>
            </w:r>
          </w:p>
        </w:tc>
        <w:tc>
          <w:tcPr>
            <w:tcW w:w="849" w:type="dxa"/>
            <w:tcBorders>
              <w:top w:val="single" w:color="auto" w:sz="4" w:space="0"/>
              <w:left w:val="nil"/>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p>
        </w:tc>
        <w:tc>
          <w:tcPr>
            <w:tcW w:w="1025" w:type="dxa"/>
            <w:tcBorders>
              <w:top w:val="single" w:color="auto" w:sz="4" w:space="0"/>
              <w:left w:val="nil"/>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highlight w:val="cyan"/>
              </w:rPr>
            </w:pPr>
          </w:p>
        </w:tc>
      </w:tr>
      <w:tr>
        <w:tblPrEx>
          <w:tblCellMar>
            <w:top w:w="0" w:type="dxa"/>
            <w:left w:w="0" w:type="dxa"/>
            <w:bottom w:w="0" w:type="dxa"/>
            <w:right w:w="0" w:type="dxa"/>
          </w:tblCellMar>
        </w:tblPrEx>
        <w:trPr>
          <w:trHeight w:val="283" w:hRule="atLeast"/>
          <w:jc w:val="center"/>
        </w:trPr>
        <w:tc>
          <w:tcPr>
            <w:tcW w:w="2621" w:type="dxa"/>
            <w:gridSpan w:val="2"/>
            <w:vMerge w:val="continue"/>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p>
        </w:tc>
        <w:tc>
          <w:tcPr>
            <w:tcW w:w="1350" w:type="dxa"/>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表土</w:t>
            </w:r>
          </w:p>
        </w:tc>
        <w:tc>
          <w:tcPr>
            <w:tcW w:w="1363" w:type="dxa"/>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p>
        </w:tc>
        <w:tc>
          <w:tcPr>
            <w:tcW w:w="1313" w:type="dxa"/>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04</w:t>
            </w:r>
          </w:p>
        </w:tc>
        <w:tc>
          <w:tcPr>
            <w:tcW w:w="849" w:type="dxa"/>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04</w:t>
            </w:r>
          </w:p>
        </w:tc>
        <w:tc>
          <w:tcPr>
            <w:tcW w:w="1025" w:type="dxa"/>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highlight w:val="cyan"/>
              </w:rPr>
            </w:pPr>
          </w:p>
        </w:tc>
      </w:tr>
      <w:tr>
        <w:tblPrEx>
          <w:tblCellMar>
            <w:top w:w="0" w:type="dxa"/>
            <w:left w:w="0" w:type="dxa"/>
            <w:bottom w:w="0" w:type="dxa"/>
            <w:right w:w="0" w:type="dxa"/>
          </w:tblCellMar>
        </w:tblPrEx>
        <w:trPr>
          <w:trHeight w:val="283" w:hRule="atLeast"/>
          <w:jc w:val="center"/>
        </w:trPr>
        <w:tc>
          <w:tcPr>
            <w:tcW w:w="2621" w:type="dxa"/>
            <w:gridSpan w:val="2"/>
            <w:vMerge w:val="continue"/>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p>
        </w:tc>
        <w:tc>
          <w:tcPr>
            <w:tcW w:w="1350" w:type="dxa"/>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小计</w:t>
            </w:r>
          </w:p>
        </w:tc>
        <w:tc>
          <w:tcPr>
            <w:tcW w:w="1363" w:type="dxa"/>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49</w:t>
            </w:r>
          </w:p>
        </w:tc>
        <w:tc>
          <w:tcPr>
            <w:tcW w:w="1313" w:type="dxa"/>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r>
              <w:rPr>
                <w:rFonts w:hint="eastAsia" w:eastAsia="仿宋_GB2312"/>
                <w:color w:val="000000" w:themeColor="text1"/>
                <w:sz w:val="21"/>
                <w:szCs w:val="21"/>
                <w:lang w:val="en-US" w:eastAsia="zh-CN"/>
              </w:rPr>
              <w:t>0.57</w:t>
            </w:r>
          </w:p>
        </w:tc>
        <w:tc>
          <w:tcPr>
            <w:tcW w:w="849" w:type="dxa"/>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04</w:t>
            </w:r>
          </w:p>
        </w:tc>
        <w:tc>
          <w:tcPr>
            <w:tcW w:w="1025" w:type="dxa"/>
            <w:tcBorders>
              <w:top w:val="single" w:color="auto" w:sz="4" w:space="0"/>
              <w:left w:val="single" w:color="auto" w:sz="4" w:space="0"/>
              <w:bottom w:val="single" w:color="auto" w:sz="4" w:space="0"/>
              <w:right w:val="single" w:color="auto" w:sz="4" w:space="0"/>
            </w:tcBorders>
            <w:vAlign w:val="center"/>
          </w:tcPr>
          <w:p>
            <w:pPr>
              <w:adjustRightInd/>
              <w:spacing w:line="240" w:lineRule="auto"/>
              <w:jc w:val="center"/>
              <w:textAlignment w:val="auto"/>
              <w:rPr>
                <w:rFonts w:eastAsia="仿宋_GB2312"/>
                <w:color w:val="000000" w:themeColor="text1"/>
                <w:sz w:val="21"/>
                <w:szCs w:val="21"/>
                <w:highlight w:val="cyan"/>
              </w:rPr>
            </w:pPr>
          </w:p>
        </w:tc>
      </w:tr>
    </w:tbl>
    <w:p>
      <w:pPr>
        <w:snapToGrid w:val="0"/>
        <w:spacing w:line="240" w:lineRule="auto"/>
        <w:jc w:val="both"/>
        <w:rPr>
          <w:rFonts w:eastAsia="仿宋_GB2312"/>
          <w:b/>
          <w:color w:val="000000" w:themeColor="text1"/>
          <w:szCs w:val="24"/>
          <w:highlight w:val="cyan"/>
        </w:rPr>
      </w:pPr>
    </w:p>
    <w:p>
      <w:pPr>
        <w:snapToGrid w:val="0"/>
        <w:spacing w:line="240" w:lineRule="auto"/>
        <w:jc w:val="center"/>
        <w:rPr>
          <w:rFonts w:eastAsia="仿宋_GB2312"/>
          <w:color w:val="000000" w:themeColor="text1"/>
          <w:sz w:val="21"/>
          <w:szCs w:val="21"/>
          <w:vertAlign w:val="superscript"/>
        </w:rPr>
      </w:pPr>
      <w:r>
        <w:rPr>
          <w:rFonts w:eastAsia="仿宋_GB2312"/>
          <w:b/>
          <w:color w:val="000000" w:themeColor="text1"/>
          <w:szCs w:val="24"/>
        </w:rPr>
        <w:t>表2-6             表土平衡表          单位：万m</w:t>
      </w:r>
      <w:r>
        <w:rPr>
          <w:rFonts w:eastAsia="仿宋_GB2312"/>
          <w:b/>
          <w:color w:val="000000" w:themeColor="text1"/>
          <w:szCs w:val="24"/>
          <w:vertAlign w:val="superscript"/>
        </w:rPr>
        <w:t>3</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2046"/>
        <w:gridCol w:w="1530"/>
        <w:gridCol w:w="1358"/>
        <w:gridCol w:w="1011"/>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10" w:type="dxa"/>
            <w:vMerge w:val="restart"/>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分区代号</w:t>
            </w:r>
          </w:p>
        </w:tc>
        <w:tc>
          <w:tcPr>
            <w:tcW w:w="2046" w:type="dxa"/>
            <w:vMerge w:val="restart"/>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防治分区</w:t>
            </w:r>
          </w:p>
        </w:tc>
        <w:tc>
          <w:tcPr>
            <w:tcW w:w="1530" w:type="dxa"/>
            <w:vMerge w:val="restart"/>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剥离方</w:t>
            </w:r>
          </w:p>
        </w:tc>
        <w:tc>
          <w:tcPr>
            <w:tcW w:w="1358" w:type="dxa"/>
            <w:vMerge w:val="restart"/>
            <w:vAlign w:val="center"/>
          </w:tcPr>
          <w:p>
            <w:pPr>
              <w:widowControl/>
              <w:spacing w:line="240" w:lineRule="auto"/>
              <w:jc w:val="center"/>
              <w:rPr>
                <w:rFonts w:eastAsia="仿宋_GB2312"/>
                <w:color w:val="000000" w:themeColor="text1"/>
                <w:sz w:val="21"/>
                <w:szCs w:val="21"/>
                <w:u w:val="single"/>
              </w:rPr>
            </w:pPr>
            <w:r>
              <w:rPr>
                <w:rFonts w:eastAsia="仿宋_GB2312"/>
                <w:color w:val="000000" w:themeColor="text1"/>
                <w:sz w:val="21"/>
                <w:szCs w:val="21"/>
              </w:rPr>
              <w:t>回覆方</w:t>
            </w:r>
          </w:p>
        </w:tc>
        <w:tc>
          <w:tcPr>
            <w:tcW w:w="1011" w:type="dxa"/>
            <w:vMerge w:val="restart"/>
            <w:vAlign w:val="center"/>
          </w:tcPr>
          <w:p>
            <w:pPr>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借方</w:t>
            </w:r>
          </w:p>
        </w:tc>
        <w:tc>
          <w:tcPr>
            <w:tcW w:w="1266" w:type="dxa"/>
            <w:vMerge w:val="restart"/>
            <w:vAlign w:val="center"/>
          </w:tcPr>
          <w:p>
            <w:pPr>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余方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10" w:type="dxa"/>
            <w:vMerge w:val="continue"/>
            <w:vAlign w:val="center"/>
          </w:tcPr>
          <w:p>
            <w:pPr>
              <w:widowControl/>
              <w:spacing w:line="240" w:lineRule="auto"/>
              <w:jc w:val="center"/>
              <w:rPr>
                <w:rFonts w:eastAsia="仿宋_GB2312"/>
                <w:color w:val="000000" w:themeColor="text1"/>
                <w:sz w:val="21"/>
                <w:szCs w:val="21"/>
              </w:rPr>
            </w:pPr>
          </w:p>
        </w:tc>
        <w:tc>
          <w:tcPr>
            <w:tcW w:w="2046" w:type="dxa"/>
            <w:vMerge w:val="continue"/>
            <w:vAlign w:val="center"/>
          </w:tcPr>
          <w:p>
            <w:pPr>
              <w:widowControl/>
              <w:spacing w:line="240" w:lineRule="auto"/>
              <w:jc w:val="center"/>
              <w:rPr>
                <w:rFonts w:eastAsia="仿宋_GB2312"/>
                <w:color w:val="000000" w:themeColor="text1"/>
                <w:sz w:val="21"/>
                <w:szCs w:val="21"/>
              </w:rPr>
            </w:pPr>
          </w:p>
        </w:tc>
        <w:tc>
          <w:tcPr>
            <w:tcW w:w="1530" w:type="dxa"/>
            <w:vMerge w:val="continue"/>
            <w:vAlign w:val="center"/>
          </w:tcPr>
          <w:p>
            <w:pPr>
              <w:widowControl/>
              <w:spacing w:line="240" w:lineRule="auto"/>
              <w:jc w:val="center"/>
              <w:rPr>
                <w:rFonts w:eastAsia="仿宋_GB2312"/>
                <w:color w:val="000000" w:themeColor="text1"/>
                <w:sz w:val="21"/>
                <w:szCs w:val="21"/>
              </w:rPr>
            </w:pPr>
          </w:p>
        </w:tc>
        <w:tc>
          <w:tcPr>
            <w:tcW w:w="1358" w:type="dxa"/>
            <w:vMerge w:val="continue"/>
            <w:vAlign w:val="center"/>
          </w:tcPr>
          <w:p>
            <w:pPr>
              <w:widowControl/>
              <w:spacing w:line="240" w:lineRule="auto"/>
              <w:jc w:val="center"/>
              <w:rPr>
                <w:rFonts w:eastAsia="仿宋_GB2312"/>
                <w:color w:val="000000" w:themeColor="text1"/>
                <w:sz w:val="21"/>
                <w:szCs w:val="21"/>
                <w:u w:val="single"/>
              </w:rPr>
            </w:pPr>
          </w:p>
        </w:tc>
        <w:tc>
          <w:tcPr>
            <w:tcW w:w="1011" w:type="dxa"/>
            <w:vMerge w:val="continue"/>
            <w:vAlign w:val="center"/>
          </w:tcPr>
          <w:p>
            <w:pPr>
              <w:widowControl/>
              <w:spacing w:line="240" w:lineRule="auto"/>
              <w:jc w:val="center"/>
              <w:rPr>
                <w:rFonts w:eastAsia="仿宋_GB2312"/>
                <w:color w:val="000000" w:themeColor="text1"/>
                <w:sz w:val="21"/>
                <w:szCs w:val="21"/>
              </w:rPr>
            </w:pPr>
          </w:p>
        </w:tc>
        <w:tc>
          <w:tcPr>
            <w:tcW w:w="1266" w:type="dxa"/>
            <w:vMerge w:val="continue"/>
            <w:vAlign w:val="center"/>
          </w:tcPr>
          <w:p>
            <w:pPr>
              <w:widowControl/>
              <w:spacing w:line="240" w:lineRule="auto"/>
              <w:jc w:val="center"/>
              <w:rPr>
                <w:rFonts w:eastAsia="仿宋_GB2312"/>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10" w:type="dxa"/>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①</w:t>
            </w:r>
          </w:p>
        </w:tc>
        <w:tc>
          <w:tcPr>
            <w:tcW w:w="2046" w:type="dxa"/>
            <w:vAlign w:val="center"/>
          </w:tcPr>
          <w:p>
            <w:pPr>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工程建设区</w:t>
            </w:r>
          </w:p>
        </w:tc>
        <w:tc>
          <w:tcPr>
            <w:tcW w:w="1530" w:type="dxa"/>
            <w:vAlign w:val="center"/>
          </w:tcPr>
          <w:p>
            <w:pPr>
              <w:adjustRightInd/>
              <w:spacing w:line="240" w:lineRule="auto"/>
              <w:jc w:val="center"/>
              <w:textAlignment w:val="auto"/>
              <w:rPr>
                <w:rFonts w:eastAsia="仿宋_GB2312"/>
                <w:color w:val="000000" w:themeColor="text1"/>
                <w:sz w:val="21"/>
                <w:szCs w:val="21"/>
              </w:rPr>
            </w:pPr>
          </w:p>
        </w:tc>
        <w:tc>
          <w:tcPr>
            <w:tcW w:w="1358" w:type="dxa"/>
            <w:vAlign w:val="center"/>
          </w:tcPr>
          <w:p>
            <w:pPr>
              <w:adjustRightInd/>
              <w:spacing w:line="240" w:lineRule="auto"/>
              <w:jc w:val="center"/>
              <w:textAlignment w:val="auto"/>
              <w:rPr>
                <w:rFonts w:hint="default" w:eastAsia="仿宋_GB2312"/>
                <w:color w:val="000000" w:themeColor="text1"/>
                <w:sz w:val="21"/>
                <w:szCs w:val="21"/>
                <w:lang w:val="en-US" w:eastAsia="zh-CN"/>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04</w:t>
            </w:r>
          </w:p>
        </w:tc>
        <w:tc>
          <w:tcPr>
            <w:tcW w:w="1011" w:type="dxa"/>
            <w:vAlign w:val="center"/>
          </w:tcPr>
          <w:p>
            <w:pPr>
              <w:adjustRightInd/>
              <w:spacing w:line="240" w:lineRule="auto"/>
              <w:jc w:val="center"/>
              <w:textAlignment w:val="auto"/>
              <w:rPr>
                <w:rFonts w:eastAsia="仿宋_GB2312"/>
                <w:color w:val="000000" w:themeColor="text1"/>
                <w:sz w:val="21"/>
                <w:szCs w:val="21"/>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04</w:t>
            </w:r>
          </w:p>
        </w:tc>
        <w:tc>
          <w:tcPr>
            <w:tcW w:w="1266" w:type="dxa"/>
            <w:vAlign w:val="center"/>
          </w:tcPr>
          <w:p>
            <w:pPr>
              <w:widowControl/>
              <w:spacing w:line="240" w:lineRule="auto"/>
              <w:jc w:val="center"/>
              <w:rPr>
                <w:rFonts w:eastAsia="仿宋_GB2312"/>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356" w:type="dxa"/>
            <w:gridSpan w:val="2"/>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合计</w:t>
            </w:r>
          </w:p>
        </w:tc>
        <w:tc>
          <w:tcPr>
            <w:tcW w:w="1530" w:type="dxa"/>
            <w:vAlign w:val="center"/>
          </w:tcPr>
          <w:p>
            <w:pPr>
              <w:adjustRightInd/>
              <w:spacing w:line="240" w:lineRule="auto"/>
              <w:jc w:val="center"/>
              <w:textAlignment w:val="auto"/>
              <w:rPr>
                <w:rFonts w:eastAsia="仿宋_GB2312"/>
                <w:color w:val="000000" w:themeColor="text1"/>
                <w:sz w:val="21"/>
                <w:szCs w:val="21"/>
              </w:rPr>
            </w:pPr>
          </w:p>
        </w:tc>
        <w:tc>
          <w:tcPr>
            <w:tcW w:w="1358" w:type="dxa"/>
            <w:vAlign w:val="center"/>
          </w:tcPr>
          <w:p>
            <w:pPr>
              <w:adjustRightInd/>
              <w:spacing w:line="240" w:lineRule="auto"/>
              <w:jc w:val="center"/>
              <w:textAlignment w:val="auto"/>
              <w:rPr>
                <w:rFonts w:hint="default" w:eastAsia="仿宋_GB2312"/>
                <w:color w:val="000000" w:themeColor="text1"/>
                <w:sz w:val="21"/>
                <w:szCs w:val="21"/>
                <w:lang w:val="en-US" w:eastAsia="zh-CN"/>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04</w:t>
            </w:r>
          </w:p>
        </w:tc>
        <w:tc>
          <w:tcPr>
            <w:tcW w:w="1011" w:type="dxa"/>
            <w:vAlign w:val="center"/>
          </w:tcPr>
          <w:p>
            <w:pPr>
              <w:adjustRightInd/>
              <w:spacing w:line="240" w:lineRule="auto"/>
              <w:jc w:val="center"/>
              <w:textAlignment w:val="auto"/>
              <w:rPr>
                <w:rFonts w:eastAsia="仿宋_GB2312"/>
                <w:color w:val="000000" w:themeColor="text1"/>
                <w:sz w:val="21"/>
                <w:szCs w:val="21"/>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04</w:t>
            </w:r>
          </w:p>
        </w:tc>
        <w:tc>
          <w:tcPr>
            <w:tcW w:w="1266" w:type="dxa"/>
            <w:vAlign w:val="center"/>
          </w:tcPr>
          <w:p>
            <w:pPr>
              <w:widowControl/>
              <w:spacing w:line="240" w:lineRule="auto"/>
              <w:jc w:val="center"/>
              <w:rPr>
                <w:rFonts w:eastAsia="仿宋_GB2312"/>
                <w:color w:val="000000" w:themeColor="text1"/>
                <w:sz w:val="21"/>
                <w:szCs w:val="21"/>
              </w:rPr>
            </w:pPr>
          </w:p>
        </w:tc>
      </w:tr>
    </w:tbl>
    <w:p>
      <w:pPr>
        <w:snapToGrid w:val="0"/>
        <w:spacing w:line="360" w:lineRule="auto"/>
        <w:jc w:val="center"/>
        <w:rPr>
          <w:rFonts w:eastAsia="仿宋_GB2312"/>
          <w:b/>
          <w:bCs/>
          <w:color w:val="000000" w:themeColor="text1"/>
          <w:szCs w:val="24"/>
          <w:highlight w:val="cyan"/>
        </w:rPr>
      </w:pPr>
      <w:r>
        <w:rPr>
          <w:rFonts w:hint="eastAsia" w:eastAsia="仿宋_GB2312"/>
          <w:b/>
          <w:bCs/>
          <w:color w:val="000000" w:themeColor="text1"/>
          <w:szCs w:val="24"/>
        </w:rPr>
        <w:drawing>
          <wp:inline distT="0" distB="0" distL="114300" distR="114300">
            <wp:extent cx="5245735" cy="2207260"/>
            <wp:effectExtent l="0" t="0" r="0" b="0"/>
            <wp:docPr id="3" name="ECB019B1-382A-4266-B25C-5B523AA43C14-1" descr="C:/Users/A/AppData/Local/Temp/wps.VvGfWw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1" descr="C:/Users/A/AppData/Local/Temp/wps.VvGfWwwps"/>
                    <pic:cNvPicPr>
                      <a:picLocks noChangeAspect="1"/>
                    </pic:cNvPicPr>
                  </pic:nvPicPr>
                  <pic:blipFill>
                    <a:blip r:embed="rId34"/>
                    <a:stretch>
                      <a:fillRect/>
                    </a:stretch>
                  </pic:blipFill>
                  <pic:spPr>
                    <a:xfrm>
                      <a:off x="0" y="0"/>
                      <a:ext cx="5245735" cy="2207260"/>
                    </a:xfrm>
                    <a:prstGeom prst="rect">
                      <a:avLst/>
                    </a:prstGeom>
                  </pic:spPr>
                </pic:pic>
              </a:graphicData>
            </a:graphic>
          </wp:inline>
        </w:drawing>
      </w:r>
    </w:p>
    <w:p>
      <w:pPr>
        <w:snapToGrid w:val="0"/>
        <w:spacing w:line="360" w:lineRule="auto"/>
        <w:jc w:val="center"/>
        <w:rPr>
          <w:rFonts w:eastAsia="仿宋_GB2312"/>
          <w:color w:val="000000" w:themeColor="text1"/>
          <w:szCs w:val="28"/>
        </w:rPr>
      </w:pPr>
      <w:r>
        <w:rPr>
          <w:rFonts w:eastAsia="仿宋_GB2312"/>
          <w:b/>
          <w:bCs/>
          <w:color w:val="000000" w:themeColor="text1"/>
          <w:szCs w:val="28"/>
        </w:rPr>
        <w:t>图2-1  土石方流向图       单位：万m</w:t>
      </w:r>
      <w:r>
        <w:rPr>
          <w:rFonts w:eastAsia="仿宋_GB2312"/>
          <w:b/>
          <w:bCs/>
          <w:color w:val="000000" w:themeColor="text1"/>
          <w:szCs w:val="28"/>
          <w:vertAlign w:val="superscript"/>
        </w:rPr>
        <w:t>3</w:t>
      </w:r>
    </w:p>
    <w:p>
      <w:pPr>
        <w:pStyle w:val="4"/>
        <w:spacing w:before="0" w:after="0" w:line="360" w:lineRule="auto"/>
        <w:rPr>
          <w:rFonts w:ascii="Times New Roman" w:hAnsi="Times New Roman" w:eastAsia="仿宋_GB2312"/>
          <w:color w:val="000000" w:themeColor="text1"/>
          <w:sz w:val="28"/>
          <w:szCs w:val="28"/>
        </w:rPr>
      </w:pPr>
      <w:bookmarkStart w:id="28" w:name="_Toc9412"/>
      <w:r>
        <w:rPr>
          <w:rFonts w:ascii="Times New Roman" w:hAnsi="Times New Roman" w:eastAsia="仿宋_GB2312"/>
          <w:color w:val="000000" w:themeColor="text1"/>
          <w:sz w:val="28"/>
          <w:szCs w:val="28"/>
        </w:rPr>
        <w:t>2.5拆迁（移民）安置与专项设施改（迁）建</w:t>
      </w:r>
      <w:bookmarkEnd w:id="28"/>
    </w:p>
    <w:p>
      <w:pPr>
        <w:spacing w:line="360" w:lineRule="auto"/>
        <w:ind w:firstLine="480" w:firstLineChars="200"/>
        <w:rPr>
          <w:rFonts w:eastAsia="仿宋_GB2312"/>
          <w:color w:val="000000" w:themeColor="text1"/>
        </w:rPr>
      </w:pPr>
      <w:r>
        <w:rPr>
          <w:rFonts w:eastAsia="仿宋_GB2312"/>
          <w:color w:val="000000" w:themeColor="text1"/>
        </w:rPr>
        <w:t>本项目不涉及拆迁安置与专项设施改（迁）建。</w:t>
      </w:r>
    </w:p>
    <w:p>
      <w:pPr>
        <w:pStyle w:val="4"/>
        <w:spacing w:before="0" w:after="0" w:line="360" w:lineRule="auto"/>
        <w:rPr>
          <w:rFonts w:ascii="Times New Roman" w:hAnsi="Times New Roman" w:eastAsia="仿宋_GB2312"/>
          <w:color w:val="000000" w:themeColor="text1"/>
          <w:sz w:val="28"/>
          <w:szCs w:val="28"/>
        </w:rPr>
      </w:pPr>
      <w:bookmarkStart w:id="29" w:name="_Toc28877"/>
      <w:r>
        <w:rPr>
          <w:rFonts w:ascii="Times New Roman" w:hAnsi="Times New Roman" w:eastAsia="仿宋_GB2312"/>
          <w:color w:val="000000" w:themeColor="text1"/>
          <w:sz w:val="28"/>
          <w:szCs w:val="28"/>
        </w:rPr>
        <w:t>2.6施工进度</w:t>
      </w:r>
      <w:bookmarkEnd w:id="29"/>
    </w:p>
    <w:p>
      <w:pPr>
        <w:spacing w:line="360" w:lineRule="auto"/>
        <w:ind w:firstLine="480" w:firstLineChars="200"/>
        <w:rPr>
          <w:rFonts w:eastAsia="仿宋_GB2312"/>
          <w:color w:val="000000" w:themeColor="text1"/>
        </w:rPr>
      </w:pPr>
      <w:r>
        <w:rPr>
          <w:rFonts w:eastAsia="仿宋_GB2312"/>
          <w:color w:val="000000" w:themeColor="text1"/>
        </w:rPr>
        <w:t>本项目</w:t>
      </w:r>
      <w:r>
        <w:rPr>
          <w:rFonts w:hint="eastAsia" w:eastAsia="仿宋_GB2312"/>
          <w:color w:val="000000" w:themeColor="text1"/>
          <w:lang w:val="en-US" w:eastAsia="zh-CN"/>
        </w:rPr>
        <w:t>已于2021年9月开工，计划于2023年8月完工，总工期24个月</w:t>
      </w:r>
      <w:r>
        <w:rPr>
          <w:rFonts w:hint="eastAsia" w:eastAsia="仿宋_GB2312"/>
          <w:color w:val="000000" w:themeColor="text1"/>
        </w:rPr>
        <w:t>。</w:t>
      </w:r>
    </w:p>
    <w:p>
      <w:pPr>
        <w:spacing w:line="360" w:lineRule="auto"/>
        <w:ind w:firstLine="480" w:firstLineChars="200"/>
        <w:rPr>
          <w:rFonts w:eastAsia="仿宋_GB2312"/>
          <w:color w:val="000000" w:themeColor="text1"/>
        </w:rPr>
      </w:pPr>
      <w:r>
        <w:rPr>
          <w:rFonts w:eastAsia="仿宋_GB2312"/>
          <w:color w:val="000000" w:themeColor="text1"/>
        </w:rPr>
        <w:t>实施进度计划安排如下：</w:t>
      </w:r>
    </w:p>
    <w:p>
      <w:pPr>
        <w:spacing w:line="360" w:lineRule="auto"/>
        <w:ind w:firstLine="480" w:firstLineChars="200"/>
        <w:rPr>
          <w:rFonts w:eastAsia="仿宋_GB2312"/>
          <w:color w:val="000000" w:themeColor="text1"/>
          <w:highlight w:val="none"/>
        </w:rPr>
      </w:pPr>
      <w:r>
        <w:rPr>
          <w:rFonts w:eastAsia="仿宋_GB2312"/>
          <w:color w:val="000000" w:themeColor="text1"/>
          <w:highlight w:val="none"/>
        </w:rPr>
        <w:t>202</w:t>
      </w:r>
      <w:r>
        <w:rPr>
          <w:rFonts w:hint="eastAsia" w:eastAsia="仿宋_GB2312"/>
          <w:color w:val="000000" w:themeColor="text1"/>
          <w:highlight w:val="none"/>
          <w:lang w:val="en-US" w:eastAsia="zh-CN"/>
        </w:rPr>
        <w:t>1</w:t>
      </w:r>
      <w:r>
        <w:rPr>
          <w:rFonts w:eastAsia="仿宋_GB2312"/>
          <w:color w:val="000000" w:themeColor="text1"/>
          <w:highlight w:val="none"/>
        </w:rPr>
        <w:t>年</w:t>
      </w:r>
      <w:r>
        <w:rPr>
          <w:rFonts w:hint="eastAsia" w:eastAsia="仿宋_GB2312"/>
          <w:color w:val="000000" w:themeColor="text1"/>
          <w:highlight w:val="none"/>
          <w:lang w:val="en-US" w:eastAsia="zh-CN"/>
        </w:rPr>
        <w:t>9</w:t>
      </w:r>
      <w:r>
        <w:rPr>
          <w:rFonts w:eastAsia="仿宋_GB2312"/>
          <w:color w:val="000000" w:themeColor="text1"/>
          <w:highlight w:val="none"/>
        </w:rPr>
        <w:t>月～202</w:t>
      </w:r>
      <w:r>
        <w:rPr>
          <w:rFonts w:hint="eastAsia" w:eastAsia="仿宋_GB2312"/>
          <w:color w:val="000000" w:themeColor="text1"/>
          <w:highlight w:val="none"/>
        </w:rPr>
        <w:t>3</w:t>
      </w:r>
      <w:r>
        <w:rPr>
          <w:rFonts w:eastAsia="仿宋_GB2312"/>
          <w:color w:val="000000" w:themeColor="text1"/>
          <w:highlight w:val="none"/>
        </w:rPr>
        <w:t>年</w:t>
      </w:r>
      <w:r>
        <w:rPr>
          <w:rFonts w:hint="eastAsia" w:eastAsia="仿宋_GB2312"/>
          <w:color w:val="000000" w:themeColor="text1"/>
          <w:highlight w:val="none"/>
          <w:lang w:val="en-US" w:eastAsia="zh-CN"/>
        </w:rPr>
        <w:t>8</w:t>
      </w:r>
      <w:r>
        <w:rPr>
          <w:rFonts w:eastAsia="仿宋_GB2312"/>
          <w:color w:val="000000" w:themeColor="text1"/>
          <w:highlight w:val="none"/>
        </w:rPr>
        <w:t>月——建筑物区域施工</w:t>
      </w:r>
    </w:p>
    <w:p>
      <w:pPr>
        <w:spacing w:line="360" w:lineRule="auto"/>
        <w:ind w:firstLine="480" w:firstLineChars="200"/>
        <w:rPr>
          <w:rFonts w:eastAsia="仿宋_GB2312"/>
          <w:color w:val="000000" w:themeColor="text1"/>
          <w:highlight w:val="none"/>
        </w:rPr>
      </w:pPr>
      <w:r>
        <w:rPr>
          <w:rFonts w:eastAsia="仿宋_GB2312"/>
          <w:color w:val="000000" w:themeColor="text1"/>
          <w:highlight w:val="none"/>
        </w:rPr>
        <w:t>202</w:t>
      </w:r>
      <w:r>
        <w:rPr>
          <w:rFonts w:hint="eastAsia" w:eastAsia="仿宋_GB2312"/>
          <w:color w:val="000000" w:themeColor="text1"/>
          <w:highlight w:val="none"/>
          <w:lang w:val="en-US" w:eastAsia="zh-CN"/>
        </w:rPr>
        <w:t>2</w:t>
      </w:r>
      <w:r>
        <w:rPr>
          <w:rFonts w:eastAsia="仿宋_GB2312"/>
          <w:color w:val="000000" w:themeColor="text1"/>
          <w:highlight w:val="none"/>
        </w:rPr>
        <w:t>年</w:t>
      </w:r>
      <w:r>
        <w:rPr>
          <w:rFonts w:hint="eastAsia" w:eastAsia="仿宋_GB2312"/>
          <w:color w:val="000000" w:themeColor="text1"/>
          <w:highlight w:val="none"/>
        </w:rPr>
        <w:t>4</w:t>
      </w:r>
      <w:r>
        <w:rPr>
          <w:rFonts w:eastAsia="仿宋_GB2312"/>
          <w:color w:val="000000" w:themeColor="text1"/>
          <w:highlight w:val="none"/>
        </w:rPr>
        <w:t>月～202</w:t>
      </w:r>
      <w:r>
        <w:rPr>
          <w:rFonts w:hint="eastAsia" w:eastAsia="仿宋_GB2312"/>
          <w:color w:val="000000" w:themeColor="text1"/>
          <w:highlight w:val="none"/>
          <w:lang w:val="en-US" w:eastAsia="zh-CN"/>
        </w:rPr>
        <w:t>2</w:t>
      </w:r>
      <w:r>
        <w:rPr>
          <w:rFonts w:eastAsia="仿宋_GB2312"/>
          <w:color w:val="000000" w:themeColor="text1"/>
          <w:highlight w:val="none"/>
        </w:rPr>
        <w:t>年</w:t>
      </w:r>
      <w:r>
        <w:rPr>
          <w:rFonts w:hint="eastAsia" w:eastAsia="仿宋_GB2312"/>
          <w:color w:val="000000" w:themeColor="text1"/>
          <w:highlight w:val="none"/>
        </w:rPr>
        <w:t>7</w:t>
      </w:r>
      <w:r>
        <w:rPr>
          <w:rFonts w:eastAsia="仿宋_GB2312"/>
          <w:color w:val="000000" w:themeColor="text1"/>
          <w:highlight w:val="none"/>
        </w:rPr>
        <w:t>月——道路及硬化区域施工</w:t>
      </w:r>
    </w:p>
    <w:p>
      <w:pPr>
        <w:spacing w:line="360" w:lineRule="auto"/>
        <w:ind w:firstLine="480" w:firstLineChars="200"/>
        <w:rPr>
          <w:rFonts w:eastAsia="仿宋_GB2312"/>
          <w:color w:val="000000" w:themeColor="text1"/>
          <w:highlight w:val="none"/>
        </w:rPr>
      </w:pPr>
      <w:r>
        <w:rPr>
          <w:rFonts w:eastAsia="仿宋_GB2312"/>
          <w:color w:val="000000" w:themeColor="text1"/>
          <w:highlight w:val="none"/>
        </w:rPr>
        <w:t>202</w:t>
      </w:r>
      <w:r>
        <w:rPr>
          <w:rFonts w:hint="eastAsia" w:eastAsia="仿宋_GB2312"/>
          <w:color w:val="000000" w:themeColor="text1"/>
          <w:highlight w:val="none"/>
        </w:rPr>
        <w:t>3</w:t>
      </w:r>
      <w:r>
        <w:rPr>
          <w:rFonts w:eastAsia="仿宋_GB2312"/>
          <w:color w:val="000000" w:themeColor="text1"/>
          <w:highlight w:val="none"/>
        </w:rPr>
        <w:t>年</w:t>
      </w:r>
      <w:r>
        <w:rPr>
          <w:rFonts w:hint="eastAsia" w:eastAsia="仿宋_GB2312"/>
          <w:color w:val="000000" w:themeColor="text1"/>
          <w:highlight w:val="none"/>
          <w:lang w:val="en-US" w:eastAsia="zh-CN"/>
        </w:rPr>
        <w:t>7</w:t>
      </w:r>
      <w:r>
        <w:rPr>
          <w:rFonts w:eastAsia="仿宋_GB2312"/>
          <w:color w:val="000000" w:themeColor="text1"/>
          <w:highlight w:val="none"/>
        </w:rPr>
        <w:t>月～202</w:t>
      </w:r>
      <w:r>
        <w:rPr>
          <w:rFonts w:hint="eastAsia" w:eastAsia="仿宋_GB2312"/>
          <w:color w:val="000000" w:themeColor="text1"/>
          <w:highlight w:val="none"/>
        </w:rPr>
        <w:t>3</w:t>
      </w:r>
      <w:r>
        <w:rPr>
          <w:rFonts w:eastAsia="仿宋_GB2312"/>
          <w:color w:val="000000" w:themeColor="text1"/>
          <w:highlight w:val="none"/>
        </w:rPr>
        <w:t>年</w:t>
      </w:r>
      <w:r>
        <w:rPr>
          <w:rFonts w:hint="eastAsia" w:eastAsia="仿宋_GB2312"/>
          <w:color w:val="000000" w:themeColor="text1"/>
          <w:highlight w:val="none"/>
          <w:lang w:val="en-US" w:eastAsia="zh-CN"/>
        </w:rPr>
        <w:t>8</w:t>
      </w:r>
      <w:r>
        <w:rPr>
          <w:rFonts w:eastAsia="仿宋_GB2312"/>
          <w:color w:val="000000" w:themeColor="text1"/>
          <w:highlight w:val="none"/>
        </w:rPr>
        <w:t>月——绿化区域施工</w:t>
      </w:r>
    </w:p>
    <w:p>
      <w:pPr>
        <w:spacing w:line="360" w:lineRule="auto"/>
        <w:rPr>
          <w:rFonts w:eastAsia="仿宋_GB2312"/>
          <w:color w:val="000000" w:themeColor="text1"/>
          <w:highlight w:val="cyan"/>
        </w:rPr>
        <w:sectPr>
          <w:headerReference r:id="rId9" w:type="default"/>
          <w:footerReference r:id="rId10" w:type="default"/>
          <w:pgSz w:w="11906" w:h="16838"/>
          <w:pgMar w:top="1440" w:right="1797" w:bottom="1440" w:left="1797" w:header="851" w:footer="992" w:gutter="0"/>
          <w:cols w:space="720" w:num="1"/>
          <w:docGrid w:linePitch="312" w:charSpace="0"/>
        </w:sectPr>
      </w:pPr>
    </w:p>
    <w:p>
      <w:pPr>
        <w:rPr>
          <w:color w:val="000000" w:themeColor="text1"/>
        </w:rPr>
      </w:pPr>
      <w:r>
        <w:rPr>
          <w:color w:val="000000" w:themeColor="text1"/>
        </w:rPr>
        <w:t xml:space="preserve"> </w:t>
      </w:r>
    </w:p>
    <w:tbl>
      <w:tblPr>
        <w:tblStyle w:val="23"/>
        <w:tblW w:w="4998"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1836"/>
        <w:gridCol w:w="306"/>
        <w:gridCol w:w="306"/>
        <w:gridCol w:w="306"/>
        <w:gridCol w:w="306"/>
        <w:gridCol w:w="306"/>
        <w:gridCol w:w="306"/>
        <w:gridCol w:w="306"/>
        <w:gridCol w:w="306"/>
        <w:gridCol w:w="306"/>
        <w:gridCol w:w="396"/>
        <w:gridCol w:w="396"/>
        <w:gridCol w:w="396"/>
        <w:gridCol w:w="306"/>
        <w:gridCol w:w="306"/>
        <w:gridCol w:w="306"/>
        <w:gridCol w:w="306"/>
        <w:gridCol w:w="306"/>
        <w:gridCol w:w="306"/>
        <w:gridCol w:w="306"/>
        <w:gridCol w:w="306"/>
        <w:gridCol w:w="306"/>
        <w:gridCol w:w="396"/>
        <w:gridCol w:w="396"/>
        <w:gridCol w:w="396"/>
        <w:gridCol w:w="306"/>
        <w:gridCol w:w="321"/>
        <w:gridCol w:w="321"/>
        <w:gridCol w:w="321"/>
        <w:gridCol w:w="321"/>
        <w:gridCol w:w="321"/>
        <w:gridCol w:w="321"/>
        <w:gridCol w:w="321"/>
        <w:gridCol w:w="321"/>
        <w:gridCol w:w="396"/>
        <w:gridCol w:w="396"/>
        <w:gridCol w:w="396"/>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15" w:type="pct"/>
            <w:vMerge w:val="restar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防治</w:t>
            </w:r>
          </w:p>
          <w:p>
            <w:pPr>
              <w:spacing w:line="240" w:lineRule="auto"/>
              <w:jc w:val="center"/>
              <w:rPr>
                <w:rFonts w:eastAsia="仿宋_GB2312"/>
                <w:color w:val="000000" w:themeColor="text1"/>
                <w:sz w:val="18"/>
                <w:szCs w:val="18"/>
              </w:rPr>
            </w:pPr>
            <w:r>
              <w:rPr>
                <w:rFonts w:eastAsia="仿宋_GB2312"/>
                <w:color w:val="000000" w:themeColor="text1"/>
                <w:sz w:val="18"/>
                <w:szCs w:val="18"/>
              </w:rPr>
              <w:t>分区</w:t>
            </w:r>
          </w:p>
        </w:tc>
        <w:tc>
          <w:tcPr>
            <w:tcW w:w="485" w:type="pct"/>
            <w:vMerge w:val="restart"/>
            <w:vAlign w:val="center"/>
          </w:tcPr>
          <w:p>
            <w:pPr>
              <w:spacing w:line="240" w:lineRule="auto"/>
              <w:ind w:left="1080" w:hanging="1080" w:hangingChars="600"/>
              <w:rPr>
                <w:rFonts w:eastAsia="仿宋_GB2312"/>
                <w:color w:val="000000" w:themeColor="text1"/>
                <w:sz w:val="18"/>
                <w:szCs w:val="18"/>
              </w:rPr>
            </w:pPr>
            <w:r>
              <w:rPr>
                <w:color w:val="000000" w:themeColor="text1"/>
                <w:sz w:val="18"/>
                <w:szCs w:val="18"/>
              </w:rPr>
              <w:pict>
                <v:line id="直线 127" o:spid="_x0000_s2124" o:spt="20" style="position:absolute;left:0pt;margin-left:-4.4pt;margin-top:0.9pt;height:46.95pt;width:95.85pt;z-index:251669504;mso-width-relative:page;mso-height-relative:page;" coordsize="21600,21600" o:gfxdata="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IVm&#10;0tQAAAAHAQAADwAAAAAAAAABACAAAAAiAAAAZHJzL2Rvd25yZXYueG1sUEsBAhQAFAAAAAgAh07i&#10;QKmX1c3tAQAA4QMAAA4AAAAAAAAAAQAgAAAAIwEAAGRycy9lMm9Eb2MueG1sUEsFBgAAAAAGAAYA&#10;WQEAAIIFAAAAAA==&#10;">
                  <v:path arrowok="t"/>
                  <v:fill focussize="0,0"/>
                  <v:stroke/>
                  <v:imagedata o:title=""/>
                  <o:lock v:ext="edit"/>
                </v:line>
              </w:pict>
            </w:r>
            <w:r>
              <w:rPr>
                <w:color w:val="000000" w:themeColor="text1"/>
                <w:sz w:val="18"/>
                <w:szCs w:val="18"/>
              </w:rPr>
              <w:pict>
                <v:line id="直线 128" o:spid="_x0000_s2123" o:spt="20" style="position:absolute;left:0pt;margin-left:-4.4pt;margin-top:0.9pt;height:46.5pt;width:93.75pt;z-index:251668480;mso-width-relative:page;mso-height-relative:page;" stroked="f" coordsize="21600,21600" o:gfxdata="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ELsHk1gAAAAcBAAAPAAAAAAAAAAEAIAAA&#10;ACIAAABkcnMvZG93bnJldi54bWxQSwECFAAUAAAACACHTuJAdfGdTZwBAAAuAwAADgAAAAAAAAAB&#10;ACAAAAAlAQAAZHJzL2Uyb0RvYy54bWxQSwUGAAAAAAYABgBZAQAAMwUAAAAA&#10;">
                  <v:path arrowok="t"/>
                  <v:fill focussize="0,0"/>
                  <v:stroke on="f"/>
                  <v:imagedata o:title=""/>
                  <o:lock v:ext="edit"/>
                </v:line>
              </w:pict>
            </w:r>
            <w:r>
              <w:rPr>
                <w:rFonts w:eastAsia="仿宋_GB2312"/>
                <w:color w:val="000000" w:themeColor="text1"/>
                <w:sz w:val="18"/>
                <w:szCs w:val="18"/>
              </w:rPr>
              <w:t xml:space="preserve">          月份</w:t>
            </w:r>
          </w:p>
          <w:p>
            <w:pPr>
              <w:spacing w:line="240" w:lineRule="auto"/>
              <w:rPr>
                <w:rFonts w:eastAsia="仿宋_GB2312"/>
                <w:color w:val="000000" w:themeColor="text1"/>
                <w:sz w:val="18"/>
                <w:szCs w:val="18"/>
              </w:rPr>
            </w:pPr>
          </w:p>
          <w:p>
            <w:pPr>
              <w:spacing w:line="240" w:lineRule="auto"/>
              <w:rPr>
                <w:rFonts w:eastAsia="仿宋_GB2312"/>
                <w:color w:val="000000" w:themeColor="text1"/>
                <w:sz w:val="18"/>
                <w:szCs w:val="18"/>
              </w:rPr>
            </w:pPr>
          </w:p>
          <w:p>
            <w:pPr>
              <w:spacing w:line="240" w:lineRule="auto"/>
              <w:rPr>
                <w:rFonts w:eastAsia="仿宋_GB2312"/>
                <w:color w:val="000000" w:themeColor="text1"/>
                <w:sz w:val="18"/>
                <w:szCs w:val="18"/>
              </w:rPr>
            </w:pPr>
            <w:r>
              <w:rPr>
                <w:rFonts w:eastAsia="仿宋_GB2312"/>
                <w:color w:val="000000" w:themeColor="text1"/>
                <w:sz w:val="18"/>
                <w:szCs w:val="18"/>
              </w:rPr>
              <w:t>项目</w:t>
            </w:r>
          </w:p>
        </w:tc>
        <w:tc>
          <w:tcPr>
            <w:tcW w:w="4057" w:type="dxa"/>
            <w:gridSpan w:val="12"/>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20</w:t>
            </w:r>
            <w:r>
              <w:rPr>
                <w:rFonts w:hint="eastAsia" w:eastAsia="仿宋_GB2312"/>
                <w:color w:val="000000" w:themeColor="text1"/>
                <w:sz w:val="18"/>
                <w:szCs w:val="18"/>
              </w:rPr>
              <w:t>22</w:t>
            </w:r>
            <w:r>
              <w:rPr>
                <w:rFonts w:eastAsia="仿宋_GB2312"/>
                <w:color w:val="000000" w:themeColor="text1"/>
                <w:sz w:val="18"/>
                <w:szCs w:val="18"/>
              </w:rPr>
              <w:t>年</w:t>
            </w:r>
          </w:p>
        </w:tc>
        <w:tc>
          <w:tcPr>
            <w:tcW w:w="1468" w:type="pct"/>
            <w:gridSpan w:val="12"/>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20</w:t>
            </w:r>
            <w:r>
              <w:rPr>
                <w:rFonts w:hint="eastAsia" w:eastAsia="仿宋_GB2312"/>
                <w:color w:val="000000" w:themeColor="text1"/>
                <w:sz w:val="18"/>
                <w:szCs w:val="18"/>
              </w:rPr>
              <w:t>22</w:t>
            </w:r>
            <w:r>
              <w:rPr>
                <w:rFonts w:eastAsia="仿宋_GB2312"/>
                <w:color w:val="000000" w:themeColor="text1"/>
                <w:sz w:val="18"/>
                <w:szCs w:val="18"/>
              </w:rPr>
              <w:t>年</w:t>
            </w:r>
          </w:p>
        </w:tc>
        <w:tc>
          <w:tcPr>
            <w:tcW w:w="1463" w:type="pct"/>
            <w:gridSpan w:val="12"/>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20</w:t>
            </w:r>
            <w:r>
              <w:rPr>
                <w:rFonts w:hint="eastAsia" w:eastAsia="仿宋_GB2312"/>
                <w:color w:val="000000" w:themeColor="text1"/>
                <w:sz w:val="18"/>
                <w:szCs w:val="18"/>
              </w:rPr>
              <w:t>23</w:t>
            </w:r>
            <w:r>
              <w:rPr>
                <w:rFonts w:eastAsia="仿宋_GB2312"/>
                <w:color w:val="000000" w:themeColor="text1"/>
                <w:sz w:val="18"/>
                <w:szCs w:val="18"/>
              </w:rPr>
              <w:t>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15" w:type="pct"/>
            <w:vMerge w:val="continue"/>
            <w:vAlign w:val="center"/>
          </w:tcPr>
          <w:p>
            <w:pPr>
              <w:spacing w:line="240" w:lineRule="auto"/>
              <w:jc w:val="center"/>
              <w:rPr>
                <w:rFonts w:eastAsia="仿宋_GB2312"/>
                <w:color w:val="000000" w:themeColor="text1"/>
                <w:sz w:val="18"/>
                <w:szCs w:val="18"/>
              </w:rPr>
            </w:pPr>
          </w:p>
        </w:tc>
        <w:tc>
          <w:tcPr>
            <w:tcW w:w="485" w:type="pct"/>
            <w:vMerge w:val="continue"/>
            <w:vAlign w:val="center"/>
          </w:tcPr>
          <w:p>
            <w:pPr>
              <w:spacing w:line="240" w:lineRule="auto"/>
              <w:jc w:val="center"/>
              <w:rPr>
                <w:rFonts w:eastAsia="仿宋_GB2312"/>
                <w:color w:val="000000" w:themeColor="text1"/>
                <w:sz w:val="18"/>
                <w:szCs w:val="18"/>
              </w:rPr>
            </w:pPr>
          </w:p>
        </w:tc>
        <w:tc>
          <w:tcPr>
            <w:tcW w:w="314" w:type="dxa"/>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1</w:t>
            </w:r>
          </w:p>
        </w:tc>
        <w:tc>
          <w:tcPr>
            <w:tcW w:w="315" w:type="dxa"/>
            <w:vAlign w:val="center"/>
          </w:tcPr>
          <w:p>
            <w:pPr>
              <w:spacing w:line="240" w:lineRule="auto"/>
              <w:jc w:val="center"/>
            </w:pPr>
            <w:r>
              <w:rPr>
                <w:rFonts w:eastAsia="仿宋_GB2312"/>
                <w:color w:val="000000" w:themeColor="text1"/>
                <w:sz w:val="18"/>
                <w:szCs w:val="18"/>
              </w:rPr>
              <w:t>2</w:t>
            </w:r>
          </w:p>
        </w:tc>
        <w:tc>
          <w:tcPr>
            <w:tcW w:w="315" w:type="dxa"/>
            <w:vAlign w:val="center"/>
          </w:tcPr>
          <w:p>
            <w:pPr>
              <w:spacing w:line="240" w:lineRule="auto"/>
              <w:jc w:val="center"/>
            </w:pPr>
            <w:r>
              <w:rPr>
                <w:rFonts w:eastAsia="仿宋_GB2312"/>
                <w:color w:val="000000" w:themeColor="text1"/>
                <w:sz w:val="18"/>
                <w:szCs w:val="18"/>
              </w:rPr>
              <w:t>3</w:t>
            </w:r>
          </w:p>
        </w:tc>
        <w:tc>
          <w:tcPr>
            <w:tcW w:w="315" w:type="dxa"/>
            <w:vAlign w:val="center"/>
          </w:tcPr>
          <w:p>
            <w:pPr>
              <w:spacing w:line="240" w:lineRule="auto"/>
              <w:jc w:val="center"/>
            </w:pPr>
            <w:r>
              <w:rPr>
                <w:rFonts w:eastAsia="仿宋_GB2312"/>
                <w:color w:val="000000" w:themeColor="text1"/>
                <w:sz w:val="18"/>
                <w:szCs w:val="18"/>
              </w:rPr>
              <w:t>4</w:t>
            </w:r>
          </w:p>
        </w:tc>
        <w:tc>
          <w:tcPr>
            <w:tcW w:w="315" w:type="dxa"/>
            <w:vAlign w:val="center"/>
          </w:tcPr>
          <w:p>
            <w:pPr>
              <w:spacing w:line="240" w:lineRule="auto"/>
              <w:jc w:val="center"/>
            </w:pPr>
            <w:r>
              <w:rPr>
                <w:rFonts w:eastAsia="仿宋_GB2312"/>
                <w:color w:val="000000" w:themeColor="text1"/>
                <w:sz w:val="18"/>
                <w:szCs w:val="18"/>
              </w:rPr>
              <w:t>5</w:t>
            </w:r>
          </w:p>
        </w:tc>
        <w:tc>
          <w:tcPr>
            <w:tcW w:w="315" w:type="dxa"/>
            <w:vAlign w:val="center"/>
          </w:tcPr>
          <w:p>
            <w:pPr>
              <w:spacing w:line="240" w:lineRule="auto"/>
              <w:jc w:val="center"/>
            </w:pPr>
            <w:r>
              <w:rPr>
                <w:rFonts w:eastAsia="仿宋_GB2312"/>
                <w:color w:val="000000" w:themeColor="text1"/>
                <w:sz w:val="18"/>
                <w:szCs w:val="18"/>
              </w:rPr>
              <w:t>6</w:t>
            </w:r>
          </w:p>
        </w:tc>
        <w:tc>
          <w:tcPr>
            <w:tcW w:w="315" w:type="dxa"/>
            <w:vAlign w:val="center"/>
          </w:tcPr>
          <w:p>
            <w:pPr>
              <w:spacing w:line="240" w:lineRule="auto"/>
              <w:jc w:val="center"/>
            </w:pPr>
            <w:r>
              <w:rPr>
                <w:rFonts w:eastAsia="仿宋_GB2312"/>
                <w:color w:val="000000" w:themeColor="text1"/>
                <w:sz w:val="18"/>
                <w:szCs w:val="18"/>
              </w:rPr>
              <w:t>7</w:t>
            </w:r>
          </w:p>
        </w:tc>
        <w:tc>
          <w:tcPr>
            <w:tcW w:w="315" w:type="dxa"/>
            <w:vAlign w:val="center"/>
          </w:tcPr>
          <w:p>
            <w:pPr>
              <w:spacing w:line="240" w:lineRule="auto"/>
              <w:jc w:val="center"/>
            </w:pPr>
            <w:r>
              <w:rPr>
                <w:rFonts w:eastAsia="仿宋_GB2312"/>
                <w:color w:val="000000" w:themeColor="text1"/>
                <w:sz w:val="18"/>
                <w:szCs w:val="18"/>
              </w:rPr>
              <w:t>8</w:t>
            </w:r>
          </w:p>
        </w:tc>
        <w:tc>
          <w:tcPr>
            <w:tcW w:w="315" w:type="dxa"/>
            <w:vAlign w:val="center"/>
          </w:tcPr>
          <w:p>
            <w:pPr>
              <w:spacing w:line="240" w:lineRule="auto"/>
              <w:jc w:val="center"/>
            </w:pPr>
            <w:r>
              <w:rPr>
                <w:rFonts w:eastAsia="仿宋_GB2312"/>
                <w:color w:val="000000" w:themeColor="text1"/>
                <w:sz w:val="18"/>
                <w:szCs w:val="18"/>
              </w:rPr>
              <w:t>9</w:t>
            </w:r>
          </w:p>
        </w:tc>
        <w:tc>
          <w:tcPr>
            <w:tcW w:w="407" w:type="dxa"/>
            <w:vAlign w:val="center"/>
          </w:tcPr>
          <w:p>
            <w:pPr>
              <w:spacing w:line="240" w:lineRule="auto"/>
              <w:jc w:val="center"/>
            </w:pPr>
            <w:r>
              <w:rPr>
                <w:rFonts w:eastAsia="仿宋_GB2312"/>
                <w:color w:val="000000" w:themeColor="text1"/>
                <w:sz w:val="18"/>
                <w:szCs w:val="18"/>
              </w:rPr>
              <w:t>10</w:t>
            </w:r>
          </w:p>
        </w:tc>
        <w:tc>
          <w:tcPr>
            <w:tcW w:w="408" w:type="dxa"/>
            <w:vAlign w:val="center"/>
          </w:tcPr>
          <w:p>
            <w:pPr>
              <w:spacing w:line="240" w:lineRule="auto"/>
              <w:jc w:val="center"/>
            </w:pPr>
            <w:r>
              <w:rPr>
                <w:rFonts w:eastAsia="仿宋_GB2312"/>
                <w:color w:val="000000" w:themeColor="text1"/>
                <w:sz w:val="18"/>
                <w:szCs w:val="18"/>
              </w:rPr>
              <w:t>11</w:t>
            </w:r>
          </w:p>
        </w:tc>
        <w:tc>
          <w:tcPr>
            <w:tcW w:w="408" w:type="dxa"/>
            <w:vAlign w:val="center"/>
          </w:tcPr>
          <w:p>
            <w:pPr>
              <w:spacing w:line="240" w:lineRule="auto"/>
              <w:jc w:val="center"/>
            </w:pPr>
            <w:r>
              <w:rPr>
                <w:rFonts w:eastAsia="仿宋_GB2312"/>
                <w:color w:val="000000" w:themeColor="text1"/>
                <w:sz w:val="18"/>
                <w:szCs w:val="18"/>
              </w:rPr>
              <w:t>12</w:t>
            </w:r>
          </w:p>
        </w:tc>
        <w:tc>
          <w:tcPr>
            <w:tcW w:w="115"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1</w:t>
            </w:r>
          </w:p>
        </w:tc>
        <w:tc>
          <w:tcPr>
            <w:tcW w:w="120"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2</w:t>
            </w:r>
          </w:p>
        </w:tc>
        <w:tc>
          <w:tcPr>
            <w:tcW w:w="132"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3</w:t>
            </w:r>
          </w:p>
        </w:tc>
        <w:tc>
          <w:tcPr>
            <w:tcW w:w="128"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4</w:t>
            </w:r>
          </w:p>
        </w:tc>
        <w:tc>
          <w:tcPr>
            <w:tcW w:w="124"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5</w:t>
            </w:r>
          </w:p>
        </w:tc>
        <w:tc>
          <w:tcPr>
            <w:tcW w:w="123"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6</w:t>
            </w:r>
          </w:p>
        </w:tc>
        <w:tc>
          <w:tcPr>
            <w:tcW w:w="120"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7</w:t>
            </w:r>
          </w:p>
        </w:tc>
        <w:tc>
          <w:tcPr>
            <w:tcW w:w="119"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8</w:t>
            </w:r>
          </w:p>
        </w:tc>
        <w:tc>
          <w:tcPr>
            <w:tcW w:w="119"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9</w:t>
            </w:r>
          </w:p>
        </w:tc>
        <w:tc>
          <w:tcPr>
            <w:tcW w:w="116"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10</w:t>
            </w:r>
          </w:p>
        </w:tc>
        <w:tc>
          <w:tcPr>
            <w:tcW w:w="116"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11</w:t>
            </w:r>
          </w:p>
        </w:tc>
        <w:tc>
          <w:tcPr>
            <w:tcW w:w="130"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12</w:t>
            </w:r>
          </w:p>
        </w:tc>
        <w:tc>
          <w:tcPr>
            <w:tcW w:w="121"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1</w:t>
            </w:r>
          </w:p>
        </w:tc>
        <w:tc>
          <w:tcPr>
            <w:tcW w:w="121"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2</w:t>
            </w:r>
          </w:p>
        </w:tc>
        <w:tc>
          <w:tcPr>
            <w:tcW w:w="121"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3</w:t>
            </w:r>
          </w:p>
        </w:tc>
        <w:tc>
          <w:tcPr>
            <w:tcW w:w="121"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4</w:t>
            </w:r>
          </w:p>
        </w:tc>
        <w:tc>
          <w:tcPr>
            <w:tcW w:w="121"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5</w:t>
            </w:r>
          </w:p>
        </w:tc>
        <w:tc>
          <w:tcPr>
            <w:tcW w:w="121"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6</w:t>
            </w:r>
          </w:p>
        </w:tc>
        <w:tc>
          <w:tcPr>
            <w:tcW w:w="121"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7</w:t>
            </w:r>
          </w:p>
        </w:tc>
        <w:tc>
          <w:tcPr>
            <w:tcW w:w="121"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8</w:t>
            </w:r>
          </w:p>
        </w:tc>
        <w:tc>
          <w:tcPr>
            <w:tcW w:w="121"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9</w:t>
            </w:r>
          </w:p>
        </w:tc>
        <w:tc>
          <w:tcPr>
            <w:tcW w:w="121"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10</w:t>
            </w:r>
          </w:p>
        </w:tc>
        <w:tc>
          <w:tcPr>
            <w:tcW w:w="121"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11</w:t>
            </w:r>
          </w:p>
        </w:tc>
        <w:tc>
          <w:tcPr>
            <w:tcW w:w="128"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12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15" w:type="pct"/>
            <w:vMerge w:val="restart"/>
            <w:vAlign w:val="center"/>
          </w:tcPr>
          <w:p>
            <w:pPr>
              <w:spacing w:line="240" w:lineRule="auto"/>
              <w:jc w:val="center"/>
              <w:rPr>
                <w:rFonts w:eastAsia="仿宋_GB2312"/>
                <w:color w:val="000000" w:themeColor="text1"/>
                <w:sz w:val="18"/>
                <w:szCs w:val="18"/>
                <w:lang w:val="zh-CN"/>
              </w:rPr>
            </w:pPr>
            <w:r>
              <w:rPr>
                <w:rFonts w:eastAsia="仿宋_GB2312"/>
                <w:color w:val="000000" w:themeColor="text1"/>
                <w:sz w:val="18"/>
                <w:szCs w:val="18"/>
                <w:lang w:val="zh-CN"/>
              </w:rPr>
              <w:t>工程建设区</w:t>
            </w:r>
          </w:p>
        </w:tc>
        <w:tc>
          <w:tcPr>
            <w:tcW w:w="485"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建筑物施工</w:t>
            </w:r>
          </w:p>
        </w:tc>
        <w:tc>
          <w:tcPr>
            <w:tcW w:w="314" w:type="dxa"/>
            <w:vAlign w:val="center"/>
          </w:tcPr>
          <w:p>
            <w:pPr>
              <w:spacing w:line="240" w:lineRule="auto"/>
              <w:jc w:val="center"/>
              <w:rPr>
                <w:rFonts w:eastAsia="仿宋_GB2312"/>
                <w:color w:val="000000" w:themeColor="text1"/>
                <w:sz w:val="18"/>
                <w:szCs w:val="18"/>
              </w:rPr>
            </w:pPr>
          </w:p>
        </w:tc>
        <w:tc>
          <w:tcPr>
            <w:tcW w:w="315" w:type="dxa"/>
            <w:vAlign w:val="center"/>
          </w:tcPr>
          <w:p>
            <w:pPr>
              <w:spacing w:line="240" w:lineRule="auto"/>
              <w:jc w:val="center"/>
            </w:pPr>
          </w:p>
        </w:tc>
        <w:tc>
          <w:tcPr>
            <w:tcW w:w="315" w:type="dxa"/>
            <w:vAlign w:val="center"/>
          </w:tcPr>
          <w:p>
            <w:pPr>
              <w:spacing w:line="240" w:lineRule="auto"/>
              <w:jc w:val="center"/>
            </w:pPr>
          </w:p>
        </w:tc>
        <w:tc>
          <w:tcPr>
            <w:tcW w:w="315" w:type="dxa"/>
            <w:vAlign w:val="center"/>
          </w:tcPr>
          <w:p>
            <w:pPr>
              <w:spacing w:line="240" w:lineRule="auto"/>
              <w:jc w:val="center"/>
            </w:pPr>
          </w:p>
        </w:tc>
        <w:tc>
          <w:tcPr>
            <w:tcW w:w="315" w:type="dxa"/>
            <w:vAlign w:val="center"/>
          </w:tcPr>
          <w:p>
            <w:pPr>
              <w:spacing w:line="240" w:lineRule="auto"/>
              <w:jc w:val="center"/>
            </w:pPr>
          </w:p>
        </w:tc>
        <w:tc>
          <w:tcPr>
            <w:tcW w:w="315" w:type="dxa"/>
            <w:vAlign w:val="center"/>
          </w:tcPr>
          <w:p>
            <w:pPr>
              <w:spacing w:line="240" w:lineRule="auto"/>
              <w:jc w:val="center"/>
            </w:pPr>
          </w:p>
        </w:tc>
        <w:tc>
          <w:tcPr>
            <w:tcW w:w="315" w:type="dxa"/>
            <w:vAlign w:val="center"/>
          </w:tcPr>
          <w:p>
            <w:pPr>
              <w:spacing w:line="240" w:lineRule="auto"/>
              <w:jc w:val="center"/>
            </w:pPr>
          </w:p>
        </w:tc>
        <w:tc>
          <w:tcPr>
            <w:tcW w:w="315" w:type="dxa"/>
            <w:vAlign w:val="center"/>
          </w:tcPr>
          <w:p>
            <w:pPr>
              <w:spacing w:line="240" w:lineRule="auto"/>
              <w:jc w:val="center"/>
            </w:pPr>
            <w:r>
              <w:rPr>
                <w:rFonts w:eastAsia="仿宋_GB2312"/>
                <w:color w:val="000000" w:themeColor="text1"/>
                <w:sz w:val="18"/>
                <w:szCs w:val="18"/>
              </w:rPr>
              <w:pict>
                <v:line id="直线 10" o:spid="_x0000_s2151" o:spt="20" style="position:absolute;left:0pt;margin-left:9.3pt;margin-top:9.25pt;height:0.8pt;width:399.85pt;z-index:251686912;mso-width-relative:page;mso-height-relative:page;" filled="f" stroked="t" coordsize="21600,21600">
                  <v:path arrowok="t"/>
                  <v:fill on="f" focussize="0,0"/>
                  <v:stroke weight="6pt" color="#000000"/>
                  <v:imagedata o:title=""/>
                  <o:lock v:ext="edit" aspectratio="f"/>
                </v:line>
              </w:pict>
            </w:r>
          </w:p>
        </w:tc>
        <w:tc>
          <w:tcPr>
            <w:tcW w:w="315" w:type="dxa"/>
            <w:vAlign w:val="center"/>
          </w:tcPr>
          <w:p>
            <w:pPr>
              <w:spacing w:line="240" w:lineRule="auto"/>
              <w:jc w:val="center"/>
            </w:pPr>
          </w:p>
        </w:tc>
        <w:tc>
          <w:tcPr>
            <w:tcW w:w="407" w:type="dxa"/>
            <w:vAlign w:val="center"/>
          </w:tcPr>
          <w:p>
            <w:pPr>
              <w:spacing w:line="240" w:lineRule="auto"/>
              <w:jc w:val="center"/>
            </w:pPr>
          </w:p>
        </w:tc>
        <w:tc>
          <w:tcPr>
            <w:tcW w:w="408" w:type="dxa"/>
            <w:vAlign w:val="center"/>
          </w:tcPr>
          <w:p>
            <w:pPr>
              <w:spacing w:line="240" w:lineRule="auto"/>
              <w:jc w:val="center"/>
            </w:pPr>
          </w:p>
        </w:tc>
        <w:tc>
          <w:tcPr>
            <w:tcW w:w="408" w:type="dxa"/>
            <w:vAlign w:val="center"/>
          </w:tcPr>
          <w:p>
            <w:pPr>
              <w:spacing w:line="240" w:lineRule="auto"/>
              <w:jc w:val="center"/>
            </w:pPr>
          </w:p>
        </w:tc>
        <w:tc>
          <w:tcPr>
            <w:tcW w:w="115" w:type="pct"/>
            <w:vAlign w:val="center"/>
          </w:tcPr>
          <w:p>
            <w:pPr>
              <w:spacing w:line="240" w:lineRule="auto"/>
              <w:jc w:val="center"/>
              <w:rPr>
                <w:rFonts w:eastAsia="仿宋_GB2312"/>
                <w:color w:val="000000" w:themeColor="text1"/>
                <w:sz w:val="18"/>
                <w:szCs w:val="18"/>
              </w:rPr>
            </w:pPr>
          </w:p>
        </w:tc>
        <w:tc>
          <w:tcPr>
            <w:tcW w:w="120" w:type="pct"/>
            <w:vAlign w:val="center"/>
          </w:tcPr>
          <w:p>
            <w:pPr>
              <w:spacing w:line="240" w:lineRule="auto"/>
              <w:jc w:val="center"/>
              <w:rPr>
                <w:rFonts w:eastAsia="仿宋_GB2312"/>
                <w:color w:val="000000" w:themeColor="text1"/>
                <w:sz w:val="18"/>
                <w:szCs w:val="18"/>
              </w:rPr>
            </w:pPr>
          </w:p>
        </w:tc>
        <w:tc>
          <w:tcPr>
            <w:tcW w:w="132" w:type="pct"/>
            <w:vAlign w:val="center"/>
          </w:tcPr>
          <w:p>
            <w:pPr>
              <w:spacing w:line="240" w:lineRule="auto"/>
              <w:jc w:val="center"/>
              <w:rPr>
                <w:rFonts w:eastAsia="仿宋_GB2312"/>
                <w:color w:val="000000" w:themeColor="text1"/>
                <w:sz w:val="18"/>
                <w:szCs w:val="18"/>
              </w:rPr>
            </w:pPr>
          </w:p>
        </w:tc>
        <w:tc>
          <w:tcPr>
            <w:tcW w:w="128" w:type="pct"/>
            <w:vAlign w:val="center"/>
          </w:tcPr>
          <w:p>
            <w:pPr>
              <w:spacing w:line="240" w:lineRule="auto"/>
              <w:jc w:val="center"/>
              <w:rPr>
                <w:rFonts w:eastAsia="仿宋_GB2312"/>
                <w:color w:val="000000" w:themeColor="text1"/>
                <w:sz w:val="18"/>
                <w:szCs w:val="18"/>
              </w:rPr>
            </w:pPr>
          </w:p>
        </w:tc>
        <w:tc>
          <w:tcPr>
            <w:tcW w:w="124" w:type="pct"/>
            <w:vAlign w:val="center"/>
          </w:tcPr>
          <w:p>
            <w:pPr>
              <w:spacing w:line="240" w:lineRule="auto"/>
              <w:jc w:val="center"/>
              <w:rPr>
                <w:rFonts w:eastAsia="仿宋_GB2312"/>
                <w:color w:val="000000" w:themeColor="text1"/>
                <w:sz w:val="18"/>
                <w:szCs w:val="18"/>
              </w:rPr>
            </w:pPr>
          </w:p>
        </w:tc>
        <w:tc>
          <w:tcPr>
            <w:tcW w:w="123" w:type="pct"/>
            <w:vAlign w:val="center"/>
          </w:tcPr>
          <w:p>
            <w:pPr>
              <w:spacing w:line="240" w:lineRule="auto"/>
              <w:jc w:val="center"/>
              <w:rPr>
                <w:rFonts w:eastAsia="仿宋_GB2312"/>
                <w:color w:val="000000" w:themeColor="text1"/>
                <w:sz w:val="18"/>
                <w:szCs w:val="18"/>
              </w:rPr>
            </w:pPr>
          </w:p>
        </w:tc>
        <w:tc>
          <w:tcPr>
            <w:tcW w:w="120" w:type="pct"/>
            <w:vAlign w:val="center"/>
          </w:tcPr>
          <w:p>
            <w:pPr>
              <w:spacing w:line="240" w:lineRule="auto"/>
              <w:jc w:val="center"/>
              <w:rPr>
                <w:rFonts w:eastAsia="仿宋_GB2312"/>
                <w:color w:val="000000" w:themeColor="text1"/>
                <w:sz w:val="18"/>
                <w:szCs w:val="18"/>
              </w:rPr>
            </w:pPr>
          </w:p>
        </w:tc>
        <w:tc>
          <w:tcPr>
            <w:tcW w:w="119" w:type="pct"/>
            <w:vAlign w:val="center"/>
          </w:tcPr>
          <w:p>
            <w:pPr>
              <w:spacing w:line="240" w:lineRule="auto"/>
              <w:jc w:val="center"/>
              <w:rPr>
                <w:rFonts w:eastAsia="仿宋_GB2312"/>
                <w:color w:val="000000" w:themeColor="text1"/>
                <w:sz w:val="18"/>
                <w:szCs w:val="18"/>
              </w:rPr>
            </w:pPr>
          </w:p>
        </w:tc>
        <w:tc>
          <w:tcPr>
            <w:tcW w:w="119" w:type="pct"/>
            <w:vAlign w:val="center"/>
          </w:tcPr>
          <w:p>
            <w:pPr>
              <w:spacing w:line="240" w:lineRule="auto"/>
              <w:jc w:val="center"/>
              <w:rPr>
                <w:rFonts w:eastAsia="仿宋_GB2312"/>
                <w:color w:val="000000" w:themeColor="text1"/>
                <w:sz w:val="18"/>
                <w:szCs w:val="18"/>
              </w:rPr>
            </w:pPr>
          </w:p>
        </w:tc>
        <w:tc>
          <w:tcPr>
            <w:tcW w:w="116" w:type="pct"/>
            <w:vAlign w:val="center"/>
          </w:tcPr>
          <w:p>
            <w:pPr>
              <w:spacing w:line="240" w:lineRule="auto"/>
              <w:jc w:val="center"/>
              <w:rPr>
                <w:rFonts w:eastAsia="仿宋_GB2312"/>
                <w:color w:val="000000" w:themeColor="text1"/>
                <w:sz w:val="18"/>
                <w:szCs w:val="18"/>
              </w:rPr>
            </w:pPr>
          </w:p>
        </w:tc>
        <w:tc>
          <w:tcPr>
            <w:tcW w:w="116" w:type="pct"/>
            <w:vAlign w:val="center"/>
          </w:tcPr>
          <w:p>
            <w:pPr>
              <w:spacing w:line="240" w:lineRule="auto"/>
              <w:jc w:val="center"/>
              <w:rPr>
                <w:rFonts w:eastAsia="仿宋_GB2312"/>
                <w:color w:val="000000" w:themeColor="text1"/>
                <w:sz w:val="18"/>
                <w:szCs w:val="18"/>
              </w:rPr>
            </w:pPr>
          </w:p>
        </w:tc>
        <w:tc>
          <w:tcPr>
            <w:tcW w:w="130" w:type="pct"/>
            <w:vAlign w:val="center"/>
          </w:tcPr>
          <w:p>
            <w:pPr>
              <w:spacing w:line="240" w:lineRule="auto"/>
              <w:jc w:val="center"/>
              <w:rPr>
                <w:rFonts w:eastAsia="仿宋_GB2312"/>
                <w:color w:val="000000" w:themeColor="text1"/>
                <w:sz w:val="18"/>
                <w:szCs w:val="18"/>
              </w:rPr>
            </w:pPr>
          </w:p>
        </w:tc>
        <w:tc>
          <w:tcPr>
            <w:tcW w:w="121" w:type="pct"/>
            <w:vAlign w:val="center"/>
          </w:tcPr>
          <w:p>
            <w:pPr>
              <w:spacing w:line="240" w:lineRule="auto"/>
              <w:jc w:val="center"/>
              <w:rPr>
                <w:rFonts w:eastAsia="仿宋_GB2312"/>
                <w:color w:val="000000" w:themeColor="text1"/>
                <w:sz w:val="18"/>
                <w:szCs w:val="18"/>
              </w:rPr>
            </w:pPr>
          </w:p>
        </w:tc>
        <w:tc>
          <w:tcPr>
            <w:tcW w:w="121" w:type="pct"/>
            <w:vAlign w:val="center"/>
          </w:tcPr>
          <w:p>
            <w:pPr>
              <w:spacing w:line="240" w:lineRule="auto"/>
              <w:jc w:val="center"/>
              <w:rPr>
                <w:rFonts w:eastAsia="仿宋_GB2312"/>
                <w:color w:val="000000" w:themeColor="text1"/>
                <w:sz w:val="18"/>
                <w:szCs w:val="18"/>
              </w:rPr>
            </w:pPr>
          </w:p>
        </w:tc>
        <w:tc>
          <w:tcPr>
            <w:tcW w:w="121" w:type="pct"/>
            <w:vAlign w:val="center"/>
          </w:tcPr>
          <w:p>
            <w:pPr>
              <w:spacing w:line="240" w:lineRule="auto"/>
              <w:jc w:val="center"/>
              <w:rPr>
                <w:rFonts w:eastAsia="仿宋_GB2312"/>
                <w:color w:val="000000" w:themeColor="text1"/>
                <w:sz w:val="18"/>
                <w:szCs w:val="18"/>
              </w:rPr>
            </w:pPr>
          </w:p>
        </w:tc>
        <w:tc>
          <w:tcPr>
            <w:tcW w:w="121" w:type="pct"/>
            <w:vAlign w:val="center"/>
          </w:tcPr>
          <w:p>
            <w:pPr>
              <w:spacing w:line="240" w:lineRule="auto"/>
              <w:jc w:val="center"/>
              <w:rPr>
                <w:rFonts w:eastAsia="仿宋_GB2312"/>
                <w:color w:val="000000" w:themeColor="text1"/>
                <w:sz w:val="18"/>
                <w:szCs w:val="18"/>
              </w:rPr>
            </w:pPr>
          </w:p>
        </w:tc>
        <w:tc>
          <w:tcPr>
            <w:tcW w:w="121" w:type="pct"/>
            <w:vAlign w:val="center"/>
          </w:tcPr>
          <w:p>
            <w:pPr>
              <w:spacing w:line="240" w:lineRule="auto"/>
              <w:jc w:val="center"/>
              <w:rPr>
                <w:rFonts w:eastAsia="仿宋_GB2312"/>
                <w:color w:val="000000" w:themeColor="text1"/>
                <w:sz w:val="18"/>
                <w:szCs w:val="18"/>
              </w:rPr>
            </w:pPr>
          </w:p>
        </w:tc>
        <w:tc>
          <w:tcPr>
            <w:tcW w:w="121" w:type="pct"/>
            <w:vAlign w:val="center"/>
          </w:tcPr>
          <w:p>
            <w:pPr>
              <w:spacing w:line="240" w:lineRule="auto"/>
              <w:jc w:val="center"/>
              <w:rPr>
                <w:rFonts w:eastAsia="仿宋_GB2312"/>
                <w:color w:val="000000" w:themeColor="text1"/>
                <w:sz w:val="18"/>
                <w:szCs w:val="18"/>
              </w:rPr>
            </w:pPr>
          </w:p>
        </w:tc>
        <w:tc>
          <w:tcPr>
            <w:tcW w:w="121" w:type="pct"/>
            <w:vAlign w:val="center"/>
          </w:tcPr>
          <w:p>
            <w:pPr>
              <w:spacing w:line="240" w:lineRule="auto"/>
              <w:jc w:val="center"/>
              <w:rPr>
                <w:rFonts w:eastAsia="仿宋_GB2312"/>
                <w:color w:val="000000" w:themeColor="text1"/>
                <w:sz w:val="18"/>
                <w:szCs w:val="18"/>
              </w:rPr>
            </w:pPr>
          </w:p>
        </w:tc>
        <w:tc>
          <w:tcPr>
            <w:tcW w:w="121" w:type="pct"/>
            <w:vAlign w:val="center"/>
          </w:tcPr>
          <w:p>
            <w:pPr>
              <w:spacing w:line="240" w:lineRule="auto"/>
              <w:jc w:val="center"/>
              <w:rPr>
                <w:rFonts w:eastAsia="仿宋_GB2312"/>
                <w:color w:val="000000" w:themeColor="text1"/>
                <w:sz w:val="18"/>
                <w:szCs w:val="18"/>
              </w:rPr>
            </w:pPr>
          </w:p>
        </w:tc>
        <w:tc>
          <w:tcPr>
            <w:tcW w:w="121" w:type="pct"/>
            <w:vAlign w:val="center"/>
          </w:tcPr>
          <w:p>
            <w:pPr>
              <w:spacing w:line="240" w:lineRule="auto"/>
              <w:jc w:val="center"/>
              <w:rPr>
                <w:rFonts w:eastAsia="仿宋_GB2312"/>
                <w:color w:val="000000" w:themeColor="text1"/>
                <w:sz w:val="18"/>
                <w:szCs w:val="18"/>
              </w:rPr>
            </w:pPr>
          </w:p>
        </w:tc>
        <w:tc>
          <w:tcPr>
            <w:tcW w:w="121" w:type="pct"/>
            <w:vAlign w:val="center"/>
          </w:tcPr>
          <w:p>
            <w:pPr>
              <w:spacing w:line="240" w:lineRule="auto"/>
              <w:jc w:val="center"/>
              <w:rPr>
                <w:rFonts w:eastAsia="仿宋_GB2312"/>
                <w:color w:val="000000" w:themeColor="text1"/>
                <w:sz w:val="18"/>
                <w:szCs w:val="18"/>
              </w:rPr>
            </w:pPr>
          </w:p>
        </w:tc>
        <w:tc>
          <w:tcPr>
            <w:tcW w:w="121" w:type="pct"/>
            <w:vAlign w:val="center"/>
          </w:tcPr>
          <w:p>
            <w:pPr>
              <w:spacing w:line="240" w:lineRule="auto"/>
              <w:jc w:val="center"/>
              <w:rPr>
                <w:rFonts w:eastAsia="仿宋_GB2312"/>
                <w:color w:val="000000" w:themeColor="text1"/>
                <w:sz w:val="18"/>
                <w:szCs w:val="18"/>
              </w:rPr>
            </w:pPr>
          </w:p>
        </w:tc>
        <w:tc>
          <w:tcPr>
            <w:tcW w:w="128" w:type="pct"/>
            <w:vAlign w:val="center"/>
          </w:tcPr>
          <w:p>
            <w:pPr>
              <w:spacing w:line="240" w:lineRule="auto"/>
              <w:jc w:val="center"/>
              <w:rPr>
                <w:rFonts w:eastAsia="仿宋_GB2312"/>
                <w:color w:val="000000" w:themeColor="text1"/>
                <w:sz w:val="18"/>
                <w:szCs w:val="18"/>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15" w:type="pct"/>
            <w:vMerge w:val="continue"/>
            <w:vAlign w:val="center"/>
          </w:tcPr>
          <w:p>
            <w:pPr>
              <w:spacing w:line="240" w:lineRule="auto"/>
              <w:jc w:val="center"/>
              <w:rPr>
                <w:rFonts w:eastAsia="仿宋_GB2312"/>
                <w:color w:val="000000" w:themeColor="text1"/>
                <w:sz w:val="18"/>
                <w:szCs w:val="18"/>
                <w:highlight w:val="cyan"/>
                <w:lang w:val="zh-CN"/>
              </w:rPr>
            </w:pPr>
          </w:p>
        </w:tc>
        <w:tc>
          <w:tcPr>
            <w:tcW w:w="485"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道路及硬化区域施工</w:t>
            </w:r>
          </w:p>
        </w:tc>
        <w:tc>
          <w:tcPr>
            <w:tcW w:w="314" w:type="dxa"/>
            <w:vAlign w:val="center"/>
          </w:tcPr>
          <w:p>
            <w:pPr>
              <w:spacing w:line="240" w:lineRule="auto"/>
              <w:jc w:val="center"/>
              <w:rPr>
                <w:rFonts w:eastAsia="仿宋_GB2312"/>
                <w:color w:val="000000" w:themeColor="text1"/>
                <w:sz w:val="18"/>
                <w:szCs w:val="18"/>
                <w:highlight w:val="cyan"/>
              </w:rPr>
            </w:pPr>
          </w:p>
        </w:tc>
        <w:tc>
          <w:tcPr>
            <w:tcW w:w="315" w:type="dxa"/>
            <w:vAlign w:val="center"/>
          </w:tcPr>
          <w:p>
            <w:pPr>
              <w:spacing w:line="240" w:lineRule="auto"/>
              <w:jc w:val="center"/>
            </w:pPr>
          </w:p>
        </w:tc>
        <w:tc>
          <w:tcPr>
            <w:tcW w:w="315" w:type="dxa"/>
            <w:vAlign w:val="center"/>
          </w:tcPr>
          <w:p>
            <w:pPr>
              <w:spacing w:line="240" w:lineRule="auto"/>
              <w:jc w:val="center"/>
            </w:pPr>
          </w:p>
        </w:tc>
        <w:tc>
          <w:tcPr>
            <w:tcW w:w="315" w:type="dxa"/>
            <w:vAlign w:val="center"/>
          </w:tcPr>
          <w:p>
            <w:pPr>
              <w:spacing w:line="240" w:lineRule="auto"/>
              <w:jc w:val="center"/>
            </w:pPr>
          </w:p>
        </w:tc>
        <w:tc>
          <w:tcPr>
            <w:tcW w:w="315" w:type="dxa"/>
            <w:vAlign w:val="center"/>
          </w:tcPr>
          <w:p>
            <w:pPr>
              <w:spacing w:line="240" w:lineRule="auto"/>
              <w:jc w:val="center"/>
            </w:pPr>
          </w:p>
        </w:tc>
        <w:tc>
          <w:tcPr>
            <w:tcW w:w="315" w:type="dxa"/>
            <w:vAlign w:val="center"/>
          </w:tcPr>
          <w:p>
            <w:pPr>
              <w:spacing w:line="240" w:lineRule="auto"/>
              <w:jc w:val="center"/>
            </w:pPr>
          </w:p>
        </w:tc>
        <w:tc>
          <w:tcPr>
            <w:tcW w:w="315" w:type="dxa"/>
            <w:vAlign w:val="center"/>
          </w:tcPr>
          <w:p>
            <w:pPr>
              <w:spacing w:line="240" w:lineRule="auto"/>
              <w:jc w:val="center"/>
            </w:pPr>
          </w:p>
        </w:tc>
        <w:tc>
          <w:tcPr>
            <w:tcW w:w="315" w:type="dxa"/>
            <w:vAlign w:val="center"/>
          </w:tcPr>
          <w:p>
            <w:pPr>
              <w:spacing w:line="240" w:lineRule="auto"/>
              <w:jc w:val="center"/>
            </w:pPr>
          </w:p>
        </w:tc>
        <w:tc>
          <w:tcPr>
            <w:tcW w:w="315" w:type="dxa"/>
            <w:vAlign w:val="center"/>
          </w:tcPr>
          <w:p>
            <w:pPr>
              <w:spacing w:line="240" w:lineRule="auto"/>
              <w:jc w:val="center"/>
            </w:pPr>
          </w:p>
        </w:tc>
        <w:tc>
          <w:tcPr>
            <w:tcW w:w="407" w:type="dxa"/>
            <w:vAlign w:val="center"/>
          </w:tcPr>
          <w:p>
            <w:pPr>
              <w:spacing w:line="240" w:lineRule="auto"/>
              <w:jc w:val="center"/>
            </w:pPr>
          </w:p>
        </w:tc>
        <w:tc>
          <w:tcPr>
            <w:tcW w:w="408" w:type="dxa"/>
            <w:vAlign w:val="center"/>
          </w:tcPr>
          <w:p>
            <w:pPr>
              <w:spacing w:line="240" w:lineRule="auto"/>
              <w:jc w:val="center"/>
            </w:pPr>
          </w:p>
        </w:tc>
        <w:tc>
          <w:tcPr>
            <w:tcW w:w="408" w:type="dxa"/>
            <w:vAlign w:val="center"/>
          </w:tcPr>
          <w:p>
            <w:pPr>
              <w:spacing w:line="240" w:lineRule="auto"/>
              <w:jc w:val="center"/>
            </w:pPr>
          </w:p>
        </w:tc>
        <w:tc>
          <w:tcPr>
            <w:tcW w:w="115" w:type="pct"/>
            <w:vAlign w:val="center"/>
          </w:tcPr>
          <w:p>
            <w:pPr>
              <w:spacing w:line="240" w:lineRule="auto"/>
              <w:jc w:val="center"/>
              <w:rPr>
                <w:rFonts w:eastAsia="仿宋_GB2312"/>
                <w:color w:val="000000" w:themeColor="text1"/>
                <w:sz w:val="18"/>
                <w:szCs w:val="18"/>
                <w:highlight w:val="cyan"/>
              </w:rPr>
            </w:pPr>
          </w:p>
        </w:tc>
        <w:tc>
          <w:tcPr>
            <w:tcW w:w="120" w:type="pct"/>
            <w:vAlign w:val="center"/>
          </w:tcPr>
          <w:p>
            <w:pPr>
              <w:spacing w:line="240" w:lineRule="auto"/>
              <w:jc w:val="center"/>
              <w:rPr>
                <w:rFonts w:eastAsia="仿宋_GB2312"/>
                <w:color w:val="000000" w:themeColor="text1"/>
                <w:sz w:val="18"/>
                <w:szCs w:val="18"/>
                <w:highlight w:val="cyan"/>
              </w:rPr>
            </w:pPr>
          </w:p>
        </w:tc>
        <w:tc>
          <w:tcPr>
            <w:tcW w:w="132" w:type="pct"/>
            <w:vAlign w:val="center"/>
          </w:tcPr>
          <w:p>
            <w:pPr>
              <w:spacing w:line="240" w:lineRule="auto"/>
              <w:jc w:val="center"/>
              <w:rPr>
                <w:rFonts w:eastAsia="仿宋_GB2312"/>
                <w:color w:val="000000" w:themeColor="text1"/>
                <w:sz w:val="18"/>
                <w:szCs w:val="18"/>
                <w:highlight w:val="cyan"/>
              </w:rPr>
            </w:pPr>
          </w:p>
        </w:tc>
        <w:tc>
          <w:tcPr>
            <w:tcW w:w="128" w:type="pct"/>
            <w:vAlign w:val="center"/>
          </w:tcPr>
          <w:p>
            <w:pPr>
              <w:spacing w:line="240" w:lineRule="auto"/>
              <w:jc w:val="center"/>
              <w:rPr>
                <w:rFonts w:eastAsia="仿宋_GB2312"/>
                <w:color w:val="000000" w:themeColor="text1"/>
                <w:sz w:val="18"/>
                <w:szCs w:val="18"/>
                <w:highlight w:val="cyan"/>
              </w:rPr>
            </w:pPr>
            <w:r>
              <w:rPr>
                <w:rFonts w:eastAsia="仿宋_GB2312"/>
                <w:color w:val="000000" w:themeColor="text1"/>
                <w:sz w:val="18"/>
                <w:szCs w:val="18"/>
                <w:highlight w:val="cyan"/>
              </w:rPr>
              <w:pict>
                <v:line id="直线 113" o:spid="_x0000_s2121" o:spt="20" style="position:absolute;left:0pt;flip:y;margin-left:-5.1pt;margin-top:10.9pt;height:0.05pt;width:60.45pt;z-index:251670528;mso-width-relative:page;mso-height-relative:page;" filled="f" stroked="t" coordsize="21600,21600">
                  <v:path arrowok="t"/>
                  <v:fill on="f" focussize="0,0"/>
                  <v:stroke weight="6pt" color="#000000"/>
                  <v:imagedata o:title=""/>
                  <o:lock v:ext="edit" aspectratio="f"/>
                </v:line>
              </w:pict>
            </w:r>
          </w:p>
        </w:tc>
        <w:tc>
          <w:tcPr>
            <w:tcW w:w="124" w:type="pct"/>
            <w:vAlign w:val="center"/>
          </w:tcPr>
          <w:p>
            <w:pPr>
              <w:spacing w:line="240" w:lineRule="auto"/>
              <w:jc w:val="center"/>
              <w:rPr>
                <w:rFonts w:eastAsia="仿宋_GB2312"/>
                <w:color w:val="000000" w:themeColor="text1"/>
                <w:sz w:val="18"/>
                <w:szCs w:val="18"/>
                <w:highlight w:val="cyan"/>
              </w:rPr>
            </w:pPr>
          </w:p>
        </w:tc>
        <w:tc>
          <w:tcPr>
            <w:tcW w:w="123" w:type="pct"/>
            <w:vAlign w:val="center"/>
          </w:tcPr>
          <w:p>
            <w:pPr>
              <w:spacing w:line="240" w:lineRule="auto"/>
              <w:jc w:val="center"/>
              <w:rPr>
                <w:rFonts w:eastAsia="仿宋_GB2312"/>
                <w:color w:val="000000" w:themeColor="text1"/>
                <w:sz w:val="18"/>
                <w:szCs w:val="18"/>
                <w:highlight w:val="cyan"/>
              </w:rPr>
            </w:pPr>
          </w:p>
        </w:tc>
        <w:tc>
          <w:tcPr>
            <w:tcW w:w="120" w:type="pct"/>
            <w:vAlign w:val="center"/>
          </w:tcPr>
          <w:p>
            <w:pPr>
              <w:spacing w:line="240" w:lineRule="auto"/>
              <w:jc w:val="center"/>
              <w:rPr>
                <w:rFonts w:eastAsia="仿宋_GB2312"/>
                <w:color w:val="000000" w:themeColor="text1"/>
                <w:sz w:val="18"/>
                <w:szCs w:val="18"/>
                <w:highlight w:val="cyan"/>
              </w:rPr>
            </w:pPr>
          </w:p>
        </w:tc>
        <w:tc>
          <w:tcPr>
            <w:tcW w:w="119" w:type="pct"/>
            <w:vAlign w:val="center"/>
          </w:tcPr>
          <w:p>
            <w:pPr>
              <w:spacing w:line="240" w:lineRule="auto"/>
              <w:jc w:val="center"/>
              <w:rPr>
                <w:rFonts w:eastAsia="仿宋_GB2312"/>
                <w:color w:val="000000" w:themeColor="text1"/>
                <w:sz w:val="18"/>
                <w:szCs w:val="18"/>
                <w:highlight w:val="cyan"/>
              </w:rPr>
            </w:pPr>
          </w:p>
        </w:tc>
        <w:tc>
          <w:tcPr>
            <w:tcW w:w="119" w:type="pct"/>
            <w:vAlign w:val="center"/>
          </w:tcPr>
          <w:p>
            <w:pPr>
              <w:spacing w:line="240" w:lineRule="auto"/>
              <w:jc w:val="center"/>
              <w:rPr>
                <w:rFonts w:eastAsia="仿宋_GB2312"/>
                <w:color w:val="000000" w:themeColor="text1"/>
                <w:sz w:val="18"/>
                <w:szCs w:val="18"/>
                <w:highlight w:val="cyan"/>
              </w:rPr>
            </w:pPr>
          </w:p>
        </w:tc>
        <w:tc>
          <w:tcPr>
            <w:tcW w:w="116" w:type="pct"/>
            <w:vAlign w:val="center"/>
          </w:tcPr>
          <w:p>
            <w:pPr>
              <w:spacing w:line="240" w:lineRule="auto"/>
              <w:jc w:val="center"/>
              <w:rPr>
                <w:rFonts w:eastAsia="仿宋_GB2312"/>
                <w:color w:val="000000" w:themeColor="text1"/>
                <w:sz w:val="18"/>
                <w:szCs w:val="18"/>
                <w:highlight w:val="cyan"/>
              </w:rPr>
            </w:pPr>
          </w:p>
        </w:tc>
        <w:tc>
          <w:tcPr>
            <w:tcW w:w="116" w:type="pct"/>
            <w:vAlign w:val="center"/>
          </w:tcPr>
          <w:p>
            <w:pPr>
              <w:spacing w:line="240" w:lineRule="auto"/>
              <w:jc w:val="center"/>
              <w:rPr>
                <w:rFonts w:eastAsia="仿宋_GB2312"/>
                <w:color w:val="000000" w:themeColor="text1"/>
                <w:sz w:val="18"/>
                <w:szCs w:val="18"/>
                <w:highlight w:val="cyan"/>
              </w:rPr>
            </w:pPr>
          </w:p>
        </w:tc>
        <w:tc>
          <w:tcPr>
            <w:tcW w:w="130" w:type="pct"/>
            <w:vAlign w:val="center"/>
          </w:tcPr>
          <w:p>
            <w:pPr>
              <w:spacing w:line="240" w:lineRule="auto"/>
              <w:jc w:val="center"/>
              <w:rPr>
                <w:rFonts w:eastAsia="仿宋_GB2312"/>
                <w:color w:val="000000" w:themeColor="text1"/>
                <w:sz w:val="18"/>
                <w:szCs w:val="18"/>
                <w:highlight w:val="cyan"/>
              </w:rPr>
            </w:pPr>
          </w:p>
        </w:tc>
        <w:tc>
          <w:tcPr>
            <w:tcW w:w="121" w:type="pct"/>
            <w:vAlign w:val="center"/>
          </w:tcPr>
          <w:p>
            <w:pPr>
              <w:spacing w:line="240" w:lineRule="auto"/>
              <w:jc w:val="center"/>
              <w:rPr>
                <w:rFonts w:eastAsia="仿宋_GB2312"/>
                <w:color w:val="000000" w:themeColor="text1"/>
                <w:sz w:val="18"/>
                <w:szCs w:val="18"/>
                <w:highlight w:val="cyan"/>
              </w:rPr>
            </w:pPr>
          </w:p>
        </w:tc>
        <w:tc>
          <w:tcPr>
            <w:tcW w:w="121" w:type="pct"/>
            <w:vAlign w:val="center"/>
          </w:tcPr>
          <w:p>
            <w:pPr>
              <w:spacing w:line="240" w:lineRule="auto"/>
              <w:jc w:val="center"/>
              <w:rPr>
                <w:rFonts w:eastAsia="仿宋_GB2312"/>
                <w:color w:val="000000" w:themeColor="text1"/>
                <w:sz w:val="18"/>
                <w:szCs w:val="18"/>
                <w:highlight w:val="cyan"/>
              </w:rPr>
            </w:pPr>
          </w:p>
        </w:tc>
        <w:tc>
          <w:tcPr>
            <w:tcW w:w="121" w:type="pct"/>
            <w:vAlign w:val="center"/>
          </w:tcPr>
          <w:p>
            <w:pPr>
              <w:spacing w:line="240" w:lineRule="auto"/>
              <w:jc w:val="center"/>
              <w:rPr>
                <w:rFonts w:eastAsia="仿宋_GB2312"/>
                <w:color w:val="000000" w:themeColor="text1"/>
                <w:sz w:val="18"/>
                <w:szCs w:val="18"/>
                <w:highlight w:val="cyan"/>
              </w:rPr>
            </w:pPr>
          </w:p>
        </w:tc>
        <w:tc>
          <w:tcPr>
            <w:tcW w:w="121" w:type="pct"/>
            <w:vAlign w:val="center"/>
          </w:tcPr>
          <w:p>
            <w:pPr>
              <w:spacing w:line="240" w:lineRule="auto"/>
              <w:jc w:val="center"/>
              <w:rPr>
                <w:rFonts w:eastAsia="仿宋_GB2312"/>
                <w:color w:val="000000" w:themeColor="text1"/>
                <w:sz w:val="18"/>
                <w:szCs w:val="18"/>
                <w:highlight w:val="cyan"/>
              </w:rPr>
            </w:pPr>
          </w:p>
        </w:tc>
        <w:tc>
          <w:tcPr>
            <w:tcW w:w="121" w:type="pct"/>
            <w:vAlign w:val="center"/>
          </w:tcPr>
          <w:p>
            <w:pPr>
              <w:spacing w:line="240" w:lineRule="auto"/>
              <w:jc w:val="center"/>
              <w:rPr>
                <w:rFonts w:eastAsia="仿宋_GB2312"/>
                <w:color w:val="000000" w:themeColor="text1"/>
                <w:sz w:val="18"/>
                <w:szCs w:val="18"/>
                <w:highlight w:val="cyan"/>
              </w:rPr>
            </w:pPr>
          </w:p>
        </w:tc>
        <w:tc>
          <w:tcPr>
            <w:tcW w:w="121" w:type="pct"/>
            <w:vAlign w:val="center"/>
          </w:tcPr>
          <w:p>
            <w:pPr>
              <w:spacing w:line="240" w:lineRule="auto"/>
              <w:jc w:val="center"/>
              <w:rPr>
                <w:rFonts w:eastAsia="仿宋_GB2312"/>
                <w:color w:val="000000" w:themeColor="text1"/>
                <w:sz w:val="18"/>
                <w:szCs w:val="18"/>
                <w:highlight w:val="cyan"/>
              </w:rPr>
            </w:pPr>
          </w:p>
        </w:tc>
        <w:tc>
          <w:tcPr>
            <w:tcW w:w="121" w:type="pct"/>
            <w:vAlign w:val="center"/>
          </w:tcPr>
          <w:p>
            <w:pPr>
              <w:spacing w:line="240" w:lineRule="auto"/>
              <w:jc w:val="center"/>
              <w:rPr>
                <w:rFonts w:eastAsia="仿宋_GB2312"/>
                <w:color w:val="000000" w:themeColor="text1"/>
                <w:sz w:val="18"/>
                <w:szCs w:val="18"/>
                <w:highlight w:val="cyan"/>
              </w:rPr>
            </w:pPr>
          </w:p>
        </w:tc>
        <w:tc>
          <w:tcPr>
            <w:tcW w:w="121" w:type="pct"/>
            <w:vAlign w:val="center"/>
          </w:tcPr>
          <w:p>
            <w:pPr>
              <w:spacing w:line="240" w:lineRule="auto"/>
              <w:jc w:val="center"/>
              <w:rPr>
                <w:rFonts w:eastAsia="仿宋_GB2312"/>
                <w:color w:val="000000" w:themeColor="text1"/>
                <w:sz w:val="18"/>
                <w:szCs w:val="18"/>
                <w:highlight w:val="cyan"/>
              </w:rPr>
            </w:pPr>
          </w:p>
        </w:tc>
        <w:tc>
          <w:tcPr>
            <w:tcW w:w="121" w:type="pct"/>
            <w:vAlign w:val="center"/>
          </w:tcPr>
          <w:p>
            <w:pPr>
              <w:spacing w:line="240" w:lineRule="auto"/>
              <w:jc w:val="center"/>
              <w:rPr>
                <w:rFonts w:eastAsia="仿宋_GB2312"/>
                <w:color w:val="000000" w:themeColor="text1"/>
                <w:sz w:val="18"/>
                <w:szCs w:val="18"/>
                <w:highlight w:val="cyan"/>
              </w:rPr>
            </w:pPr>
          </w:p>
        </w:tc>
        <w:tc>
          <w:tcPr>
            <w:tcW w:w="121" w:type="pct"/>
            <w:vAlign w:val="center"/>
          </w:tcPr>
          <w:p>
            <w:pPr>
              <w:spacing w:line="240" w:lineRule="auto"/>
              <w:jc w:val="center"/>
              <w:rPr>
                <w:rFonts w:eastAsia="仿宋_GB2312"/>
                <w:color w:val="000000" w:themeColor="text1"/>
                <w:sz w:val="18"/>
                <w:szCs w:val="18"/>
                <w:highlight w:val="cyan"/>
              </w:rPr>
            </w:pPr>
          </w:p>
        </w:tc>
        <w:tc>
          <w:tcPr>
            <w:tcW w:w="121" w:type="pct"/>
            <w:vAlign w:val="center"/>
          </w:tcPr>
          <w:p>
            <w:pPr>
              <w:spacing w:line="240" w:lineRule="auto"/>
              <w:jc w:val="center"/>
              <w:rPr>
                <w:rFonts w:eastAsia="仿宋_GB2312"/>
                <w:color w:val="000000" w:themeColor="text1"/>
                <w:sz w:val="18"/>
                <w:szCs w:val="18"/>
                <w:highlight w:val="cyan"/>
              </w:rPr>
            </w:pPr>
          </w:p>
        </w:tc>
        <w:tc>
          <w:tcPr>
            <w:tcW w:w="128" w:type="pct"/>
            <w:vAlign w:val="center"/>
          </w:tcPr>
          <w:p>
            <w:pPr>
              <w:spacing w:line="240" w:lineRule="auto"/>
              <w:jc w:val="center"/>
              <w:rPr>
                <w:rFonts w:eastAsia="仿宋_GB2312"/>
                <w:color w:val="000000" w:themeColor="text1"/>
                <w:sz w:val="18"/>
                <w:szCs w:val="18"/>
                <w:highlight w:val="cya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15" w:type="pct"/>
            <w:vMerge w:val="continue"/>
            <w:vAlign w:val="center"/>
          </w:tcPr>
          <w:p>
            <w:pPr>
              <w:spacing w:line="240" w:lineRule="auto"/>
              <w:jc w:val="center"/>
              <w:rPr>
                <w:rFonts w:eastAsia="仿宋_GB2312"/>
                <w:b/>
                <w:color w:val="000000" w:themeColor="text1"/>
                <w:sz w:val="18"/>
                <w:szCs w:val="18"/>
                <w:highlight w:val="cyan"/>
                <w:lang w:val="zh-CN"/>
              </w:rPr>
            </w:pPr>
          </w:p>
        </w:tc>
        <w:tc>
          <w:tcPr>
            <w:tcW w:w="485" w:type="pct"/>
            <w:vAlign w:val="center"/>
          </w:tcPr>
          <w:p>
            <w:pPr>
              <w:widowControl/>
              <w:snapToGrid w:val="0"/>
              <w:spacing w:line="240" w:lineRule="auto"/>
              <w:jc w:val="center"/>
              <w:rPr>
                <w:rFonts w:eastAsia="仿宋_GB2312"/>
                <w:color w:val="000000" w:themeColor="text1"/>
                <w:sz w:val="18"/>
                <w:szCs w:val="18"/>
              </w:rPr>
            </w:pPr>
            <w:r>
              <w:rPr>
                <w:rFonts w:eastAsia="仿宋_GB2312"/>
                <w:color w:val="000000" w:themeColor="text1"/>
                <w:sz w:val="18"/>
                <w:szCs w:val="18"/>
              </w:rPr>
              <w:t>绿化区域施工</w:t>
            </w:r>
          </w:p>
        </w:tc>
        <w:tc>
          <w:tcPr>
            <w:tcW w:w="314" w:type="dxa"/>
            <w:vAlign w:val="center"/>
          </w:tcPr>
          <w:p>
            <w:pPr>
              <w:spacing w:line="240" w:lineRule="auto"/>
              <w:jc w:val="center"/>
              <w:rPr>
                <w:rFonts w:eastAsia="仿宋_GB2312"/>
                <w:color w:val="000000" w:themeColor="text1"/>
                <w:sz w:val="18"/>
                <w:szCs w:val="18"/>
                <w:highlight w:val="cyan"/>
              </w:rPr>
            </w:pPr>
          </w:p>
        </w:tc>
        <w:tc>
          <w:tcPr>
            <w:tcW w:w="315" w:type="dxa"/>
            <w:vAlign w:val="center"/>
          </w:tcPr>
          <w:p>
            <w:pPr>
              <w:spacing w:line="240" w:lineRule="auto"/>
              <w:jc w:val="center"/>
            </w:pPr>
          </w:p>
        </w:tc>
        <w:tc>
          <w:tcPr>
            <w:tcW w:w="315" w:type="dxa"/>
            <w:vAlign w:val="center"/>
          </w:tcPr>
          <w:p>
            <w:pPr>
              <w:spacing w:line="240" w:lineRule="auto"/>
              <w:jc w:val="center"/>
            </w:pPr>
          </w:p>
        </w:tc>
        <w:tc>
          <w:tcPr>
            <w:tcW w:w="315" w:type="dxa"/>
            <w:vAlign w:val="center"/>
          </w:tcPr>
          <w:p>
            <w:pPr>
              <w:spacing w:line="240" w:lineRule="auto"/>
              <w:jc w:val="center"/>
            </w:pPr>
          </w:p>
        </w:tc>
        <w:tc>
          <w:tcPr>
            <w:tcW w:w="315" w:type="dxa"/>
            <w:vAlign w:val="center"/>
          </w:tcPr>
          <w:p>
            <w:pPr>
              <w:spacing w:line="240" w:lineRule="auto"/>
              <w:jc w:val="center"/>
            </w:pPr>
          </w:p>
        </w:tc>
        <w:tc>
          <w:tcPr>
            <w:tcW w:w="315" w:type="dxa"/>
            <w:vAlign w:val="center"/>
          </w:tcPr>
          <w:p>
            <w:pPr>
              <w:spacing w:line="240" w:lineRule="auto"/>
              <w:jc w:val="center"/>
            </w:pPr>
          </w:p>
        </w:tc>
        <w:tc>
          <w:tcPr>
            <w:tcW w:w="315" w:type="dxa"/>
            <w:vAlign w:val="center"/>
          </w:tcPr>
          <w:p>
            <w:pPr>
              <w:spacing w:line="240" w:lineRule="auto"/>
              <w:jc w:val="center"/>
            </w:pPr>
          </w:p>
        </w:tc>
        <w:tc>
          <w:tcPr>
            <w:tcW w:w="315" w:type="dxa"/>
            <w:vAlign w:val="center"/>
          </w:tcPr>
          <w:p>
            <w:pPr>
              <w:spacing w:line="240" w:lineRule="auto"/>
              <w:jc w:val="center"/>
            </w:pPr>
          </w:p>
        </w:tc>
        <w:tc>
          <w:tcPr>
            <w:tcW w:w="315" w:type="dxa"/>
            <w:vAlign w:val="center"/>
          </w:tcPr>
          <w:p>
            <w:pPr>
              <w:spacing w:line="240" w:lineRule="auto"/>
              <w:jc w:val="center"/>
            </w:pPr>
          </w:p>
        </w:tc>
        <w:tc>
          <w:tcPr>
            <w:tcW w:w="407" w:type="dxa"/>
            <w:vAlign w:val="center"/>
          </w:tcPr>
          <w:p>
            <w:pPr>
              <w:spacing w:line="240" w:lineRule="auto"/>
              <w:jc w:val="center"/>
            </w:pPr>
          </w:p>
        </w:tc>
        <w:tc>
          <w:tcPr>
            <w:tcW w:w="408" w:type="dxa"/>
            <w:vAlign w:val="center"/>
          </w:tcPr>
          <w:p>
            <w:pPr>
              <w:spacing w:line="240" w:lineRule="auto"/>
              <w:jc w:val="center"/>
            </w:pPr>
          </w:p>
        </w:tc>
        <w:tc>
          <w:tcPr>
            <w:tcW w:w="408" w:type="dxa"/>
            <w:vAlign w:val="center"/>
          </w:tcPr>
          <w:p>
            <w:pPr>
              <w:spacing w:line="240" w:lineRule="auto"/>
              <w:jc w:val="center"/>
            </w:pPr>
          </w:p>
        </w:tc>
        <w:tc>
          <w:tcPr>
            <w:tcW w:w="115" w:type="pct"/>
            <w:vAlign w:val="center"/>
          </w:tcPr>
          <w:p>
            <w:pPr>
              <w:spacing w:line="240" w:lineRule="auto"/>
              <w:jc w:val="center"/>
              <w:rPr>
                <w:rFonts w:eastAsia="仿宋_GB2312"/>
                <w:color w:val="000000" w:themeColor="text1"/>
                <w:sz w:val="18"/>
                <w:szCs w:val="18"/>
                <w:highlight w:val="cyan"/>
              </w:rPr>
            </w:pPr>
          </w:p>
        </w:tc>
        <w:tc>
          <w:tcPr>
            <w:tcW w:w="120" w:type="pct"/>
            <w:vAlign w:val="center"/>
          </w:tcPr>
          <w:p>
            <w:pPr>
              <w:spacing w:line="240" w:lineRule="auto"/>
              <w:jc w:val="center"/>
              <w:rPr>
                <w:rFonts w:eastAsia="仿宋_GB2312"/>
                <w:color w:val="000000" w:themeColor="text1"/>
                <w:sz w:val="18"/>
                <w:szCs w:val="18"/>
                <w:highlight w:val="cyan"/>
              </w:rPr>
            </w:pPr>
          </w:p>
        </w:tc>
        <w:tc>
          <w:tcPr>
            <w:tcW w:w="132" w:type="pct"/>
            <w:vAlign w:val="center"/>
          </w:tcPr>
          <w:p>
            <w:pPr>
              <w:spacing w:line="240" w:lineRule="auto"/>
              <w:jc w:val="center"/>
              <w:rPr>
                <w:rFonts w:eastAsia="仿宋_GB2312"/>
                <w:color w:val="000000" w:themeColor="text1"/>
                <w:sz w:val="18"/>
                <w:szCs w:val="18"/>
                <w:highlight w:val="cyan"/>
              </w:rPr>
            </w:pPr>
          </w:p>
        </w:tc>
        <w:tc>
          <w:tcPr>
            <w:tcW w:w="128" w:type="pct"/>
            <w:vAlign w:val="center"/>
          </w:tcPr>
          <w:p>
            <w:pPr>
              <w:spacing w:line="240" w:lineRule="auto"/>
              <w:jc w:val="center"/>
              <w:rPr>
                <w:rFonts w:eastAsia="仿宋_GB2312"/>
                <w:color w:val="000000" w:themeColor="text1"/>
                <w:sz w:val="18"/>
                <w:szCs w:val="18"/>
                <w:highlight w:val="cyan"/>
              </w:rPr>
            </w:pPr>
          </w:p>
        </w:tc>
        <w:tc>
          <w:tcPr>
            <w:tcW w:w="124" w:type="pct"/>
            <w:vAlign w:val="center"/>
          </w:tcPr>
          <w:p>
            <w:pPr>
              <w:spacing w:line="240" w:lineRule="auto"/>
              <w:jc w:val="center"/>
              <w:rPr>
                <w:rFonts w:eastAsia="仿宋_GB2312"/>
                <w:color w:val="000000" w:themeColor="text1"/>
                <w:sz w:val="18"/>
                <w:szCs w:val="18"/>
                <w:highlight w:val="cyan"/>
              </w:rPr>
            </w:pPr>
          </w:p>
        </w:tc>
        <w:tc>
          <w:tcPr>
            <w:tcW w:w="123" w:type="pct"/>
            <w:vAlign w:val="center"/>
          </w:tcPr>
          <w:p>
            <w:pPr>
              <w:spacing w:line="240" w:lineRule="auto"/>
              <w:jc w:val="center"/>
              <w:rPr>
                <w:rFonts w:eastAsia="仿宋_GB2312"/>
                <w:color w:val="000000" w:themeColor="text1"/>
                <w:sz w:val="18"/>
                <w:szCs w:val="18"/>
                <w:highlight w:val="cyan"/>
              </w:rPr>
            </w:pPr>
          </w:p>
        </w:tc>
        <w:tc>
          <w:tcPr>
            <w:tcW w:w="120" w:type="pct"/>
            <w:vAlign w:val="center"/>
          </w:tcPr>
          <w:p>
            <w:pPr>
              <w:spacing w:line="240" w:lineRule="auto"/>
              <w:jc w:val="center"/>
              <w:rPr>
                <w:rFonts w:eastAsia="仿宋_GB2312"/>
                <w:color w:val="000000" w:themeColor="text1"/>
                <w:sz w:val="18"/>
                <w:szCs w:val="18"/>
                <w:highlight w:val="cyan"/>
              </w:rPr>
            </w:pPr>
          </w:p>
        </w:tc>
        <w:tc>
          <w:tcPr>
            <w:tcW w:w="119" w:type="pct"/>
            <w:vAlign w:val="center"/>
          </w:tcPr>
          <w:p>
            <w:pPr>
              <w:spacing w:line="240" w:lineRule="auto"/>
              <w:jc w:val="center"/>
              <w:rPr>
                <w:rFonts w:eastAsia="仿宋_GB2312"/>
                <w:color w:val="000000" w:themeColor="text1"/>
                <w:sz w:val="18"/>
                <w:szCs w:val="18"/>
                <w:highlight w:val="cyan"/>
              </w:rPr>
            </w:pPr>
          </w:p>
        </w:tc>
        <w:tc>
          <w:tcPr>
            <w:tcW w:w="119" w:type="pct"/>
            <w:vAlign w:val="center"/>
          </w:tcPr>
          <w:p>
            <w:pPr>
              <w:spacing w:line="240" w:lineRule="auto"/>
              <w:jc w:val="center"/>
              <w:rPr>
                <w:rFonts w:eastAsia="仿宋_GB2312"/>
                <w:color w:val="000000" w:themeColor="text1"/>
                <w:sz w:val="18"/>
                <w:szCs w:val="18"/>
                <w:highlight w:val="cyan"/>
              </w:rPr>
            </w:pPr>
          </w:p>
        </w:tc>
        <w:tc>
          <w:tcPr>
            <w:tcW w:w="116" w:type="pct"/>
            <w:vAlign w:val="center"/>
          </w:tcPr>
          <w:p>
            <w:pPr>
              <w:spacing w:line="240" w:lineRule="auto"/>
              <w:jc w:val="center"/>
              <w:rPr>
                <w:rFonts w:eastAsia="仿宋_GB2312"/>
                <w:color w:val="000000" w:themeColor="text1"/>
                <w:sz w:val="18"/>
                <w:szCs w:val="18"/>
                <w:highlight w:val="cyan"/>
              </w:rPr>
            </w:pPr>
          </w:p>
        </w:tc>
        <w:tc>
          <w:tcPr>
            <w:tcW w:w="116" w:type="pct"/>
            <w:vAlign w:val="center"/>
          </w:tcPr>
          <w:p>
            <w:pPr>
              <w:spacing w:line="240" w:lineRule="auto"/>
              <w:jc w:val="center"/>
              <w:rPr>
                <w:rFonts w:eastAsia="仿宋_GB2312"/>
                <w:color w:val="000000" w:themeColor="text1"/>
                <w:sz w:val="18"/>
                <w:szCs w:val="18"/>
                <w:highlight w:val="cyan"/>
              </w:rPr>
            </w:pPr>
          </w:p>
        </w:tc>
        <w:tc>
          <w:tcPr>
            <w:tcW w:w="130" w:type="pct"/>
            <w:vAlign w:val="center"/>
          </w:tcPr>
          <w:p>
            <w:pPr>
              <w:spacing w:line="240" w:lineRule="auto"/>
              <w:jc w:val="center"/>
              <w:rPr>
                <w:rFonts w:eastAsia="仿宋_GB2312"/>
                <w:color w:val="000000" w:themeColor="text1"/>
                <w:sz w:val="18"/>
                <w:szCs w:val="18"/>
                <w:highlight w:val="cyan"/>
              </w:rPr>
            </w:pPr>
          </w:p>
        </w:tc>
        <w:tc>
          <w:tcPr>
            <w:tcW w:w="121" w:type="pct"/>
            <w:vAlign w:val="center"/>
          </w:tcPr>
          <w:p>
            <w:pPr>
              <w:spacing w:line="240" w:lineRule="auto"/>
              <w:jc w:val="center"/>
              <w:rPr>
                <w:rFonts w:eastAsia="仿宋_GB2312"/>
                <w:color w:val="000000" w:themeColor="text1"/>
                <w:sz w:val="18"/>
                <w:szCs w:val="18"/>
                <w:highlight w:val="cyan"/>
              </w:rPr>
            </w:pPr>
          </w:p>
        </w:tc>
        <w:tc>
          <w:tcPr>
            <w:tcW w:w="121" w:type="pct"/>
            <w:vAlign w:val="center"/>
          </w:tcPr>
          <w:p>
            <w:pPr>
              <w:spacing w:line="240" w:lineRule="auto"/>
              <w:jc w:val="center"/>
              <w:rPr>
                <w:rFonts w:eastAsia="仿宋_GB2312"/>
                <w:color w:val="000000" w:themeColor="text1"/>
                <w:sz w:val="18"/>
                <w:szCs w:val="18"/>
                <w:highlight w:val="cyan"/>
              </w:rPr>
            </w:pPr>
          </w:p>
        </w:tc>
        <w:tc>
          <w:tcPr>
            <w:tcW w:w="121" w:type="pct"/>
            <w:vAlign w:val="center"/>
          </w:tcPr>
          <w:p>
            <w:pPr>
              <w:spacing w:line="240" w:lineRule="auto"/>
              <w:jc w:val="center"/>
              <w:rPr>
                <w:rFonts w:eastAsia="仿宋_GB2312"/>
                <w:color w:val="000000" w:themeColor="text1"/>
                <w:sz w:val="18"/>
                <w:szCs w:val="18"/>
                <w:highlight w:val="cyan"/>
              </w:rPr>
            </w:pPr>
          </w:p>
        </w:tc>
        <w:tc>
          <w:tcPr>
            <w:tcW w:w="121" w:type="pct"/>
            <w:vAlign w:val="center"/>
          </w:tcPr>
          <w:p>
            <w:pPr>
              <w:spacing w:line="240" w:lineRule="auto"/>
              <w:jc w:val="center"/>
              <w:rPr>
                <w:rFonts w:eastAsia="仿宋_GB2312"/>
                <w:color w:val="000000" w:themeColor="text1"/>
                <w:sz w:val="18"/>
                <w:szCs w:val="18"/>
                <w:highlight w:val="cyan"/>
              </w:rPr>
            </w:pPr>
          </w:p>
        </w:tc>
        <w:tc>
          <w:tcPr>
            <w:tcW w:w="121" w:type="pct"/>
            <w:vAlign w:val="center"/>
          </w:tcPr>
          <w:p>
            <w:pPr>
              <w:spacing w:line="240" w:lineRule="auto"/>
              <w:jc w:val="center"/>
              <w:rPr>
                <w:rFonts w:eastAsia="仿宋_GB2312"/>
                <w:color w:val="000000" w:themeColor="text1"/>
                <w:sz w:val="18"/>
                <w:szCs w:val="18"/>
                <w:highlight w:val="cyan"/>
              </w:rPr>
            </w:pPr>
          </w:p>
        </w:tc>
        <w:tc>
          <w:tcPr>
            <w:tcW w:w="121" w:type="pct"/>
            <w:vAlign w:val="center"/>
          </w:tcPr>
          <w:p>
            <w:pPr>
              <w:spacing w:line="240" w:lineRule="auto"/>
              <w:jc w:val="center"/>
              <w:rPr>
                <w:rFonts w:eastAsia="仿宋_GB2312"/>
                <w:color w:val="000000" w:themeColor="text1"/>
                <w:sz w:val="18"/>
                <w:szCs w:val="18"/>
                <w:highlight w:val="cyan"/>
              </w:rPr>
            </w:pPr>
          </w:p>
        </w:tc>
        <w:tc>
          <w:tcPr>
            <w:tcW w:w="121" w:type="pct"/>
            <w:vAlign w:val="center"/>
          </w:tcPr>
          <w:p>
            <w:pPr>
              <w:spacing w:line="240" w:lineRule="auto"/>
              <w:jc w:val="center"/>
              <w:rPr>
                <w:rFonts w:eastAsia="仿宋_GB2312"/>
                <w:color w:val="000000" w:themeColor="text1"/>
                <w:sz w:val="18"/>
                <w:szCs w:val="18"/>
                <w:highlight w:val="cyan"/>
              </w:rPr>
            </w:pPr>
            <w:r>
              <w:rPr>
                <w:rFonts w:eastAsia="仿宋_GB2312"/>
                <w:color w:val="000000" w:themeColor="text1"/>
                <w:sz w:val="18"/>
                <w:szCs w:val="18"/>
                <w:highlight w:val="cyan"/>
              </w:rPr>
              <w:pict>
                <v:line id="_x0000_s2125" o:spid="_x0000_s2125" o:spt="20" style="position:absolute;left:0pt;margin-left:-5.25pt;margin-top:9.95pt;height:0.05pt;width:33.1pt;z-index:251679744;mso-width-relative:page;mso-height-relative:page;" filled="f" stroked="t" coordsize="21600,21600">
                  <v:path arrowok="t"/>
                  <v:fill on="f" focussize="0,0"/>
                  <v:stroke weight="6pt" color="#000000"/>
                  <v:imagedata o:title=""/>
                  <o:lock v:ext="edit" aspectratio="f"/>
                </v:line>
              </w:pict>
            </w:r>
          </w:p>
        </w:tc>
        <w:tc>
          <w:tcPr>
            <w:tcW w:w="121" w:type="pct"/>
            <w:vAlign w:val="center"/>
          </w:tcPr>
          <w:p>
            <w:pPr>
              <w:spacing w:line="240" w:lineRule="auto"/>
              <w:jc w:val="center"/>
              <w:rPr>
                <w:rFonts w:eastAsia="仿宋_GB2312"/>
                <w:color w:val="000000" w:themeColor="text1"/>
                <w:sz w:val="18"/>
                <w:szCs w:val="18"/>
                <w:highlight w:val="cyan"/>
              </w:rPr>
            </w:pPr>
          </w:p>
        </w:tc>
        <w:tc>
          <w:tcPr>
            <w:tcW w:w="121" w:type="pct"/>
            <w:vAlign w:val="center"/>
          </w:tcPr>
          <w:p>
            <w:pPr>
              <w:spacing w:line="240" w:lineRule="auto"/>
              <w:jc w:val="center"/>
              <w:rPr>
                <w:rFonts w:eastAsia="仿宋_GB2312"/>
                <w:color w:val="000000" w:themeColor="text1"/>
                <w:sz w:val="18"/>
                <w:szCs w:val="18"/>
                <w:highlight w:val="cyan"/>
              </w:rPr>
            </w:pPr>
          </w:p>
        </w:tc>
        <w:tc>
          <w:tcPr>
            <w:tcW w:w="121" w:type="pct"/>
            <w:vAlign w:val="center"/>
          </w:tcPr>
          <w:p>
            <w:pPr>
              <w:spacing w:line="240" w:lineRule="auto"/>
              <w:jc w:val="center"/>
              <w:rPr>
                <w:rFonts w:eastAsia="仿宋_GB2312"/>
                <w:color w:val="000000" w:themeColor="text1"/>
                <w:sz w:val="18"/>
                <w:szCs w:val="18"/>
                <w:highlight w:val="cyan"/>
              </w:rPr>
            </w:pPr>
          </w:p>
        </w:tc>
        <w:tc>
          <w:tcPr>
            <w:tcW w:w="121" w:type="pct"/>
            <w:vAlign w:val="center"/>
          </w:tcPr>
          <w:p>
            <w:pPr>
              <w:spacing w:line="240" w:lineRule="auto"/>
              <w:jc w:val="center"/>
              <w:rPr>
                <w:rFonts w:eastAsia="仿宋_GB2312"/>
                <w:color w:val="000000" w:themeColor="text1"/>
                <w:sz w:val="18"/>
                <w:szCs w:val="18"/>
                <w:highlight w:val="cyan"/>
              </w:rPr>
            </w:pPr>
          </w:p>
        </w:tc>
        <w:tc>
          <w:tcPr>
            <w:tcW w:w="128" w:type="pct"/>
            <w:vAlign w:val="center"/>
          </w:tcPr>
          <w:p>
            <w:pPr>
              <w:spacing w:line="240" w:lineRule="auto"/>
              <w:jc w:val="center"/>
              <w:rPr>
                <w:rFonts w:eastAsia="仿宋_GB2312"/>
                <w:color w:val="000000" w:themeColor="text1"/>
                <w:sz w:val="18"/>
                <w:szCs w:val="18"/>
                <w:highlight w:val="cyan"/>
              </w:rPr>
            </w:pPr>
          </w:p>
        </w:tc>
      </w:tr>
    </w:tbl>
    <w:p>
      <w:pPr>
        <w:rPr>
          <w:color w:val="000000" w:themeColor="text1"/>
          <w:highlight w:val="cyan"/>
        </w:rPr>
      </w:pPr>
    </w:p>
    <w:p>
      <w:pPr>
        <w:jc w:val="center"/>
        <w:rPr>
          <w:color w:val="000000" w:themeColor="text1"/>
        </w:rPr>
        <w:sectPr>
          <w:pgSz w:w="16838" w:h="11906" w:orient="landscape"/>
          <w:pgMar w:top="1797" w:right="1440" w:bottom="1797" w:left="1440" w:header="851" w:footer="992" w:gutter="0"/>
          <w:cols w:space="720" w:num="1"/>
          <w:docGrid w:linePitch="312" w:charSpace="0"/>
        </w:sectPr>
      </w:pPr>
      <w:r>
        <w:rPr>
          <w:rFonts w:eastAsia="仿宋_GB2312"/>
          <w:b/>
          <w:color w:val="000000" w:themeColor="text1"/>
          <w:szCs w:val="24"/>
        </w:rPr>
        <w:t>图2-2       施工进度图</w:t>
      </w:r>
    </w:p>
    <w:p>
      <w:pPr>
        <w:pStyle w:val="4"/>
        <w:spacing w:before="0" w:after="0" w:line="360" w:lineRule="auto"/>
        <w:rPr>
          <w:rFonts w:ascii="Times New Roman" w:hAnsi="Times New Roman" w:eastAsia="仿宋_GB2312"/>
          <w:color w:val="000000" w:themeColor="text1"/>
          <w:sz w:val="28"/>
          <w:szCs w:val="28"/>
        </w:rPr>
      </w:pPr>
      <w:bookmarkStart w:id="30" w:name="_Toc11231"/>
      <w:r>
        <w:rPr>
          <w:rFonts w:ascii="Times New Roman" w:hAnsi="Times New Roman" w:eastAsia="仿宋_GB2312"/>
          <w:color w:val="000000" w:themeColor="text1"/>
          <w:sz w:val="28"/>
          <w:szCs w:val="28"/>
        </w:rPr>
        <w:t>2.7自然概况</w:t>
      </w:r>
      <w:bookmarkEnd w:id="30"/>
    </w:p>
    <w:p>
      <w:pPr>
        <w:spacing w:line="360" w:lineRule="auto"/>
        <w:rPr>
          <w:rFonts w:eastAsia="仿宋_GB2312"/>
          <w:color w:val="000000" w:themeColor="text1"/>
        </w:rPr>
      </w:pPr>
      <w:r>
        <w:rPr>
          <w:rFonts w:eastAsia="仿宋_GB2312"/>
          <w:b/>
          <w:color w:val="000000" w:themeColor="text1"/>
          <w:szCs w:val="24"/>
        </w:rPr>
        <w:t>2.7.1地质</w:t>
      </w:r>
    </w:p>
    <w:p>
      <w:pPr>
        <w:pStyle w:val="54"/>
        <w:ind w:firstLine="480"/>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农安县区域系Ⅰ级构造单元为吉黑褶皱系，Ⅱ级构造单元为松辽中断陷，Ⅲ级构造单元东南隆起，Ⅳ级构造单元为九台--长春隆起的北部。</w:t>
      </w:r>
    </w:p>
    <w:p>
      <w:pPr>
        <w:pStyle w:val="54"/>
        <w:ind w:firstLine="480"/>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区域内距项目区较近处主要分布二条断裂，即长春--四平断裂、伊蘭--伊通岩石圈断裂。长春--四平断裂，位于松辽盆地与张广才隆起之间，总体走向北25°～30°，向南、向北均伸向省外，省内长达360km。根据区域地质构造图上测量，该断裂距场址78km，依兰--伊通岩石圈断裂发育于二龙山水库、伊通、双阳至舒兰一带，省内约260km，东西两支相距约20km～25km，走向北东50°～55°。断裂位于小区位置东，东支与西支断裂距小区位置均大于50km。</w:t>
      </w:r>
    </w:p>
    <w:p>
      <w:pPr>
        <w:pStyle w:val="54"/>
        <w:ind w:firstLine="480"/>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本工程项目区的地层岩性主要由第四系中更新统（Q2 al+pl）粉质粘土、粘土和下伏的白垩系的泥岩组成。第四系覆盖层较薄，地面较平坦。</w:t>
      </w:r>
    </w:p>
    <w:p>
      <w:pPr>
        <w:pStyle w:val="54"/>
        <w:ind w:firstLine="480"/>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根据已有地质资料可知站址区地下水为第四系孔隙潜水，含水层为粉细砂，地下水位埋深在2.00m～3.10m，地下水位变幅为1.00m。粉细砂层中水局部具有微承压性。地下水的补给主要为大气降水和地下径流补给，地下水的排泄主要以人工开采、蒸发和地下径流排泄为主。</w:t>
      </w:r>
    </w:p>
    <w:p>
      <w:pPr>
        <w:pStyle w:val="54"/>
        <w:ind w:firstLine="480"/>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根据已有资料地下水对混凝土结构具有微腐蚀性，对钢筋混凝土结构中钢筋具有微腐蚀性，对钢结构具有微腐蚀性。土对混凝土结构有微腐蚀性，对钢结构有微腐蚀，对混凝土结构中的钢筋有微腐蚀。</w:t>
      </w:r>
    </w:p>
    <w:p>
      <w:pPr>
        <w:spacing w:line="360" w:lineRule="auto"/>
        <w:ind w:firstLine="480" w:firstLineChars="200"/>
        <w:rPr>
          <w:rFonts w:eastAsia="仿宋_GB2312"/>
          <w:color w:val="000000" w:themeColor="text1"/>
          <w:szCs w:val="22"/>
        </w:rPr>
      </w:pPr>
      <w:r>
        <w:rPr>
          <w:rFonts w:eastAsia="仿宋_GB2312"/>
          <w:color w:val="000000" w:themeColor="text1"/>
          <w:szCs w:val="24"/>
        </w:rPr>
        <w:t>根据GB18306-2015《中国地震动参数区划图》，项目区地震基本烈度为Ⅵ度，地震动峰值加速度0.05g，地震动反应谱特征周期0.35s。根据《建筑抗震设计规范》（GB50011-2001）判定项目区位于抗震有利地段</w:t>
      </w:r>
      <w:r>
        <w:rPr>
          <w:rFonts w:eastAsia="仿宋_GB2312"/>
          <w:color w:val="000000" w:themeColor="text1"/>
          <w:szCs w:val="22"/>
        </w:rPr>
        <w:t>。</w:t>
      </w:r>
    </w:p>
    <w:p>
      <w:pPr>
        <w:spacing w:line="360" w:lineRule="auto"/>
        <w:rPr>
          <w:rFonts w:eastAsia="仿宋_GB2312"/>
          <w:b/>
          <w:bCs/>
          <w:color w:val="000000" w:themeColor="text1"/>
          <w:szCs w:val="24"/>
        </w:rPr>
      </w:pPr>
      <w:r>
        <w:rPr>
          <w:rFonts w:eastAsia="仿宋_GB2312"/>
          <w:b/>
          <w:bCs/>
          <w:color w:val="000000" w:themeColor="text1"/>
          <w:szCs w:val="24"/>
        </w:rPr>
        <w:t>2.7.2地貌</w:t>
      </w:r>
    </w:p>
    <w:p>
      <w:pPr>
        <w:pStyle w:val="54"/>
        <w:ind w:firstLine="480"/>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农安县位于吉林省中部，地处松辽平原腹地，地势总体上是西高东低，最高点位于西部与长岭县交界处的马鞍山，海拔高程274.5m，最低点位于东北角伊通河汇入松花江处，海拔高程142m，相对高差132.5m。</w:t>
      </w:r>
    </w:p>
    <w:p>
      <w:pPr>
        <w:pStyle w:val="54"/>
        <w:ind w:firstLine="480"/>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农安县地貌按形态侵蚀堆积地貌有台地、阶地漫滩，湖泊平原。</w:t>
      </w:r>
    </w:p>
    <w:p>
      <w:pPr>
        <w:pStyle w:val="54"/>
        <w:ind w:firstLine="480"/>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a）台地有高台地与台地之分，俗称岗地。高台地主要分布于西部和西北部，海拔高程在250m以上，最高达274.5m。地面多由下更新统红色砂砾组成，砂砾胶结较紧，上覆薄层细土。台地分布较广，主要由厚层黄土状土组成，还有亚砂土和粉砂。海拔高程一般在</w:t>
      </w:r>
      <w:r>
        <w:rPr>
          <w:rFonts w:hint="eastAsia" w:ascii="Times New Roman" w:hAnsi="Times New Roman" w:eastAsia="仿宋_GB2312" w:cs="Times New Roman"/>
          <w:color w:val="000000" w:themeColor="text1"/>
          <w:sz w:val="24"/>
          <w:szCs w:val="24"/>
        </w:rPr>
        <w:t>178</w:t>
      </w:r>
      <w:r>
        <w:rPr>
          <w:rFonts w:ascii="Times New Roman" w:hAnsi="Times New Roman" w:eastAsia="仿宋_GB2312" w:cs="Times New Roman"/>
          <w:color w:val="000000" w:themeColor="text1"/>
          <w:sz w:val="24"/>
          <w:szCs w:val="24"/>
        </w:rPr>
        <w:t>~2</w:t>
      </w:r>
      <w:r>
        <w:rPr>
          <w:rFonts w:hint="eastAsia" w:ascii="Times New Roman" w:hAnsi="Times New Roman" w:eastAsia="仿宋_GB2312" w:cs="Times New Roman"/>
          <w:color w:val="000000" w:themeColor="text1"/>
          <w:sz w:val="24"/>
          <w:szCs w:val="24"/>
        </w:rPr>
        <w:t>2</w:t>
      </w:r>
      <w:r>
        <w:rPr>
          <w:rFonts w:ascii="Times New Roman" w:hAnsi="Times New Roman" w:eastAsia="仿宋_GB2312" w:cs="Times New Roman"/>
          <w:color w:val="000000" w:themeColor="text1"/>
          <w:sz w:val="24"/>
          <w:szCs w:val="24"/>
        </w:rPr>
        <w:t>0m。高台地与台地的斜坡多为1~5º的平缓斜坡，大于5º的坡地集中分布于北部沿江和西部沿湖陡砍。台地与高台地顶面平坦，但由于河流与沟谷切割，多有不同程度的起伏。</w:t>
      </w:r>
    </w:p>
    <w:p>
      <w:pPr>
        <w:pStyle w:val="54"/>
        <w:ind w:firstLine="480"/>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b）阶地漫滩河漫滩分布于松花江、伊通河、新开河两岸，面积较广。松花江与伊通河沿岸河漫滩由砂砾石组成。一级阶地相对高度10m左右，分布不广，主要见于伊通河谷和新开河谷，阶地面比较平坦，地表由黑色或黑灰色亚粘土、亚粘土组成。</w:t>
      </w:r>
    </w:p>
    <w:p>
      <w:pPr>
        <w:spacing w:line="360" w:lineRule="auto"/>
        <w:ind w:firstLine="480" w:firstLineChars="200"/>
        <w:jc w:val="both"/>
        <w:rPr>
          <w:rFonts w:eastAsia="仿宋_GB2312"/>
          <w:color w:val="000000" w:themeColor="text1"/>
          <w:szCs w:val="24"/>
        </w:rPr>
      </w:pPr>
      <w:r>
        <w:rPr>
          <w:rFonts w:eastAsia="仿宋_GB2312"/>
          <w:color w:val="000000" w:themeColor="text1"/>
          <w:szCs w:val="24"/>
        </w:rPr>
        <w:t>c）湖泊平原、沼泽地湖积平原、沼泽地分布于几个大型湖泡的周围，地面平坦，主要由灰黑色淤泥组成。个别湖积平原的周围有狭长的湖积阶地，由亚砂土或亚粘土组成。工程建设区原地面高程</w:t>
      </w:r>
      <w:r>
        <w:rPr>
          <w:rFonts w:hint="eastAsia" w:eastAsia="仿宋_GB2312"/>
          <w:color w:val="000000" w:themeColor="text1"/>
          <w:szCs w:val="24"/>
        </w:rPr>
        <w:t>1</w:t>
      </w:r>
      <w:r>
        <w:rPr>
          <w:rFonts w:hint="eastAsia" w:eastAsia="仿宋_GB2312"/>
          <w:color w:val="000000" w:themeColor="text1"/>
          <w:szCs w:val="24"/>
          <w:lang w:val="en-US" w:eastAsia="zh-CN"/>
        </w:rPr>
        <w:t>98.20</w:t>
      </w:r>
      <w:r>
        <w:rPr>
          <w:rFonts w:eastAsia="仿宋_GB2312"/>
          <w:color w:val="000000" w:themeColor="text1"/>
          <w:szCs w:val="24"/>
        </w:rPr>
        <w:t>m~</w:t>
      </w:r>
      <w:r>
        <w:rPr>
          <w:rFonts w:hint="eastAsia" w:eastAsia="仿宋_GB2312"/>
          <w:color w:val="000000" w:themeColor="text1"/>
          <w:szCs w:val="24"/>
        </w:rPr>
        <w:t>1</w:t>
      </w:r>
      <w:r>
        <w:rPr>
          <w:rFonts w:hint="eastAsia" w:eastAsia="仿宋_GB2312"/>
          <w:color w:val="000000" w:themeColor="text1"/>
          <w:szCs w:val="24"/>
          <w:lang w:val="en-US" w:eastAsia="zh-CN"/>
        </w:rPr>
        <w:t>99.24m</w:t>
      </w:r>
      <w:r>
        <w:rPr>
          <w:rFonts w:eastAsia="仿宋_GB2312"/>
          <w:color w:val="000000" w:themeColor="text1"/>
          <w:szCs w:val="24"/>
        </w:rPr>
        <w:t>，地势平坦。</w:t>
      </w:r>
    </w:p>
    <w:p>
      <w:pPr>
        <w:spacing w:line="360" w:lineRule="auto"/>
        <w:jc w:val="both"/>
        <w:rPr>
          <w:rFonts w:eastAsia="仿宋_GB2312"/>
          <w:b/>
          <w:color w:val="000000" w:themeColor="text1"/>
          <w:szCs w:val="24"/>
        </w:rPr>
      </w:pPr>
      <w:r>
        <w:rPr>
          <w:rFonts w:eastAsia="仿宋_GB2312"/>
          <w:b/>
          <w:color w:val="000000" w:themeColor="text1"/>
          <w:szCs w:val="24"/>
        </w:rPr>
        <w:t>2.7.3气象</w:t>
      </w:r>
    </w:p>
    <w:p>
      <w:pPr>
        <w:spacing w:line="360" w:lineRule="auto"/>
        <w:ind w:firstLine="480" w:firstLineChars="200"/>
        <w:jc w:val="both"/>
        <w:rPr>
          <w:rFonts w:eastAsia="仿宋_GB2312"/>
          <w:b/>
          <w:bCs/>
          <w:color w:val="000000" w:themeColor="text1"/>
          <w:szCs w:val="24"/>
        </w:rPr>
      </w:pPr>
      <w:r>
        <w:rPr>
          <w:rFonts w:eastAsia="仿宋_GB2312"/>
          <w:color w:val="000000" w:themeColor="text1"/>
          <w:szCs w:val="24"/>
        </w:rPr>
        <w:t>农安县气候类型属温带季风气候类型。气候特点为：全年温度变化显著，四季分明；冬季严寒漫长，春季干旱多风，夏季温暖短促，秋季晴朗温差大。该项工程项目区年平均气温4.7℃，年降水量516.9mm，降水量年内分配不均衡，主要集中在6～8月份；各季主导风向均为西南风，平均风速3.2m/s，大风日数16天，≥10℃积温2880℃，最大冻土深1.90m，年日照时数2620h，年平均蒸发量1501mm，无霜期143天。气象要素见表2-7。</w:t>
      </w:r>
    </w:p>
    <w:p>
      <w:pPr>
        <w:jc w:val="center"/>
        <w:rPr>
          <w:rFonts w:eastAsia="仿宋_GB2312"/>
          <w:b/>
          <w:bCs/>
          <w:color w:val="000000" w:themeColor="text1"/>
          <w:sz w:val="18"/>
          <w:szCs w:val="18"/>
        </w:rPr>
      </w:pPr>
      <w:r>
        <w:rPr>
          <w:rFonts w:eastAsia="仿宋_GB2312"/>
          <w:b/>
          <w:bCs/>
          <w:color w:val="000000" w:themeColor="text1"/>
          <w:szCs w:val="24"/>
        </w:rPr>
        <w:t>表2-7    主要水文气象特征指标</w:t>
      </w:r>
      <w:r>
        <w:rPr>
          <w:rFonts w:eastAsia="仿宋_GB2312"/>
          <w:b/>
          <w:bCs/>
          <w:color w:val="000000" w:themeColor="text1"/>
          <w:sz w:val="18"/>
          <w:szCs w:val="18"/>
        </w:rPr>
        <w:t>（来源为农安县气象台1989-2018年的统计资料）</w:t>
      </w:r>
    </w:p>
    <w:tbl>
      <w:tblPr>
        <w:tblStyle w:val="23"/>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4108"/>
        <w:gridCol w:w="2045"/>
        <w:gridCol w:w="2368"/>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8"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气象要素名称</w:t>
            </w:r>
          </w:p>
        </w:tc>
        <w:tc>
          <w:tcPr>
            <w:tcW w:w="2045"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单位</w:t>
            </w:r>
          </w:p>
        </w:tc>
        <w:tc>
          <w:tcPr>
            <w:tcW w:w="2368"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数值</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8"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极端最高气温</w:t>
            </w:r>
          </w:p>
        </w:tc>
        <w:tc>
          <w:tcPr>
            <w:tcW w:w="2045"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w:t>
            </w:r>
          </w:p>
        </w:tc>
        <w:tc>
          <w:tcPr>
            <w:tcW w:w="2368"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38.0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8"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极端最低气温</w:t>
            </w:r>
          </w:p>
        </w:tc>
        <w:tc>
          <w:tcPr>
            <w:tcW w:w="2045"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w:t>
            </w:r>
          </w:p>
        </w:tc>
        <w:tc>
          <w:tcPr>
            <w:tcW w:w="2368"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-36.5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8"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年平均气温</w:t>
            </w:r>
          </w:p>
        </w:tc>
        <w:tc>
          <w:tcPr>
            <w:tcW w:w="2045"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w:t>
            </w:r>
          </w:p>
        </w:tc>
        <w:tc>
          <w:tcPr>
            <w:tcW w:w="2368"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4.7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8"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无霜期</w:t>
            </w:r>
          </w:p>
        </w:tc>
        <w:tc>
          <w:tcPr>
            <w:tcW w:w="2045"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d</w:t>
            </w:r>
          </w:p>
        </w:tc>
        <w:tc>
          <w:tcPr>
            <w:tcW w:w="2368"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143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8"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年降水量</w:t>
            </w:r>
          </w:p>
        </w:tc>
        <w:tc>
          <w:tcPr>
            <w:tcW w:w="2045"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mm</w:t>
            </w:r>
          </w:p>
        </w:tc>
        <w:tc>
          <w:tcPr>
            <w:tcW w:w="2368"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516.90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8"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1小时最大降雨量</w:t>
            </w:r>
          </w:p>
        </w:tc>
        <w:tc>
          <w:tcPr>
            <w:tcW w:w="2045"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mm</w:t>
            </w:r>
          </w:p>
        </w:tc>
        <w:tc>
          <w:tcPr>
            <w:tcW w:w="2368"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63.20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8"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十年一遇24小时降水量</w:t>
            </w:r>
          </w:p>
        </w:tc>
        <w:tc>
          <w:tcPr>
            <w:tcW w:w="2045"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mm</w:t>
            </w:r>
          </w:p>
        </w:tc>
        <w:tc>
          <w:tcPr>
            <w:tcW w:w="2368"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118.36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8"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二十年一遇24小时降水量</w:t>
            </w:r>
          </w:p>
        </w:tc>
        <w:tc>
          <w:tcPr>
            <w:tcW w:w="2045"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mm</w:t>
            </w:r>
          </w:p>
        </w:tc>
        <w:tc>
          <w:tcPr>
            <w:tcW w:w="2368"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141.89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8"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最大冻土深度</w:t>
            </w:r>
          </w:p>
        </w:tc>
        <w:tc>
          <w:tcPr>
            <w:tcW w:w="2045"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m</w:t>
            </w:r>
          </w:p>
        </w:tc>
        <w:tc>
          <w:tcPr>
            <w:tcW w:w="2368"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1.90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8"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最大积雪深度</w:t>
            </w:r>
          </w:p>
        </w:tc>
        <w:tc>
          <w:tcPr>
            <w:tcW w:w="2045"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m</w:t>
            </w:r>
          </w:p>
        </w:tc>
        <w:tc>
          <w:tcPr>
            <w:tcW w:w="2368"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0.39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8"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平均风速</w:t>
            </w:r>
          </w:p>
        </w:tc>
        <w:tc>
          <w:tcPr>
            <w:tcW w:w="2045"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m/s</w:t>
            </w:r>
          </w:p>
        </w:tc>
        <w:tc>
          <w:tcPr>
            <w:tcW w:w="2368"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3.20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8"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≥10℃积温</w:t>
            </w:r>
          </w:p>
        </w:tc>
        <w:tc>
          <w:tcPr>
            <w:tcW w:w="2045"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w:t>
            </w:r>
          </w:p>
        </w:tc>
        <w:tc>
          <w:tcPr>
            <w:tcW w:w="2368"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2880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8"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日照时数</w:t>
            </w:r>
          </w:p>
        </w:tc>
        <w:tc>
          <w:tcPr>
            <w:tcW w:w="2045"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h</w:t>
            </w:r>
          </w:p>
        </w:tc>
        <w:tc>
          <w:tcPr>
            <w:tcW w:w="2368"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2620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8"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年平均蒸发量</w:t>
            </w:r>
          </w:p>
        </w:tc>
        <w:tc>
          <w:tcPr>
            <w:tcW w:w="2045"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mm</w:t>
            </w:r>
          </w:p>
        </w:tc>
        <w:tc>
          <w:tcPr>
            <w:tcW w:w="2368"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1501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08"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大风日数</w:t>
            </w:r>
          </w:p>
        </w:tc>
        <w:tc>
          <w:tcPr>
            <w:tcW w:w="2045"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d（≥8级）</w:t>
            </w:r>
          </w:p>
        </w:tc>
        <w:tc>
          <w:tcPr>
            <w:tcW w:w="2368" w:type="dxa"/>
            <w:tcBorders>
              <w:tl2br w:val="nil"/>
              <w:tr2bl w:val="nil"/>
            </w:tcBorders>
            <w:vAlign w:val="center"/>
          </w:tcPr>
          <w:p>
            <w:pPr>
              <w:widowControl/>
              <w:snapToGrid w:val="0"/>
              <w:spacing w:line="240" w:lineRule="auto"/>
              <w:jc w:val="center"/>
              <w:rPr>
                <w:rFonts w:eastAsia="仿宋_GB2312"/>
                <w:color w:val="000000" w:themeColor="text1"/>
                <w:sz w:val="21"/>
                <w:szCs w:val="21"/>
              </w:rPr>
            </w:pPr>
            <w:r>
              <w:rPr>
                <w:rFonts w:eastAsia="仿宋_GB2312"/>
                <w:color w:val="000000" w:themeColor="text1"/>
                <w:sz w:val="21"/>
                <w:szCs w:val="21"/>
              </w:rPr>
              <w:t>16</w:t>
            </w:r>
          </w:p>
        </w:tc>
      </w:tr>
    </w:tbl>
    <w:p>
      <w:pPr>
        <w:spacing w:line="360" w:lineRule="auto"/>
        <w:jc w:val="both"/>
        <w:rPr>
          <w:rFonts w:eastAsia="仿宋_GB2312"/>
          <w:b/>
          <w:color w:val="000000" w:themeColor="text1"/>
          <w:szCs w:val="24"/>
        </w:rPr>
      </w:pPr>
      <w:r>
        <w:rPr>
          <w:rFonts w:eastAsia="仿宋_GB2312"/>
          <w:b/>
          <w:color w:val="000000" w:themeColor="text1"/>
          <w:szCs w:val="24"/>
        </w:rPr>
        <w:t>2.7.4水文</w:t>
      </w:r>
    </w:p>
    <w:p>
      <w:pPr>
        <w:snapToGrid w:val="0"/>
        <w:spacing w:line="360" w:lineRule="auto"/>
        <w:ind w:firstLine="480" w:firstLineChars="200"/>
        <w:rPr>
          <w:rFonts w:eastAsia="仿宋_GB2312"/>
          <w:color w:val="000000" w:themeColor="text1"/>
        </w:rPr>
      </w:pPr>
      <w:r>
        <w:rPr>
          <w:rFonts w:eastAsia="仿宋_GB2312"/>
          <w:color w:val="000000" w:themeColor="text1"/>
        </w:rPr>
        <w:t>农安县境内的地表水主要有松花江、饮马河、伊通河、新开河、翁克河，还有波罗泡、敖宝吐、元宝洼、莫波、广兴店自然泡塘。</w:t>
      </w:r>
    </w:p>
    <w:p>
      <w:pPr>
        <w:snapToGrid w:val="0"/>
        <w:spacing w:line="360" w:lineRule="auto"/>
        <w:ind w:firstLine="480" w:firstLineChars="200"/>
        <w:rPr>
          <w:rFonts w:eastAsia="仿宋_GB2312"/>
          <w:color w:val="000000" w:themeColor="text1"/>
        </w:rPr>
      </w:pPr>
      <w:r>
        <w:rPr>
          <w:rFonts w:eastAsia="仿宋_GB2312"/>
          <w:color w:val="000000" w:themeColor="text1"/>
        </w:rPr>
        <w:t>项目区附近主要河流为伊通河，伊通河是松花江上游段最大支流饮马河的支流，属二级河流。该河全长382.5km，流域面积8499km</w:t>
      </w:r>
      <w:r>
        <w:rPr>
          <w:rFonts w:eastAsia="仿宋_GB2312"/>
          <w:color w:val="000000" w:themeColor="text1"/>
          <w:vertAlign w:val="superscript"/>
        </w:rPr>
        <w:t>2</w:t>
      </w:r>
      <w:r>
        <w:rPr>
          <w:rFonts w:eastAsia="仿宋_GB2312"/>
          <w:color w:val="000000" w:themeColor="text1"/>
        </w:rPr>
        <w:t>，流经长春市区河长286.90km，流域面积6508km</w:t>
      </w:r>
      <w:r>
        <w:rPr>
          <w:rFonts w:eastAsia="仿宋_GB2312"/>
          <w:color w:val="000000" w:themeColor="text1"/>
          <w:vertAlign w:val="superscript"/>
        </w:rPr>
        <w:t>2</w:t>
      </w:r>
      <w:r>
        <w:rPr>
          <w:rFonts w:eastAsia="仿宋_GB2312"/>
          <w:color w:val="000000" w:themeColor="text1"/>
        </w:rPr>
        <w:t>。径流深为0.15m-1.00m，年平均最大流量8.76m</w:t>
      </w:r>
      <w:r>
        <w:rPr>
          <w:rFonts w:eastAsia="仿宋_GB2312"/>
          <w:color w:val="000000" w:themeColor="text1"/>
          <w:vertAlign w:val="superscript"/>
        </w:rPr>
        <w:t>3</w:t>
      </w:r>
      <w:r>
        <w:rPr>
          <w:rFonts w:eastAsia="仿宋_GB2312"/>
          <w:color w:val="000000" w:themeColor="text1"/>
        </w:rPr>
        <w:t>/s，最枯流量为0.24m</w:t>
      </w:r>
      <w:r>
        <w:rPr>
          <w:rFonts w:eastAsia="仿宋_GB2312"/>
          <w:color w:val="000000" w:themeColor="text1"/>
          <w:vertAlign w:val="superscript"/>
        </w:rPr>
        <w:t>3</w:t>
      </w:r>
      <w:r>
        <w:rPr>
          <w:rFonts w:eastAsia="仿宋_GB2312"/>
          <w:color w:val="000000" w:themeColor="text1"/>
        </w:rPr>
        <w:t>/s，年平均流量11.7m</w:t>
      </w:r>
      <w:r>
        <w:rPr>
          <w:rFonts w:eastAsia="仿宋_GB2312"/>
          <w:color w:val="000000" w:themeColor="text1"/>
          <w:vertAlign w:val="superscript"/>
        </w:rPr>
        <w:t>3</w:t>
      </w:r>
      <w:r>
        <w:rPr>
          <w:rFonts w:eastAsia="仿宋_GB2312"/>
          <w:color w:val="000000" w:themeColor="text1"/>
        </w:rPr>
        <w:t>/s，枯水期平均流量2.67m</w:t>
      </w:r>
      <w:r>
        <w:rPr>
          <w:rFonts w:eastAsia="仿宋_GB2312"/>
          <w:color w:val="000000" w:themeColor="text1"/>
          <w:vertAlign w:val="superscript"/>
        </w:rPr>
        <w:t>3</w:t>
      </w:r>
      <w:r>
        <w:rPr>
          <w:rFonts w:eastAsia="仿宋_GB2312"/>
          <w:color w:val="000000" w:themeColor="text1"/>
        </w:rPr>
        <w:t>/s。河道坡降0.24‰，河床宽度5m-30m，河流弯曲系数0.05。</w:t>
      </w:r>
    </w:p>
    <w:p>
      <w:pPr>
        <w:spacing w:line="360" w:lineRule="auto"/>
        <w:jc w:val="both"/>
        <w:rPr>
          <w:rFonts w:eastAsia="仿宋_GB2312"/>
          <w:b/>
          <w:color w:val="000000" w:themeColor="text1"/>
          <w:szCs w:val="24"/>
        </w:rPr>
      </w:pPr>
      <w:r>
        <w:rPr>
          <w:rFonts w:eastAsia="仿宋_GB2312"/>
          <w:b/>
          <w:color w:val="000000" w:themeColor="text1"/>
          <w:szCs w:val="24"/>
        </w:rPr>
        <w:t>2.7.5土壤</w:t>
      </w:r>
    </w:p>
    <w:p>
      <w:pPr>
        <w:spacing w:line="360" w:lineRule="auto"/>
        <w:ind w:firstLine="480" w:firstLineChars="200"/>
        <w:jc w:val="both"/>
        <w:rPr>
          <w:rFonts w:eastAsia="仿宋_GB2312"/>
          <w:color w:val="000000" w:themeColor="text1"/>
          <w:szCs w:val="24"/>
        </w:rPr>
      </w:pPr>
      <w:r>
        <w:rPr>
          <w:rFonts w:eastAsia="仿宋_GB2312"/>
          <w:color w:val="000000" w:themeColor="text1"/>
          <w:szCs w:val="24"/>
        </w:rPr>
        <w:t>农安县土壤共分10个土类、20个亚类，50个土属和111个土种，地带性土壤为黑土、黑钙土。地方性土壤有草甸土、冲积土、盐碱土、沼泽土、风沙土。</w:t>
      </w:r>
      <w:r>
        <w:rPr>
          <w:rFonts w:eastAsia="仿宋_GB2312"/>
          <w:color w:val="000000" w:themeColor="text1"/>
        </w:rPr>
        <w:t>本项目用地范围为政府拆迁后净地，地表由杂填土覆盖</w:t>
      </w:r>
      <w:r>
        <w:rPr>
          <w:rFonts w:eastAsia="仿宋_GB2312"/>
          <w:color w:val="000000" w:themeColor="text1"/>
          <w:szCs w:val="24"/>
        </w:rPr>
        <w:t>，不具备表土剥离条件。</w:t>
      </w:r>
    </w:p>
    <w:p>
      <w:pPr>
        <w:spacing w:line="360" w:lineRule="auto"/>
        <w:jc w:val="both"/>
        <w:rPr>
          <w:rFonts w:eastAsia="仿宋_GB2312"/>
          <w:b/>
          <w:color w:val="000000" w:themeColor="text1"/>
          <w:szCs w:val="24"/>
        </w:rPr>
      </w:pPr>
      <w:r>
        <w:rPr>
          <w:rFonts w:eastAsia="仿宋_GB2312"/>
          <w:b/>
          <w:color w:val="000000" w:themeColor="text1"/>
          <w:szCs w:val="24"/>
        </w:rPr>
        <w:t>2.7.6植被</w:t>
      </w:r>
      <w:r>
        <w:rPr>
          <w:rFonts w:hint="eastAsia" w:eastAsia="仿宋_GB2312"/>
          <w:b/>
          <w:color w:val="000000" w:themeColor="text1"/>
          <w:szCs w:val="24"/>
        </w:rPr>
        <w:t>类型</w:t>
      </w:r>
    </w:p>
    <w:p>
      <w:pPr>
        <w:spacing w:line="360" w:lineRule="auto"/>
        <w:ind w:firstLine="480" w:firstLineChars="200"/>
        <w:jc w:val="both"/>
        <w:rPr>
          <w:rFonts w:eastAsia="仿宋_GB2312"/>
          <w:b/>
          <w:color w:val="000000" w:themeColor="text1"/>
          <w:szCs w:val="24"/>
        </w:rPr>
      </w:pPr>
      <w:r>
        <w:rPr>
          <w:rFonts w:hint="eastAsia" w:eastAsia="仿宋_GB2312"/>
          <w:color w:val="000000" w:themeColor="text1"/>
          <w:szCs w:val="24"/>
        </w:rPr>
        <w:t>长春市农安县</w:t>
      </w:r>
      <w:r>
        <w:rPr>
          <w:rFonts w:eastAsia="仿宋_GB2312"/>
          <w:color w:val="000000" w:themeColor="text1"/>
          <w:szCs w:val="24"/>
        </w:rPr>
        <w:t>全县现有林地面积97.4万亩，拥有活立木蓄积387万立方米，生态草面积为8万亩，湿地总面积137万亩，农田防护林网格14689个，森林覆盖率12.7%</w:t>
      </w:r>
      <w:r>
        <w:rPr>
          <w:rFonts w:eastAsia="仿宋_GB2312"/>
          <w:color w:val="000000" w:themeColor="text1"/>
        </w:rPr>
        <w:t>；本项目用地范围为政府拆迁后净地，地表物质组成为杂填土</w:t>
      </w:r>
      <w:r>
        <w:rPr>
          <w:rFonts w:eastAsia="仿宋_GB2312"/>
          <w:color w:val="000000" w:themeColor="text1"/>
          <w:szCs w:val="24"/>
        </w:rPr>
        <w:t>，项目占地范围内</w:t>
      </w:r>
      <w:r>
        <w:rPr>
          <w:rFonts w:eastAsia="仿宋_GB2312"/>
          <w:color w:val="000000" w:themeColor="text1"/>
        </w:rPr>
        <w:t>无植被覆盖</w:t>
      </w:r>
      <w:r>
        <w:rPr>
          <w:rFonts w:eastAsia="仿宋_GB2312"/>
          <w:bCs/>
          <w:iCs/>
          <w:color w:val="000000" w:themeColor="text1"/>
          <w:szCs w:val="24"/>
        </w:rPr>
        <w:t>。</w:t>
      </w:r>
    </w:p>
    <w:p>
      <w:pPr>
        <w:spacing w:line="360" w:lineRule="auto"/>
        <w:jc w:val="both"/>
        <w:rPr>
          <w:rFonts w:eastAsia="仿宋_GB2312"/>
          <w:b/>
          <w:color w:val="000000" w:themeColor="text1"/>
          <w:szCs w:val="24"/>
        </w:rPr>
      </w:pPr>
      <w:r>
        <w:rPr>
          <w:rFonts w:eastAsia="仿宋_GB2312"/>
          <w:b/>
          <w:color w:val="000000" w:themeColor="text1"/>
          <w:szCs w:val="24"/>
        </w:rPr>
        <w:t>2.7.7水土保持敏感区</w:t>
      </w:r>
    </w:p>
    <w:p>
      <w:pPr>
        <w:spacing w:line="360" w:lineRule="auto"/>
        <w:ind w:firstLine="480" w:firstLineChars="200"/>
        <w:jc w:val="both"/>
        <w:rPr>
          <w:rFonts w:eastAsia="仿宋_GB2312"/>
          <w:color w:val="000000" w:themeColor="text1"/>
        </w:rPr>
        <w:sectPr>
          <w:pgSz w:w="11906" w:h="16838"/>
          <w:pgMar w:top="1440" w:right="1797" w:bottom="1440" w:left="1797" w:header="851" w:footer="992" w:gutter="0"/>
          <w:cols w:space="720" w:num="1"/>
          <w:docGrid w:linePitch="312" w:charSpace="0"/>
        </w:sectPr>
      </w:pPr>
      <w:r>
        <w:rPr>
          <w:rFonts w:eastAsia="仿宋_GB2312"/>
          <w:color w:val="000000" w:themeColor="text1"/>
        </w:rPr>
        <w:t>农安县植被主要为草甸草原植被，分布在波罗湖等泡塘周边。在碱斑周围有碱蓬菜、灰绿黎、腺独行菜。近水域地带有三棱草、水椑草。泡塘浅水处有香蒲、芦苇等。西北台地区分布以针茅和隐子草为主的草原，木本植物多为人工林，以杨柳为主。沿江河谷地可见灌丛。林草覆盖率约18%；本项目用地范围为政府拆迁后净地，地表由杂填土覆盖</w:t>
      </w:r>
      <w:r>
        <w:rPr>
          <w:rFonts w:eastAsia="仿宋_GB2312"/>
          <w:color w:val="000000" w:themeColor="text1"/>
          <w:szCs w:val="24"/>
        </w:rPr>
        <w:t>，项目占地范围内</w:t>
      </w:r>
      <w:r>
        <w:rPr>
          <w:rFonts w:eastAsia="仿宋_GB2312"/>
          <w:color w:val="000000" w:themeColor="text1"/>
        </w:rPr>
        <w:t>无植被覆盖</w:t>
      </w:r>
      <w:r>
        <w:rPr>
          <w:rFonts w:eastAsia="仿宋_GB2312"/>
          <w:snapToGrid w:val="0"/>
          <w:color w:val="000000" w:themeColor="text1"/>
        </w:rPr>
        <w:t>。</w:t>
      </w:r>
    </w:p>
    <w:p>
      <w:pPr>
        <w:pStyle w:val="3"/>
        <w:spacing w:before="0" w:after="0" w:line="360" w:lineRule="auto"/>
        <w:rPr>
          <w:rFonts w:eastAsia="仿宋_GB2312"/>
          <w:color w:val="000000" w:themeColor="text1"/>
          <w:sz w:val="28"/>
          <w:szCs w:val="28"/>
        </w:rPr>
      </w:pPr>
      <w:bookmarkStart w:id="31" w:name="_Toc21778"/>
      <w:r>
        <w:rPr>
          <w:rFonts w:eastAsia="仿宋_GB2312"/>
          <w:color w:val="000000" w:themeColor="text1"/>
          <w:sz w:val="28"/>
          <w:szCs w:val="28"/>
        </w:rPr>
        <w:t>3.项目水土保持评价</w:t>
      </w:r>
      <w:bookmarkEnd w:id="31"/>
    </w:p>
    <w:p>
      <w:pPr>
        <w:pStyle w:val="4"/>
        <w:spacing w:before="0" w:after="0" w:line="360" w:lineRule="auto"/>
        <w:rPr>
          <w:rFonts w:ascii="Times New Roman" w:hAnsi="Times New Roman" w:eastAsia="仿宋_GB2312"/>
          <w:color w:val="000000" w:themeColor="text1"/>
          <w:sz w:val="28"/>
          <w:szCs w:val="28"/>
        </w:rPr>
      </w:pPr>
      <w:bookmarkStart w:id="32" w:name="_Toc25202"/>
      <w:r>
        <w:rPr>
          <w:rFonts w:ascii="Times New Roman" w:hAnsi="Times New Roman" w:eastAsia="仿宋_GB2312"/>
          <w:color w:val="000000" w:themeColor="text1"/>
          <w:sz w:val="28"/>
          <w:szCs w:val="28"/>
        </w:rPr>
        <w:t>3.1主体工程选址水土保持评价</w:t>
      </w:r>
      <w:bookmarkEnd w:id="32"/>
    </w:p>
    <w:p>
      <w:pPr>
        <w:pStyle w:val="54"/>
        <w:ind w:firstLine="480"/>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根据《中华人民共和国水土保持法》、《生产建设项目水土保持技术标准》（GB50433-2018）和相关规范性文件关于水土保持限制和约束性规定进行主体工程选址水土保持评价，评价结果见表3-1。</w:t>
      </w:r>
    </w:p>
    <w:p>
      <w:pPr>
        <w:jc w:val="center"/>
        <w:rPr>
          <w:rFonts w:eastAsia="仿宋_GB2312"/>
          <w:b/>
          <w:bCs/>
          <w:color w:val="000000" w:themeColor="text1"/>
        </w:rPr>
      </w:pPr>
      <w:r>
        <w:rPr>
          <w:rFonts w:eastAsia="仿宋_GB2312"/>
          <w:b/>
          <w:bCs/>
          <w:color w:val="000000" w:themeColor="text1"/>
        </w:rPr>
        <w:t>表3-1  主体工程选址制约性因素对照分析表</w:t>
      </w:r>
    </w:p>
    <w:tbl>
      <w:tblPr>
        <w:tblStyle w:val="23"/>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697"/>
        <w:gridCol w:w="3194"/>
        <w:gridCol w:w="3743"/>
        <w:gridCol w:w="99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7" w:type="dxa"/>
            <w:tcBorders>
              <w:tl2br w:val="nil"/>
              <w:tr2bl w:val="nil"/>
            </w:tcBorders>
            <w:vAlign w:val="center"/>
          </w:tcPr>
          <w:p>
            <w:pPr>
              <w:snapToGrid w:val="0"/>
              <w:spacing w:line="240" w:lineRule="auto"/>
              <w:jc w:val="center"/>
              <w:rPr>
                <w:rFonts w:eastAsia="仿宋_GB2312"/>
                <w:bCs/>
                <w:color w:val="000000" w:themeColor="text1"/>
                <w:sz w:val="21"/>
                <w:szCs w:val="21"/>
              </w:rPr>
            </w:pPr>
            <w:r>
              <w:rPr>
                <w:rFonts w:eastAsia="仿宋_GB2312"/>
                <w:bCs/>
                <w:color w:val="000000" w:themeColor="text1"/>
                <w:sz w:val="21"/>
                <w:szCs w:val="21"/>
              </w:rPr>
              <w:t>序号</w:t>
            </w:r>
          </w:p>
        </w:tc>
        <w:tc>
          <w:tcPr>
            <w:tcW w:w="3194" w:type="dxa"/>
            <w:tcBorders>
              <w:tl2br w:val="nil"/>
              <w:tr2bl w:val="nil"/>
            </w:tcBorders>
            <w:vAlign w:val="center"/>
          </w:tcPr>
          <w:p>
            <w:pPr>
              <w:snapToGrid w:val="0"/>
              <w:spacing w:line="240" w:lineRule="auto"/>
              <w:jc w:val="center"/>
              <w:rPr>
                <w:rFonts w:eastAsia="仿宋_GB2312"/>
                <w:bCs/>
                <w:color w:val="000000" w:themeColor="text1"/>
                <w:sz w:val="21"/>
                <w:szCs w:val="21"/>
              </w:rPr>
            </w:pPr>
            <w:r>
              <w:rPr>
                <w:rFonts w:eastAsia="仿宋_GB2312"/>
                <w:bCs/>
                <w:color w:val="000000" w:themeColor="text1"/>
                <w:sz w:val="21"/>
                <w:szCs w:val="21"/>
              </w:rPr>
              <w:t>约束性条件</w:t>
            </w:r>
          </w:p>
        </w:tc>
        <w:tc>
          <w:tcPr>
            <w:tcW w:w="3743" w:type="dxa"/>
            <w:tcBorders>
              <w:tl2br w:val="nil"/>
              <w:tr2bl w:val="nil"/>
            </w:tcBorders>
            <w:vAlign w:val="center"/>
          </w:tcPr>
          <w:p>
            <w:pPr>
              <w:snapToGrid w:val="0"/>
              <w:spacing w:line="240" w:lineRule="auto"/>
              <w:jc w:val="center"/>
              <w:rPr>
                <w:rFonts w:eastAsia="仿宋_GB2312"/>
                <w:bCs/>
                <w:color w:val="000000" w:themeColor="text1"/>
                <w:sz w:val="21"/>
                <w:szCs w:val="21"/>
              </w:rPr>
            </w:pPr>
            <w:r>
              <w:rPr>
                <w:rFonts w:eastAsia="仿宋_GB2312"/>
                <w:bCs/>
                <w:color w:val="000000" w:themeColor="text1"/>
                <w:sz w:val="21"/>
                <w:szCs w:val="21"/>
              </w:rPr>
              <w:t>主体工程情况</w:t>
            </w:r>
          </w:p>
        </w:tc>
        <w:tc>
          <w:tcPr>
            <w:tcW w:w="990" w:type="dxa"/>
            <w:tcBorders>
              <w:tl2br w:val="nil"/>
              <w:tr2bl w:val="nil"/>
            </w:tcBorders>
            <w:vAlign w:val="center"/>
          </w:tcPr>
          <w:p>
            <w:pPr>
              <w:snapToGrid w:val="0"/>
              <w:spacing w:line="240" w:lineRule="auto"/>
              <w:jc w:val="center"/>
              <w:rPr>
                <w:rFonts w:eastAsia="仿宋_GB2312"/>
                <w:bCs/>
                <w:color w:val="000000" w:themeColor="text1"/>
                <w:sz w:val="21"/>
                <w:szCs w:val="21"/>
              </w:rPr>
            </w:pPr>
            <w:r>
              <w:rPr>
                <w:rFonts w:eastAsia="仿宋_GB2312"/>
                <w:bCs/>
                <w:color w:val="000000" w:themeColor="text1"/>
                <w:sz w:val="21"/>
                <w:szCs w:val="21"/>
              </w:rPr>
              <w:t>符合性</w:t>
            </w:r>
          </w:p>
          <w:p>
            <w:pPr>
              <w:snapToGrid w:val="0"/>
              <w:spacing w:line="240" w:lineRule="auto"/>
              <w:jc w:val="center"/>
              <w:rPr>
                <w:rFonts w:eastAsia="仿宋_GB2312"/>
                <w:bCs/>
                <w:color w:val="000000" w:themeColor="text1"/>
                <w:sz w:val="21"/>
                <w:szCs w:val="21"/>
              </w:rPr>
            </w:pPr>
            <w:r>
              <w:rPr>
                <w:rFonts w:eastAsia="仿宋_GB2312"/>
                <w:bCs/>
                <w:color w:val="000000" w:themeColor="text1"/>
                <w:sz w:val="21"/>
                <w:szCs w:val="21"/>
              </w:rPr>
              <w:t>规定</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7" w:type="dxa"/>
            <w:tcBorders>
              <w:tl2br w:val="nil"/>
              <w:tr2bl w:val="nil"/>
            </w:tcBorders>
            <w:vAlign w:val="center"/>
          </w:tcPr>
          <w:p>
            <w:pPr>
              <w:snapToGrid w:val="0"/>
              <w:spacing w:line="240" w:lineRule="auto"/>
              <w:jc w:val="center"/>
              <w:rPr>
                <w:rFonts w:eastAsia="仿宋_GB2312"/>
                <w:bCs/>
                <w:color w:val="000000" w:themeColor="text1"/>
                <w:sz w:val="21"/>
                <w:szCs w:val="21"/>
              </w:rPr>
            </w:pPr>
            <w:r>
              <w:rPr>
                <w:rFonts w:eastAsia="仿宋_GB2312"/>
                <w:bCs/>
                <w:color w:val="000000" w:themeColor="text1"/>
                <w:sz w:val="21"/>
                <w:szCs w:val="21"/>
              </w:rPr>
              <w:t>1</w:t>
            </w:r>
          </w:p>
        </w:tc>
        <w:tc>
          <w:tcPr>
            <w:tcW w:w="3194" w:type="dxa"/>
            <w:tcBorders>
              <w:tl2br w:val="nil"/>
              <w:tr2bl w:val="nil"/>
            </w:tcBorders>
            <w:vAlign w:val="center"/>
          </w:tcPr>
          <w:p>
            <w:pPr>
              <w:autoSpaceDE w:val="0"/>
              <w:autoSpaceDN w:val="0"/>
              <w:snapToGrid w:val="0"/>
              <w:spacing w:line="240" w:lineRule="auto"/>
              <w:ind w:firstLine="420" w:firstLineChars="200"/>
              <w:rPr>
                <w:rFonts w:eastAsia="仿宋_GB2312"/>
                <w:bCs/>
                <w:color w:val="000000" w:themeColor="text1"/>
                <w:sz w:val="21"/>
                <w:szCs w:val="21"/>
              </w:rPr>
            </w:pPr>
            <w:r>
              <w:rPr>
                <w:rFonts w:eastAsia="仿宋_GB2312"/>
                <w:bCs/>
                <w:color w:val="000000" w:themeColor="text1"/>
                <w:sz w:val="21"/>
                <w:szCs w:val="21"/>
              </w:rPr>
              <w:t>是否避让水土流失重点预防区和重点治理区。对涉及和影响到饮水安全、防洪安全、水资源安全等的项目必须严格避让；对无法避让的重要基础设施建设、重要民生工程、国防工程等项目，应提高防治标准，严格控制扰动地表和植被损坏范围、减少工程占地、加强工程管理、优化施工工艺的要求。</w:t>
            </w:r>
          </w:p>
        </w:tc>
        <w:tc>
          <w:tcPr>
            <w:tcW w:w="3743" w:type="dxa"/>
            <w:tcBorders>
              <w:tl2br w:val="nil"/>
              <w:tr2bl w:val="nil"/>
            </w:tcBorders>
            <w:vAlign w:val="center"/>
          </w:tcPr>
          <w:p>
            <w:pPr>
              <w:pStyle w:val="10"/>
              <w:spacing w:line="240" w:lineRule="auto"/>
              <w:ind w:firstLine="420" w:firstLineChars="200"/>
              <w:jc w:val="both"/>
              <w:rPr>
                <w:rFonts w:eastAsia="仿宋_GB2312"/>
                <w:bCs/>
                <w:color w:val="000000" w:themeColor="text1"/>
                <w:sz w:val="21"/>
                <w:szCs w:val="21"/>
              </w:rPr>
            </w:pPr>
            <w:r>
              <w:rPr>
                <w:rFonts w:hint="eastAsia" w:eastAsia="仿宋_GB2312"/>
                <w:bCs/>
                <w:snapToGrid w:val="0"/>
                <w:color w:val="000000" w:themeColor="text1"/>
                <w:sz w:val="21"/>
                <w:szCs w:val="21"/>
              </w:rPr>
              <w:t>本项目不属于国家和省级重点防治区，不涉及水土保持敏感区</w:t>
            </w:r>
            <w:r>
              <w:rPr>
                <w:rFonts w:eastAsia="仿宋_GB2312"/>
                <w:bCs/>
                <w:snapToGrid w:val="0"/>
                <w:color w:val="000000" w:themeColor="text1"/>
                <w:sz w:val="21"/>
                <w:szCs w:val="21"/>
              </w:rPr>
              <w:t>。通过提高防治</w:t>
            </w:r>
            <w:r>
              <w:rPr>
                <w:rFonts w:hint="eastAsia" w:eastAsia="仿宋_GB2312"/>
                <w:bCs/>
                <w:snapToGrid w:val="0"/>
                <w:color w:val="000000" w:themeColor="text1"/>
                <w:sz w:val="21"/>
                <w:szCs w:val="21"/>
              </w:rPr>
              <w:t>指标</w:t>
            </w:r>
            <w:r>
              <w:rPr>
                <w:rFonts w:eastAsia="仿宋_GB2312"/>
                <w:bCs/>
                <w:snapToGrid w:val="0"/>
                <w:color w:val="000000" w:themeColor="text1"/>
                <w:sz w:val="21"/>
                <w:szCs w:val="21"/>
              </w:rPr>
              <w:t>，严格控制扰动地表和植被损坏范围、减少工程占地、加强工程管理、优化施工工艺，有效控制水土流失。</w:t>
            </w:r>
            <w:r>
              <w:rPr>
                <w:rFonts w:eastAsia="仿宋_GB2312"/>
                <w:bCs/>
                <w:color w:val="000000" w:themeColor="text1"/>
                <w:sz w:val="21"/>
                <w:szCs w:val="21"/>
              </w:rPr>
              <w:t>不涉及和影响饮水安全、防洪安全、水资源安全；不属于重要基础设施建设、重要民生工程、国防工程等项目</w:t>
            </w:r>
            <w:r>
              <w:rPr>
                <w:rFonts w:eastAsia="仿宋_GB2312"/>
                <w:bCs/>
                <w:snapToGrid w:val="0"/>
                <w:color w:val="000000" w:themeColor="text1"/>
                <w:sz w:val="21"/>
                <w:szCs w:val="21"/>
              </w:rPr>
              <w:t>。</w:t>
            </w:r>
          </w:p>
        </w:tc>
        <w:tc>
          <w:tcPr>
            <w:tcW w:w="990" w:type="dxa"/>
            <w:tcBorders>
              <w:tl2br w:val="nil"/>
              <w:tr2bl w:val="nil"/>
            </w:tcBorders>
            <w:vAlign w:val="center"/>
          </w:tcPr>
          <w:p>
            <w:pPr>
              <w:snapToGrid w:val="0"/>
              <w:spacing w:line="240" w:lineRule="auto"/>
              <w:jc w:val="center"/>
              <w:rPr>
                <w:rFonts w:eastAsia="仿宋_GB2312"/>
                <w:bCs/>
                <w:color w:val="000000" w:themeColor="text1"/>
                <w:sz w:val="21"/>
                <w:szCs w:val="21"/>
              </w:rPr>
            </w:pPr>
            <w:r>
              <w:rPr>
                <w:rFonts w:eastAsia="仿宋_GB2312"/>
                <w:bCs/>
                <w:color w:val="000000" w:themeColor="text1"/>
                <w:sz w:val="21"/>
                <w:szCs w:val="21"/>
              </w:rPr>
              <w:t>基本</w:t>
            </w:r>
          </w:p>
          <w:p>
            <w:pPr>
              <w:snapToGrid w:val="0"/>
              <w:spacing w:line="240" w:lineRule="auto"/>
              <w:jc w:val="center"/>
              <w:rPr>
                <w:rFonts w:eastAsia="仿宋_GB2312"/>
                <w:bCs/>
                <w:color w:val="000000" w:themeColor="text1"/>
                <w:sz w:val="21"/>
                <w:szCs w:val="21"/>
              </w:rPr>
            </w:pPr>
            <w:r>
              <w:rPr>
                <w:rFonts w:eastAsia="仿宋_GB2312"/>
                <w:bCs/>
                <w:color w:val="000000" w:themeColor="text1"/>
                <w:sz w:val="21"/>
                <w:szCs w:val="21"/>
              </w:rPr>
              <w:t>符合</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7" w:type="dxa"/>
            <w:tcBorders>
              <w:tl2br w:val="nil"/>
              <w:tr2bl w:val="nil"/>
            </w:tcBorders>
            <w:vAlign w:val="center"/>
          </w:tcPr>
          <w:p>
            <w:pPr>
              <w:snapToGrid w:val="0"/>
              <w:spacing w:line="240" w:lineRule="auto"/>
              <w:jc w:val="center"/>
              <w:rPr>
                <w:rFonts w:eastAsia="仿宋_GB2312"/>
                <w:bCs/>
                <w:color w:val="000000" w:themeColor="text1"/>
                <w:sz w:val="21"/>
                <w:szCs w:val="21"/>
              </w:rPr>
            </w:pPr>
            <w:r>
              <w:rPr>
                <w:rFonts w:eastAsia="仿宋_GB2312"/>
                <w:bCs/>
                <w:color w:val="000000" w:themeColor="text1"/>
                <w:sz w:val="21"/>
                <w:szCs w:val="21"/>
              </w:rPr>
              <w:t>2</w:t>
            </w:r>
          </w:p>
        </w:tc>
        <w:tc>
          <w:tcPr>
            <w:tcW w:w="3194" w:type="dxa"/>
            <w:tcBorders>
              <w:tl2br w:val="nil"/>
              <w:tr2bl w:val="nil"/>
            </w:tcBorders>
            <w:vAlign w:val="center"/>
          </w:tcPr>
          <w:p>
            <w:pPr>
              <w:snapToGrid w:val="0"/>
              <w:spacing w:line="240" w:lineRule="auto"/>
              <w:ind w:firstLine="420" w:firstLineChars="200"/>
              <w:rPr>
                <w:rFonts w:eastAsia="仿宋_GB2312"/>
                <w:bCs/>
                <w:snapToGrid w:val="0"/>
                <w:color w:val="000000" w:themeColor="text1"/>
                <w:sz w:val="21"/>
                <w:szCs w:val="21"/>
              </w:rPr>
            </w:pPr>
            <w:r>
              <w:rPr>
                <w:rFonts w:eastAsia="仿宋_GB2312"/>
                <w:bCs/>
                <w:snapToGrid w:val="0"/>
                <w:color w:val="000000" w:themeColor="text1"/>
                <w:sz w:val="21"/>
                <w:szCs w:val="21"/>
              </w:rPr>
              <w:t>是否处于水土流失严重、生态脆弱的地区。</w:t>
            </w:r>
          </w:p>
        </w:tc>
        <w:tc>
          <w:tcPr>
            <w:tcW w:w="3743" w:type="dxa"/>
            <w:tcBorders>
              <w:tl2br w:val="nil"/>
              <w:tr2bl w:val="nil"/>
            </w:tcBorders>
            <w:vAlign w:val="center"/>
          </w:tcPr>
          <w:p>
            <w:pPr>
              <w:snapToGrid w:val="0"/>
              <w:spacing w:line="240" w:lineRule="auto"/>
              <w:ind w:firstLine="420" w:firstLineChars="200"/>
              <w:rPr>
                <w:rFonts w:eastAsia="仿宋_GB2312"/>
                <w:bCs/>
                <w:snapToGrid w:val="0"/>
                <w:color w:val="000000" w:themeColor="text1"/>
                <w:sz w:val="21"/>
                <w:szCs w:val="21"/>
              </w:rPr>
            </w:pPr>
            <w:r>
              <w:rPr>
                <w:rFonts w:eastAsia="仿宋_GB2312"/>
                <w:bCs/>
                <w:snapToGrid w:val="0"/>
                <w:color w:val="000000" w:themeColor="text1"/>
                <w:sz w:val="21"/>
                <w:szCs w:val="21"/>
              </w:rPr>
              <w:t>本项目不属于水土流失严重、生态脆弱的地区。</w:t>
            </w:r>
          </w:p>
        </w:tc>
        <w:tc>
          <w:tcPr>
            <w:tcW w:w="990" w:type="dxa"/>
            <w:tcBorders>
              <w:tl2br w:val="nil"/>
              <w:tr2bl w:val="nil"/>
            </w:tcBorders>
            <w:vAlign w:val="center"/>
          </w:tcPr>
          <w:p>
            <w:pPr>
              <w:snapToGrid w:val="0"/>
              <w:spacing w:line="240" w:lineRule="auto"/>
              <w:jc w:val="center"/>
              <w:rPr>
                <w:rFonts w:eastAsia="仿宋_GB2312"/>
                <w:bCs/>
                <w:snapToGrid w:val="0"/>
                <w:color w:val="000000" w:themeColor="text1"/>
                <w:sz w:val="21"/>
                <w:szCs w:val="21"/>
              </w:rPr>
            </w:pPr>
            <w:r>
              <w:rPr>
                <w:rFonts w:eastAsia="仿宋_GB2312"/>
                <w:bCs/>
                <w:snapToGrid w:val="0"/>
                <w:color w:val="000000" w:themeColor="text1"/>
                <w:sz w:val="21"/>
                <w:szCs w:val="21"/>
              </w:rPr>
              <w:t>符合</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7" w:type="dxa"/>
            <w:tcBorders>
              <w:tl2br w:val="nil"/>
              <w:tr2bl w:val="nil"/>
            </w:tcBorders>
            <w:vAlign w:val="center"/>
          </w:tcPr>
          <w:p>
            <w:pPr>
              <w:snapToGrid w:val="0"/>
              <w:spacing w:line="240" w:lineRule="auto"/>
              <w:jc w:val="center"/>
              <w:rPr>
                <w:rFonts w:eastAsia="仿宋_GB2312"/>
                <w:bCs/>
                <w:color w:val="000000" w:themeColor="text1"/>
                <w:sz w:val="21"/>
                <w:szCs w:val="21"/>
              </w:rPr>
            </w:pPr>
            <w:r>
              <w:rPr>
                <w:rFonts w:eastAsia="仿宋_GB2312"/>
                <w:bCs/>
                <w:color w:val="000000" w:themeColor="text1"/>
                <w:sz w:val="21"/>
                <w:szCs w:val="21"/>
              </w:rPr>
              <w:t>3</w:t>
            </w:r>
          </w:p>
        </w:tc>
        <w:tc>
          <w:tcPr>
            <w:tcW w:w="3194" w:type="dxa"/>
            <w:tcBorders>
              <w:tl2br w:val="nil"/>
              <w:tr2bl w:val="nil"/>
            </w:tcBorders>
            <w:vAlign w:val="center"/>
          </w:tcPr>
          <w:p>
            <w:pPr>
              <w:snapToGrid w:val="0"/>
              <w:spacing w:line="240" w:lineRule="auto"/>
              <w:ind w:firstLine="420" w:firstLineChars="200"/>
              <w:rPr>
                <w:rFonts w:eastAsia="仿宋_GB2312"/>
                <w:bCs/>
                <w:snapToGrid w:val="0"/>
                <w:color w:val="000000" w:themeColor="text1"/>
                <w:sz w:val="21"/>
                <w:szCs w:val="21"/>
              </w:rPr>
            </w:pPr>
            <w:r>
              <w:rPr>
                <w:rFonts w:eastAsia="仿宋_GB2312"/>
                <w:bCs/>
                <w:snapToGrid w:val="0"/>
                <w:color w:val="000000" w:themeColor="text1"/>
                <w:sz w:val="21"/>
                <w:szCs w:val="21"/>
              </w:rPr>
              <w:t>是否避让了泥石流易发区、崩塌滑坡危险区以及易引起严重水土流失和生态恶化的地区。</w:t>
            </w:r>
          </w:p>
        </w:tc>
        <w:tc>
          <w:tcPr>
            <w:tcW w:w="3743" w:type="dxa"/>
            <w:tcBorders>
              <w:tl2br w:val="nil"/>
              <w:tr2bl w:val="nil"/>
            </w:tcBorders>
            <w:vAlign w:val="center"/>
          </w:tcPr>
          <w:p>
            <w:pPr>
              <w:snapToGrid w:val="0"/>
              <w:spacing w:line="240" w:lineRule="auto"/>
              <w:ind w:firstLine="420" w:firstLineChars="200"/>
              <w:rPr>
                <w:rFonts w:eastAsia="仿宋_GB2312"/>
                <w:bCs/>
                <w:snapToGrid w:val="0"/>
                <w:color w:val="000000" w:themeColor="text1"/>
                <w:sz w:val="21"/>
                <w:szCs w:val="21"/>
              </w:rPr>
            </w:pPr>
            <w:r>
              <w:rPr>
                <w:rFonts w:eastAsia="仿宋_GB2312"/>
                <w:bCs/>
                <w:snapToGrid w:val="0"/>
                <w:color w:val="000000" w:themeColor="text1"/>
                <w:sz w:val="21"/>
                <w:szCs w:val="21"/>
              </w:rPr>
              <w:t>本项目不在泥石流易发区、崩塌滑坡危险区以及易引起严重水土流失和生态恶化的地区。</w:t>
            </w:r>
          </w:p>
        </w:tc>
        <w:tc>
          <w:tcPr>
            <w:tcW w:w="990" w:type="dxa"/>
            <w:tcBorders>
              <w:tl2br w:val="nil"/>
              <w:tr2bl w:val="nil"/>
            </w:tcBorders>
            <w:vAlign w:val="center"/>
          </w:tcPr>
          <w:p>
            <w:pPr>
              <w:snapToGrid w:val="0"/>
              <w:spacing w:line="240" w:lineRule="auto"/>
              <w:jc w:val="center"/>
              <w:rPr>
                <w:rFonts w:eastAsia="仿宋_GB2312"/>
                <w:bCs/>
                <w:snapToGrid w:val="0"/>
                <w:color w:val="000000" w:themeColor="text1"/>
                <w:sz w:val="21"/>
                <w:szCs w:val="21"/>
              </w:rPr>
            </w:pPr>
            <w:r>
              <w:rPr>
                <w:rFonts w:eastAsia="仿宋_GB2312"/>
                <w:bCs/>
                <w:snapToGrid w:val="0"/>
                <w:color w:val="000000" w:themeColor="text1"/>
                <w:sz w:val="21"/>
                <w:szCs w:val="21"/>
              </w:rPr>
              <w:t>符合</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7" w:type="dxa"/>
            <w:tcBorders>
              <w:tl2br w:val="nil"/>
              <w:tr2bl w:val="nil"/>
            </w:tcBorders>
            <w:vAlign w:val="center"/>
          </w:tcPr>
          <w:p>
            <w:pPr>
              <w:snapToGrid w:val="0"/>
              <w:spacing w:line="240" w:lineRule="auto"/>
              <w:jc w:val="center"/>
              <w:rPr>
                <w:rFonts w:eastAsia="仿宋_GB2312"/>
                <w:bCs/>
                <w:color w:val="000000" w:themeColor="text1"/>
                <w:sz w:val="21"/>
                <w:szCs w:val="21"/>
              </w:rPr>
            </w:pPr>
            <w:r>
              <w:rPr>
                <w:rFonts w:eastAsia="仿宋_GB2312"/>
                <w:bCs/>
                <w:color w:val="000000" w:themeColor="text1"/>
                <w:sz w:val="21"/>
                <w:szCs w:val="21"/>
              </w:rPr>
              <w:t>4</w:t>
            </w:r>
          </w:p>
        </w:tc>
        <w:tc>
          <w:tcPr>
            <w:tcW w:w="3194" w:type="dxa"/>
            <w:tcBorders>
              <w:tl2br w:val="nil"/>
              <w:tr2bl w:val="nil"/>
            </w:tcBorders>
            <w:vAlign w:val="center"/>
          </w:tcPr>
          <w:p>
            <w:pPr>
              <w:snapToGrid w:val="0"/>
              <w:spacing w:line="240" w:lineRule="auto"/>
              <w:ind w:firstLine="420" w:firstLineChars="200"/>
              <w:rPr>
                <w:rFonts w:eastAsia="仿宋_GB2312"/>
                <w:bCs/>
                <w:snapToGrid w:val="0"/>
                <w:color w:val="000000" w:themeColor="text1"/>
                <w:sz w:val="21"/>
                <w:szCs w:val="21"/>
              </w:rPr>
            </w:pPr>
            <w:r>
              <w:rPr>
                <w:rFonts w:eastAsia="仿宋_GB2312"/>
                <w:bCs/>
                <w:snapToGrid w:val="0"/>
                <w:color w:val="000000" w:themeColor="text1"/>
                <w:sz w:val="21"/>
                <w:szCs w:val="21"/>
              </w:rPr>
              <w:t>是否避开了全国水土保持监测网络中的水土保持监测站点、重点试验区，是否占用了国家确定的水土保持长期定位观测站。</w:t>
            </w:r>
          </w:p>
        </w:tc>
        <w:tc>
          <w:tcPr>
            <w:tcW w:w="3743" w:type="dxa"/>
            <w:tcBorders>
              <w:tl2br w:val="nil"/>
              <w:tr2bl w:val="nil"/>
            </w:tcBorders>
            <w:vAlign w:val="center"/>
          </w:tcPr>
          <w:p>
            <w:pPr>
              <w:snapToGrid w:val="0"/>
              <w:spacing w:line="240" w:lineRule="auto"/>
              <w:ind w:firstLine="420" w:firstLineChars="200"/>
              <w:rPr>
                <w:rFonts w:eastAsia="仿宋_GB2312"/>
                <w:bCs/>
                <w:snapToGrid w:val="0"/>
                <w:color w:val="000000" w:themeColor="text1"/>
                <w:sz w:val="21"/>
                <w:szCs w:val="21"/>
              </w:rPr>
            </w:pPr>
            <w:r>
              <w:rPr>
                <w:rFonts w:eastAsia="仿宋_GB2312"/>
                <w:bCs/>
                <w:snapToGrid w:val="0"/>
                <w:color w:val="000000" w:themeColor="text1"/>
                <w:sz w:val="21"/>
                <w:szCs w:val="21"/>
              </w:rPr>
              <w:t>本项目不在全国水土保持监测网络中的水土保持监测站点、重点试验区，未占用国家确定的水土保持长期定位观测站。</w:t>
            </w:r>
          </w:p>
        </w:tc>
        <w:tc>
          <w:tcPr>
            <w:tcW w:w="990" w:type="dxa"/>
            <w:tcBorders>
              <w:tl2br w:val="nil"/>
              <w:tr2bl w:val="nil"/>
            </w:tcBorders>
            <w:vAlign w:val="center"/>
          </w:tcPr>
          <w:p>
            <w:pPr>
              <w:snapToGrid w:val="0"/>
              <w:spacing w:line="240" w:lineRule="auto"/>
              <w:jc w:val="center"/>
              <w:rPr>
                <w:rFonts w:eastAsia="仿宋_GB2312"/>
                <w:bCs/>
                <w:snapToGrid w:val="0"/>
                <w:color w:val="000000" w:themeColor="text1"/>
                <w:sz w:val="21"/>
                <w:szCs w:val="21"/>
              </w:rPr>
            </w:pPr>
            <w:r>
              <w:rPr>
                <w:rFonts w:eastAsia="仿宋_GB2312"/>
                <w:bCs/>
                <w:snapToGrid w:val="0"/>
                <w:color w:val="000000" w:themeColor="text1"/>
                <w:sz w:val="21"/>
                <w:szCs w:val="21"/>
              </w:rPr>
              <w:t>符合</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7" w:type="dxa"/>
            <w:tcBorders>
              <w:tl2br w:val="nil"/>
              <w:tr2bl w:val="nil"/>
            </w:tcBorders>
            <w:vAlign w:val="center"/>
          </w:tcPr>
          <w:p>
            <w:pPr>
              <w:snapToGrid w:val="0"/>
              <w:spacing w:line="240" w:lineRule="auto"/>
              <w:jc w:val="center"/>
              <w:rPr>
                <w:rFonts w:eastAsia="仿宋_GB2312"/>
                <w:bCs/>
                <w:color w:val="000000" w:themeColor="text1"/>
                <w:sz w:val="21"/>
                <w:szCs w:val="21"/>
              </w:rPr>
            </w:pPr>
            <w:r>
              <w:rPr>
                <w:rFonts w:eastAsia="仿宋_GB2312"/>
                <w:bCs/>
                <w:color w:val="000000" w:themeColor="text1"/>
                <w:sz w:val="21"/>
                <w:szCs w:val="21"/>
              </w:rPr>
              <w:t>5</w:t>
            </w:r>
          </w:p>
        </w:tc>
        <w:tc>
          <w:tcPr>
            <w:tcW w:w="3194" w:type="dxa"/>
            <w:tcBorders>
              <w:tl2br w:val="nil"/>
              <w:tr2bl w:val="nil"/>
            </w:tcBorders>
            <w:vAlign w:val="center"/>
          </w:tcPr>
          <w:p>
            <w:pPr>
              <w:snapToGrid w:val="0"/>
              <w:spacing w:line="240" w:lineRule="auto"/>
              <w:ind w:firstLine="420" w:firstLineChars="200"/>
              <w:rPr>
                <w:rFonts w:eastAsia="仿宋_GB2312"/>
                <w:bCs/>
                <w:snapToGrid w:val="0"/>
                <w:color w:val="000000" w:themeColor="text1"/>
                <w:sz w:val="21"/>
                <w:szCs w:val="21"/>
              </w:rPr>
            </w:pPr>
            <w:r>
              <w:rPr>
                <w:rFonts w:eastAsia="仿宋_GB2312"/>
                <w:bCs/>
                <w:snapToGrid w:val="0"/>
                <w:color w:val="000000" w:themeColor="text1"/>
                <w:sz w:val="21"/>
                <w:szCs w:val="21"/>
              </w:rPr>
              <w:t>是否处于重要江河、湖泊以及跨省（自治区、直辖市）的其它江河、湖泊的水功能一级区的保护区和保留区，以及水功能二级区的饮用水源区。</w:t>
            </w:r>
          </w:p>
        </w:tc>
        <w:tc>
          <w:tcPr>
            <w:tcW w:w="3743" w:type="dxa"/>
            <w:tcBorders>
              <w:tl2br w:val="nil"/>
              <w:tr2bl w:val="nil"/>
            </w:tcBorders>
            <w:vAlign w:val="center"/>
          </w:tcPr>
          <w:p>
            <w:pPr>
              <w:snapToGrid w:val="0"/>
              <w:spacing w:line="240" w:lineRule="auto"/>
              <w:ind w:firstLine="420" w:firstLineChars="200"/>
              <w:rPr>
                <w:rFonts w:eastAsia="仿宋_GB2312"/>
                <w:bCs/>
                <w:snapToGrid w:val="0"/>
                <w:color w:val="000000" w:themeColor="text1"/>
                <w:sz w:val="21"/>
                <w:szCs w:val="21"/>
              </w:rPr>
            </w:pPr>
            <w:r>
              <w:rPr>
                <w:rFonts w:eastAsia="仿宋_GB2312"/>
                <w:bCs/>
                <w:snapToGrid w:val="0"/>
                <w:color w:val="000000" w:themeColor="text1"/>
                <w:sz w:val="21"/>
                <w:szCs w:val="21"/>
              </w:rPr>
              <w:t>本项目不处于重要江河、湖泊以及跨省（自治区、直辖市）的其它江河、湖泊的水功能一级区的保护区和保留区，以及水功能二级区的饮用水源区。</w:t>
            </w:r>
          </w:p>
        </w:tc>
        <w:tc>
          <w:tcPr>
            <w:tcW w:w="990" w:type="dxa"/>
            <w:tcBorders>
              <w:tl2br w:val="nil"/>
              <w:tr2bl w:val="nil"/>
            </w:tcBorders>
            <w:vAlign w:val="center"/>
          </w:tcPr>
          <w:p>
            <w:pPr>
              <w:snapToGrid w:val="0"/>
              <w:spacing w:line="240" w:lineRule="auto"/>
              <w:ind w:left="-72" w:leftChars="-30" w:right="-72" w:rightChars="-30"/>
              <w:jc w:val="center"/>
              <w:rPr>
                <w:rFonts w:eastAsia="仿宋_GB2312"/>
                <w:bCs/>
                <w:color w:val="000000" w:themeColor="text1"/>
                <w:sz w:val="21"/>
                <w:szCs w:val="21"/>
              </w:rPr>
            </w:pPr>
            <w:r>
              <w:rPr>
                <w:rFonts w:eastAsia="仿宋_GB2312"/>
                <w:bCs/>
                <w:color w:val="000000" w:themeColor="text1"/>
                <w:sz w:val="21"/>
                <w:szCs w:val="21"/>
              </w:rPr>
              <w:t>符合</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7" w:type="dxa"/>
            <w:tcBorders>
              <w:tl2br w:val="nil"/>
              <w:tr2bl w:val="nil"/>
            </w:tcBorders>
            <w:vAlign w:val="center"/>
          </w:tcPr>
          <w:p>
            <w:pPr>
              <w:snapToGrid w:val="0"/>
              <w:spacing w:line="240" w:lineRule="auto"/>
              <w:jc w:val="center"/>
              <w:rPr>
                <w:rFonts w:eastAsia="仿宋_GB2312"/>
                <w:bCs/>
                <w:color w:val="000000" w:themeColor="text1"/>
                <w:sz w:val="21"/>
                <w:szCs w:val="21"/>
              </w:rPr>
            </w:pPr>
            <w:r>
              <w:rPr>
                <w:rFonts w:eastAsia="仿宋_GB2312"/>
                <w:bCs/>
                <w:color w:val="000000" w:themeColor="text1"/>
                <w:sz w:val="21"/>
                <w:szCs w:val="21"/>
              </w:rPr>
              <w:t>6</w:t>
            </w:r>
          </w:p>
        </w:tc>
        <w:tc>
          <w:tcPr>
            <w:tcW w:w="3194" w:type="dxa"/>
            <w:tcBorders>
              <w:tl2br w:val="nil"/>
              <w:tr2bl w:val="nil"/>
            </w:tcBorders>
            <w:vAlign w:val="center"/>
          </w:tcPr>
          <w:p>
            <w:pPr>
              <w:snapToGrid w:val="0"/>
              <w:spacing w:line="240" w:lineRule="auto"/>
              <w:ind w:firstLine="420" w:firstLineChars="200"/>
              <w:rPr>
                <w:rFonts w:eastAsia="仿宋_GB2312"/>
                <w:bCs/>
                <w:snapToGrid w:val="0"/>
                <w:color w:val="000000" w:themeColor="text1"/>
                <w:sz w:val="21"/>
                <w:szCs w:val="21"/>
              </w:rPr>
            </w:pPr>
            <w:r>
              <w:rPr>
                <w:rFonts w:eastAsia="仿宋_GB2312"/>
                <w:bCs/>
                <w:snapToGrid w:val="0"/>
                <w:color w:val="000000" w:themeColor="text1"/>
                <w:sz w:val="21"/>
                <w:szCs w:val="21"/>
              </w:rPr>
              <w:t>是否处于河流两岸、湖泊和水库周边的植物保护带。</w:t>
            </w:r>
          </w:p>
        </w:tc>
        <w:tc>
          <w:tcPr>
            <w:tcW w:w="3743" w:type="dxa"/>
            <w:tcBorders>
              <w:tl2br w:val="nil"/>
              <w:tr2bl w:val="nil"/>
            </w:tcBorders>
            <w:vAlign w:val="center"/>
          </w:tcPr>
          <w:p>
            <w:pPr>
              <w:snapToGrid w:val="0"/>
              <w:spacing w:line="240" w:lineRule="auto"/>
              <w:ind w:firstLine="420" w:firstLineChars="200"/>
              <w:rPr>
                <w:rFonts w:eastAsia="仿宋_GB2312"/>
                <w:bCs/>
                <w:snapToGrid w:val="0"/>
                <w:color w:val="000000" w:themeColor="text1"/>
                <w:sz w:val="21"/>
                <w:szCs w:val="21"/>
              </w:rPr>
            </w:pPr>
            <w:r>
              <w:rPr>
                <w:rFonts w:eastAsia="仿宋_GB2312"/>
                <w:bCs/>
                <w:snapToGrid w:val="0"/>
                <w:color w:val="000000" w:themeColor="text1"/>
                <w:sz w:val="21"/>
                <w:szCs w:val="21"/>
              </w:rPr>
              <w:t>本项目不在河流两岸、湖泊和水库周边的植物保护带内。</w:t>
            </w:r>
          </w:p>
        </w:tc>
        <w:tc>
          <w:tcPr>
            <w:tcW w:w="990" w:type="dxa"/>
            <w:tcBorders>
              <w:tl2br w:val="nil"/>
              <w:tr2bl w:val="nil"/>
            </w:tcBorders>
            <w:vAlign w:val="center"/>
          </w:tcPr>
          <w:p>
            <w:pPr>
              <w:snapToGrid w:val="0"/>
              <w:spacing w:line="240" w:lineRule="auto"/>
              <w:ind w:left="-72" w:leftChars="-30" w:right="-72" w:rightChars="-30"/>
              <w:jc w:val="center"/>
              <w:rPr>
                <w:rFonts w:eastAsia="仿宋_GB2312"/>
                <w:bCs/>
                <w:color w:val="000000" w:themeColor="text1"/>
                <w:sz w:val="21"/>
                <w:szCs w:val="21"/>
              </w:rPr>
            </w:pPr>
            <w:r>
              <w:rPr>
                <w:rFonts w:eastAsia="仿宋_GB2312"/>
                <w:bCs/>
                <w:color w:val="000000" w:themeColor="text1"/>
                <w:sz w:val="21"/>
                <w:szCs w:val="21"/>
              </w:rPr>
              <w:t>符合</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7" w:type="dxa"/>
            <w:tcBorders>
              <w:tl2br w:val="nil"/>
              <w:tr2bl w:val="nil"/>
            </w:tcBorders>
            <w:vAlign w:val="center"/>
          </w:tcPr>
          <w:p>
            <w:pPr>
              <w:snapToGrid w:val="0"/>
              <w:spacing w:line="240" w:lineRule="auto"/>
              <w:jc w:val="center"/>
              <w:rPr>
                <w:rFonts w:eastAsia="仿宋_GB2312"/>
                <w:bCs/>
                <w:color w:val="000000" w:themeColor="text1"/>
                <w:sz w:val="21"/>
                <w:szCs w:val="21"/>
              </w:rPr>
            </w:pPr>
            <w:r>
              <w:rPr>
                <w:rFonts w:eastAsia="仿宋_GB2312"/>
                <w:bCs/>
                <w:color w:val="000000" w:themeColor="text1"/>
                <w:sz w:val="21"/>
                <w:szCs w:val="21"/>
              </w:rPr>
              <w:t>7</w:t>
            </w:r>
          </w:p>
        </w:tc>
        <w:tc>
          <w:tcPr>
            <w:tcW w:w="3194" w:type="dxa"/>
            <w:tcBorders>
              <w:tl2br w:val="nil"/>
              <w:tr2bl w:val="nil"/>
            </w:tcBorders>
            <w:vAlign w:val="center"/>
          </w:tcPr>
          <w:p>
            <w:pPr>
              <w:snapToGrid w:val="0"/>
              <w:spacing w:line="240" w:lineRule="auto"/>
              <w:ind w:firstLine="420" w:firstLineChars="200"/>
              <w:rPr>
                <w:rFonts w:eastAsia="仿宋_GB2312"/>
                <w:bCs/>
                <w:snapToGrid w:val="0"/>
                <w:color w:val="000000" w:themeColor="text1"/>
                <w:sz w:val="21"/>
                <w:szCs w:val="21"/>
              </w:rPr>
            </w:pPr>
            <w:r>
              <w:rPr>
                <w:rFonts w:eastAsia="仿宋_GB2312"/>
                <w:bCs/>
                <w:snapToGrid w:val="0"/>
                <w:color w:val="000000" w:themeColor="text1"/>
                <w:sz w:val="21"/>
                <w:szCs w:val="21"/>
              </w:rPr>
              <w:t>严禁在崩塌滑坡危险区、泥石流易发区内设置取土（石、砂）场。</w:t>
            </w:r>
          </w:p>
        </w:tc>
        <w:tc>
          <w:tcPr>
            <w:tcW w:w="3743" w:type="dxa"/>
            <w:tcBorders>
              <w:tl2br w:val="nil"/>
              <w:tr2bl w:val="nil"/>
            </w:tcBorders>
            <w:vAlign w:val="center"/>
          </w:tcPr>
          <w:p>
            <w:pPr>
              <w:snapToGrid w:val="0"/>
              <w:spacing w:line="240" w:lineRule="auto"/>
              <w:ind w:firstLine="420" w:firstLineChars="200"/>
              <w:rPr>
                <w:rFonts w:eastAsia="仿宋_GB2312"/>
                <w:bCs/>
                <w:snapToGrid w:val="0"/>
                <w:color w:val="000000" w:themeColor="text1"/>
                <w:sz w:val="21"/>
                <w:szCs w:val="21"/>
              </w:rPr>
            </w:pPr>
            <w:r>
              <w:rPr>
                <w:rFonts w:eastAsia="仿宋_GB2312"/>
                <w:bCs/>
                <w:snapToGrid w:val="0"/>
                <w:color w:val="000000" w:themeColor="text1"/>
                <w:sz w:val="21"/>
                <w:szCs w:val="21"/>
              </w:rPr>
              <w:t>本项目未设置取土（石、砂）场。</w:t>
            </w:r>
          </w:p>
        </w:tc>
        <w:tc>
          <w:tcPr>
            <w:tcW w:w="990" w:type="dxa"/>
            <w:tcBorders>
              <w:tl2br w:val="nil"/>
              <w:tr2bl w:val="nil"/>
            </w:tcBorders>
            <w:vAlign w:val="center"/>
          </w:tcPr>
          <w:p>
            <w:pPr>
              <w:snapToGrid w:val="0"/>
              <w:spacing w:line="240" w:lineRule="auto"/>
              <w:ind w:left="-72" w:leftChars="-30" w:right="-72" w:rightChars="-30"/>
              <w:jc w:val="center"/>
              <w:rPr>
                <w:rFonts w:eastAsia="仿宋_GB2312"/>
                <w:bCs/>
                <w:color w:val="000000" w:themeColor="text1"/>
                <w:sz w:val="21"/>
                <w:szCs w:val="21"/>
              </w:rPr>
            </w:pPr>
            <w:r>
              <w:rPr>
                <w:rFonts w:eastAsia="仿宋_GB2312"/>
                <w:bCs/>
                <w:color w:val="000000" w:themeColor="text1"/>
                <w:sz w:val="21"/>
                <w:szCs w:val="21"/>
              </w:rPr>
              <w:t>符合</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7" w:type="dxa"/>
            <w:tcBorders>
              <w:tl2br w:val="nil"/>
              <w:tr2bl w:val="nil"/>
            </w:tcBorders>
            <w:vAlign w:val="center"/>
          </w:tcPr>
          <w:p>
            <w:pPr>
              <w:snapToGrid w:val="0"/>
              <w:spacing w:line="240" w:lineRule="auto"/>
              <w:jc w:val="center"/>
              <w:rPr>
                <w:rFonts w:eastAsia="仿宋_GB2312"/>
                <w:bCs/>
                <w:color w:val="000000" w:themeColor="text1"/>
                <w:sz w:val="21"/>
                <w:szCs w:val="21"/>
              </w:rPr>
            </w:pPr>
            <w:r>
              <w:rPr>
                <w:rFonts w:eastAsia="仿宋_GB2312"/>
                <w:bCs/>
                <w:color w:val="000000" w:themeColor="text1"/>
                <w:sz w:val="21"/>
                <w:szCs w:val="21"/>
              </w:rPr>
              <w:t>8</w:t>
            </w:r>
          </w:p>
        </w:tc>
        <w:tc>
          <w:tcPr>
            <w:tcW w:w="3194" w:type="dxa"/>
            <w:tcBorders>
              <w:tl2br w:val="nil"/>
              <w:tr2bl w:val="nil"/>
            </w:tcBorders>
            <w:vAlign w:val="center"/>
          </w:tcPr>
          <w:p>
            <w:pPr>
              <w:snapToGrid w:val="0"/>
              <w:spacing w:line="240" w:lineRule="auto"/>
              <w:ind w:firstLine="420" w:firstLineChars="200"/>
              <w:rPr>
                <w:rFonts w:eastAsia="仿宋_GB2312"/>
                <w:bCs/>
                <w:snapToGrid w:val="0"/>
                <w:color w:val="000000" w:themeColor="text1"/>
                <w:sz w:val="21"/>
                <w:szCs w:val="21"/>
              </w:rPr>
            </w:pPr>
            <w:r>
              <w:rPr>
                <w:rFonts w:eastAsia="仿宋_GB2312"/>
                <w:bCs/>
                <w:snapToGrid w:val="0"/>
                <w:color w:val="000000" w:themeColor="text1"/>
                <w:sz w:val="21"/>
                <w:szCs w:val="21"/>
              </w:rPr>
              <w:t>严禁在对公共设施、基础设施、工业企业、居民点等有重大影响的区域设置弃土（石、渣、灰、矸石、尾矿）场。</w:t>
            </w:r>
          </w:p>
        </w:tc>
        <w:tc>
          <w:tcPr>
            <w:tcW w:w="3743" w:type="dxa"/>
            <w:tcBorders>
              <w:tl2br w:val="nil"/>
              <w:tr2bl w:val="nil"/>
            </w:tcBorders>
            <w:vAlign w:val="center"/>
          </w:tcPr>
          <w:p>
            <w:pPr>
              <w:snapToGrid w:val="0"/>
              <w:spacing w:line="240" w:lineRule="auto"/>
              <w:ind w:firstLine="420" w:firstLineChars="200"/>
              <w:rPr>
                <w:rFonts w:eastAsia="仿宋_GB2312"/>
                <w:bCs/>
                <w:snapToGrid w:val="0"/>
                <w:color w:val="000000" w:themeColor="text1"/>
                <w:sz w:val="21"/>
                <w:szCs w:val="21"/>
              </w:rPr>
            </w:pPr>
            <w:r>
              <w:rPr>
                <w:rFonts w:eastAsia="仿宋_GB2312"/>
                <w:bCs/>
                <w:snapToGrid w:val="0"/>
                <w:color w:val="000000" w:themeColor="text1"/>
                <w:sz w:val="21"/>
                <w:szCs w:val="21"/>
              </w:rPr>
              <w:t>本项目未设置弃土（石、渣、灰、矸石、尾矿）场。</w:t>
            </w:r>
          </w:p>
        </w:tc>
        <w:tc>
          <w:tcPr>
            <w:tcW w:w="990" w:type="dxa"/>
            <w:tcBorders>
              <w:tl2br w:val="nil"/>
              <w:tr2bl w:val="nil"/>
            </w:tcBorders>
            <w:vAlign w:val="center"/>
          </w:tcPr>
          <w:p>
            <w:pPr>
              <w:snapToGrid w:val="0"/>
              <w:spacing w:line="240" w:lineRule="auto"/>
              <w:ind w:left="-72" w:leftChars="-30" w:right="-72" w:rightChars="-30"/>
              <w:jc w:val="center"/>
              <w:rPr>
                <w:rFonts w:eastAsia="仿宋_GB2312"/>
                <w:bCs/>
                <w:color w:val="000000" w:themeColor="text1"/>
                <w:sz w:val="21"/>
                <w:szCs w:val="21"/>
              </w:rPr>
            </w:pPr>
            <w:r>
              <w:rPr>
                <w:rFonts w:eastAsia="仿宋_GB2312"/>
                <w:bCs/>
                <w:color w:val="000000" w:themeColor="text1"/>
                <w:sz w:val="21"/>
                <w:szCs w:val="21"/>
              </w:rPr>
              <w:t>符合</w:t>
            </w:r>
          </w:p>
        </w:tc>
      </w:tr>
    </w:tbl>
    <w:p>
      <w:pPr>
        <w:spacing w:line="360" w:lineRule="auto"/>
        <w:ind w:firstLine="480" w:firstLineChars="200"/>
        <w:rPr>
          <w:rFonts w:eastAsia="仿宋_GB2312"/>
          <w:b/>
          <w:bCs/>
          <w:color w:val="000000" w:themeColor="text1"/>
          <w:szCs w:val="24"/>
        </w:rPr>
      </w:pPr>
      <w:r>
        <w:rPr>
          <w:rFonts w:hint="eastAsia" w:eastAsia="仿宋_GB2312"/>
          <w:color w:val="000000" w:themeColor="text1"/>
          <w:szCs w:val="24"/>
        </w:rPr>
        <w:t>本项目不属于国家和省级重点防治区，不涉及水土保持敏感区</w:t>
      </w:r>
      <w:r>
        <w:rPr>
          <w:rFonts w:eastAsia="仿宋_GB2312"/>
          <w:color w:val="000000" w:themeColor="text1"/>
          <w:szCs w:val="24"/>
        </w:rPr>
        <w:t>。通过提高防治</w:t>
      </w:r>
      <w:r>
        <w:rPr>
          <w:rFonts w:hint="eastAsia" w:eastAsia="仿宋_GB2312"/>
          <w:color w:val="000000" w:themeColor="text1"/>
          <w:szCs w:val="24"/>
        </w:rPr>
        <w:t>指标</w:t>
      </w:r>
      <w:r>
        <w:rPr>
          <w:rFonts w:eastAsia="仿宋_GB2312"/>
          <w:color w:val="000000" w:themeColor="text1"/>
          <w:szCs w:val="24"/>
        </w:rPr>
        <w:t>，严格控制扰动地表和植被损坏范围、减少工程占地、加强工程管理、优化施工工艺，有效控制水土流失。不涉及和影响饮水安全、防洪安全、水资源安全；不属于重要基础设施建设、重要民生工程、国防工程等项目。项目区不属于水土流失严重、生态脆弱的地区。主体工程选址不位于全国监测网络中的水土保持监测站点、重点试验区及国家确定的水土保持长期定位观测站，不位于河流两岸、湖泊和水库周边的植物保护带。项目区不位于饮用水水源保护区、水功能一级区的保护区和预留区、自然保护区、世界文化和自然遗产地、风景名胜区、地质公园、森林公园以及重要湿地等。本项目未设置取土（石、砂）场。本项目未设置弃土（石、渣、灰、矸石、尾矿）场。基本满足《中华人民共和国水土保持法》、《生产建设项目水土保持技术标准》（GB50433-2018）及规范性文件对主体工程选址水土保持约束性规定的要求，从水土保持角度分析，主体工程选址方案可行。</w:t>
      </w:r>
    </w:p>
    <w:p>
      <w:pPr>
        <w:pStyle w:val="4"/>
        <w:spacing w:before="0" w:after="0" w:line="360" w:lineRule="auto"/>
        <w:rPr>
          <w:rFonts w:ascii="Times New Roman" w:hAnsi="Times New Roman" w:eastAsia="仿宋_GB2312"/>
          <w:color w:val="000000" w:themeColor="text1"/>
          <w:sz w:val="28"/>
          <w:szCs w:val="28"/>
        </w:rPr>
      </w:pPr>
      <w:bookmarkStart w:id="33" w:name="_Toc5852"/>
      <w:r>
        <w:rPr>
          <w:rFonts w:ascii="Times New Roman" w:hAnsi="Times New Roman" w:eastAsia="仿宋_GB2312"/>
          <w:color w:val="000000" w:themeColor="text1"/>
          <w:sz w:val="28"/>
          <w:szCs w:val="28"/>
        </w:rPr>
        <w:t>3.2建设方案与布局水土保持评价</w:t>
      </w:r>
      <w:bookmarkEnd w:id="33"/>
    </w:p>
    <w:p>
      <w:pPr>
        <w:spacing w:line="360" w:lineRule="auto"/>
        <w:jc w:val="both"/>
        <w:rPr>
          <w:rFonts w:eastAsia="仿宋_GB2312"/>
          <w:b/>
          <w:color w:val="000000" w:themeColor="text1"/>
          <w:szCs w:val="24"/>
        </w:rPr>
      </w:pPr>
      <w:r>
        <w:rPr>
          <w:rFonts w:eastAsia="仿宋_GB2312"/>
          <w:b/>
          <w:color w:val="000000" w:themeColor="text1"/>
          <w:szCs w:val="24"/>
        </w:rPr>
        <w:t>3.2.1建设方案评价</w:t>
      </w:r>
    </w:p>
    <w:p>
      <w:pPr>
        <w:spacing w:line="360" w:lineRule="auto"/>
        <w:ind w:firstLine="480" w:firstLineChars="200"/>
        <w:jc w:val="both"/>
        <w:rPr>
          <w:color w:val="000000" w:themeColor="text1"/>
          <w:lang w:val="zh-CN"/>
        </w:rPr>
      </w:pPr>
      <w:r>
        <w:rPr>
          <w:rFonts w:eastAsia="仿宋_GB2312"/>
          <w:color w:val="000000" w:themeColor="text1"/>
          <w:szCs w:val="24"/>
        </w:rPr>
        <w:t>本项目总平面布局合理紧凑，施工生产生活区及临时堆土场布置在工程建设区内，绿化系数</w:t>
      </w:r>
      <w:r>
        <w:rPr>
          <w:rFonts w:hint="eastAsia" w:eastAsia="仿宋_GB2312"/>
          <w:color w:val="000000" w:themeColor="text1"/>
          <w:szCs w:val="24"/>
        </w:rPr>
        <w:t>符合项目规划条件设计图</w:t>
      </w:r>
      <w:r>
        <w:rPr>
          <w:rFonts w:eastAsia="仿宋_GB2312"/>
          <w:color w:val="000000" w:themeColor="text1"/>
          <w:szCs w:val="24"/>
        </w:rPr>
        <w:t>；竖向布置采取平坡式布置方式，排水设施全部采用管线方式，减少了裸露面；建构筑物施工除必要地下建筑物挖方外，采用钢筋混凝土桩基础框架结构和钢结构。施工道路利用市政部门修建的城区道路，工程建设方案总体布局在充分利用现有条件的前提下，尽量满足工程布局合理、交通运输方便、节约国土资源、减少土石方量的要求，本项目位于城区内，主体工程绿化采用园林式绿化工程设计标准，植被恢复工程设计标准采用1级标准。雨水管线工程按照《室外排水设计规范（2016年版）》（GB 50014—2006）要求设计重现期以2年进行设计，</w:t>
      </w:r>
      <w:r>
        <w:rPr>
          <w:rFonts w:eastAsia="仿宋_GB2312"/>
          <w:color w:val="000000" w:themeColor="text1"/>
          <w:szCs w:val="22"/>
        </w:rPr>
        <w:t>降雨历时为15分钟。</w:t>
      </w:r>
      <w:r>
        <w:rPr>
          <w:rFonts w:eastAsia="仿宋_GB2312"/>
          <w:color w:val="000000" w:themeColor="text1"/>
          <w:szCs w:val="24"/>
        </w:rPr>
        <w:t>本项目建设方案符合相关规定的要求，主体工程建设方案可行。</w:t>
      </w:r>
    </w:p>
    <w:p>
      <w:pPr>
        <w:spacing w:line="360" w:lineRule="auto"/>
        <w:jc w:val="both"/>
        <w:rPr>
          <w:rFonts w:eastAsia="仿宋_GB2312"/>
          <w:b/>
          <w:color w:val="000000" w:themeColor="text1"/>
          <w:szCs w:val="24"/>
        </w:rPr>
      </w:pPr>
      <w:r>
        <w:rPr>
          <w:rFonts w:eastAsia="仿宋_GB2312"/>
          <w:b/>
          <w:color w:val="000000" w:themeColor="text1"/>
          <w:szCs w:val="24"/>
        </w:rPr>
        <w:t>3.2.2工程占地评价</w:t>
      </w:r>
    </w:p>
    <w:p>
      <w:pPr>
        <w:spacing w:line="360" w:lineRule="auto"/>
        <w:ind w:firstLine="480" w:firstLineChars="200"/>
        <w:jc w:val="both"/>
        <w:rPr>
          <w:rFonts w:eastAsia="仿宋_GB2312"/>
          <w:color w:val="000000" w:themeColor="text1"/>
        </w:rPr>
      </w:pPr>
      <w:r>
        <w:rPr>
          <w:rFonts w:eastAsia="仿宋_GB2312"/>
          <w:color w:val="000000" w:themeColor="text1"/>
          <w:szCs w:val="24"/>
        </w:rPr>
        <w:t>本项目总占地面积</w:t>
      </w:r>
      <w:r>
        <w:rPr>
          <w:rFonts w:hint="eastAsia" w:eastAsia="仿宋_GB2312"/>
          <w:color w:val="000000" w:themeColor="text1"/>
          <w:szCs w:val="24"/>
          <w:lang w:eastAsia="zh-CN"/>
        </w:rPr>
        <w:t>13022</w:t>
      </w:r>
      <w:r>
        <w:rPr>
          <w:rFonts w:eastAsia="仿宋_GB2312"/>
          <w:color w:val="000000" w:themeColor="text1"/>
          <w:szCs w:val="24"/>
        </w:rPr>
        <w:t>m²，其中建筑物基底面积</w:t>
      </w:r>
      <w:r>
        <w:rPr>
          <w:rFonts w:hint="eastAsia" w:eastAsia="仿宋_GB2312"/>
          <w:color w:val="000000" w:themeColor="text1"/>
          <w:szCs w:val="24"/>
          <w:lang w:eastAsia="zh-CN"/>
        </w:rPr>
        <w:t>8004.42</w:t>
      </w:r>
      <w:r>
        <w:rPr>
          <w:rFonts w:eastAsia="仿宋_GB2312"/>
          <w:color w:val="000000" w:themeColor="text1"/>
          <w:szCs w:val="24"/>
        </w:rPr>
        <w:t>m²，道路及硬化区域占地面积</w:t>
      </w:r>
      <w:r>
        <w:rPr>
          <w:rFonts w:hint="eastAsia" w:eastAsia="仿宋_GB2312"/>
          <w:color w:val="000000" w:themeColor="text1"/>
          <w:szCs w:val="24"/>
          <w:lang w:eastAsia="zh-CN"/>
        </w:rPr>
        <w:t>2058.36</w:t>
      </w:r>
      <w:r>
        <w:rPr>
          <w:rFonts w:eastAsia="仿宋_GB2312"/>
          <w:color w:val="000000" w:themeColor="text1"/>
          <w:szCs w:val="24"/>
        </w:rPr>
        <w:t>m²，绿化区域占地面积</w:t>
      </w:r>
      <w:r>
        <w:rPr>
          <w:rFonts w:hint="eastAsia" w:eastAsia="仿宋_GB2312"/>
          <w:color w:val="000000" w:themeColor="text1"/>
          <w:szCs w:val="24"/>
          <w:lang w:eastAsia="zh-CN"/>
        </w:rPr>
        <w:t>1258.75</w:t>
      </w:r>
      <w:r>
        <w:rPr>
          <w:rFonts w:eastAsia="仿宋_GB2312"/>
          <w:color w:val="000000" w:themeColor="text1"/>
          <w:szCs w:val="24"/>
        </w:rPr>
        <w:t>m²；绿地率</w:t>
      </w:r>
      <w:r>
        <w:rPr>
          <w:rFonts w:hint="eastAsia" w:eastAsia="仿宋_GB2312"/>
          <w:color w:val="000000" w:themeColor="text1"/>
          <w:szCs w:val="24"/>
          <w:lang w:eastAsia="zh-CN"/>
        </w:rPr>
        <w:t>9.67</w:t>
      </w:r>
      <w:r>
        <w:rPr>
          <w:rFonts w:eastAsia="仿宋_GB2312"/>
          <w:color w:val="000000" w:themeColor="text1"/>
          <w:szCs w:val="24"/>
        </w:rPr>
        <w:t>%</w:t>
      </w:r>
      <w:r>
        <w:rPr>
          <w:rFonts w:eastAsia="仿宋_GB2312"/>
          <w:color w:val="000000" w:themeColor="text1"/>
          <w:szCs w:val="24"/>
          <w:lang w:val="zh-CN"/>
        </w:rPr>
        <w:t>，容积率</w:t>
      </w:r>
      <w:r>
        <w:rPr>
          <w:rFonts w:hint="eastAsia" w:eastAsia="仿宋_GB2312"/>
          <w:color w:val="000000" w:themeColor="text1"/>
          <w:szCs w:val="24"/>
          <w:lang w:val="en-US" w:eastAsia="zh-CN"/>
        </w:rPr>
        <w:t>1.02</w:t>
      </w:r>
      <w:r>
        <w:rPr>
          <w:rFonts w:eastAsia="仿宋_GB2312"/>
          <w:color w:val="000000" w:themeColor="text1"/>
          <w:szCs w:val="24"/>
        </w:rPr>
        <w:t>，建筑密度为</w:t>
      </w:r>
      <w:r>
        <w:rPr>
          <w:rFonts w:hint="eastAsia" w:eastAsia="仿宋_GB2312"/>
          <w:color w:val="000000" w:themeColor="text1"/>
          <w:szCs w:val="24"/>
          <w:lang w:eastAsia="zh-CN"/>
        </w:rPr>
        <w:t>61.47</w:t>
      </w:r>
      <w:r>
        <w:rPr>
          <w:rFonts w:eastAsia="仿宋_GB2312"/>
          <w:color w:val="000000" w:themeColor="text1"/>
          <w:szCs w:val="24"/>
        </w:rPr>
        <w:t>%</w:t>
      </w:r>
      <w:r>
        <w:rPr>
          <w:rFonts w:eastAsia="仿宋_GB2312"/>
          <w:color w:val="000000" w:themeColor="text1"/>
          <w:szCs w:val="24"/>
          <w:lang w:val="zh-CN"/>
        </w:rPr>
        <w:t>。</w:t>
      </w:r>
      <w:r>
        <w:rPr>
          <w:rFonts w:eastAsia="仿宋_GB2312"/>
          <w:color w:val="000000" w:themeColor="text1"/>
          <w:szCs w:val="24"/>
        </w:rPr>
        <w:t>本工程占地类型为</w:t>
      </w:r>
      <w:r>
        <w:rPr>
          <w:rFonts w:hint="eastAsia" w:eastAsia="仿宋_GB2312"/>
          <w:color w:val="000000" w:themeColor="text1"/>
          <w:szCs w:val="24"/>
          <w:lang w:val="en-US" w:eastAsia="zh-CN"/>
        </w:rPr>
        <w:t>工业</w:t>
      </w:r>
      <w:r>
        <w:rPr>
          <w:rFonts w:hint="eastAsia" w:eastAsia="仿宋_GB2312"/>
          <w:color w:val="000000" w:themeColor="text1"/>
          <w:szCs w:val="24"/>
        </w:rPr>
        <w:t>用地</w:t>
      </w:r>
      <w:r>
        <w:rPr>
          <w:rFonts w:eastAsia="仿宋_GB2312"/>
          <w:color w:val="000000" w:themeColor="text1"/>
          <w:szCs w:val="24"/>
        </w:rPr>
        <w:t>，不占用耕地、林地等农林用地，对当地土地生产力不造成影响，工程占地符合节约用地和减少扰动的要求。</w:t>
      </w:r>
      <w:r>
        <w:rPr>
          <w:rFonts w:eastAsia="仿宋_GB2312"/>
          <w:color w:val="000000" w:themeColor="text1"/>
        </w:rPr>
        <w:t>施工生产生活区位于项目区内</w:t>
      </w:r>
      <w:r>
        <w:rPr>
          <w:rFonts w:hint="eastAsia" w:eastAsia="仿宋_GB2312"/>
          <w:color w:val="000000" w:themeColor="text1"/>
          <w:lang w:val="en-US" w:eastAsia="zh-CN"/>
        </w:rPr>
        <w:t>北</w:t>
      </w:r>
      <w:r>
        <w:rPr>
          <w:rFonts w:hint="eastAsia" w:eastAsia="仿宋_GB2312"/>
          <w:color w:val="000000" w:themeColor="text1"/>
        </w:rPr>
        <w:t>侧</w:t>
      </w:r>
      <w:r>
        <w:rPr>
          <w:rFonts w:eastAsia="仿宋_GB2312"/>
          <w:color w:val="000000" w:themeColor="text1"/>
        </w:rPr>
        <w:t>绿化区域，临时堆放场位于项目区内</w:t>
      </w:r>
      <w:r>
        <w:rPr>
          <w:rFonts w:hint="eastAsia" w:eastAsia="仿宋_GB2312"/>
          <w:color w:val="000000" w:themeColor="text1"/>
          <w:lang w:val="en-US" w:eastAsia="zh-CN"/>
        </w:rPr>
        <w:t>东</w:t>
      </w:r>
      <w:r>
        <w:rPr>
          <w:rFonts w:hint="eastAsia" w:eastAsia="仿宋_GB2312"/>
          <w:color w:val="000000" w:themeColor="text1"/>
        </w:rPr>
        <w:t>侧</w:t>
      </w:r>
      <w:r>
        <w:rPr>
          <w:rFonts w:eastAsia="仿宋_GB2312"/>
          <w:color w:val="000000" w:themeColor="text1"/>
        </w:rPr>
        <w:t>区域，施工占地满足施工要求。</w:t>
      </w:r>
    </w:p>
    <w:p>
      <w:pPr>
        <w:spacing w:line="360" w:lineRule="auto"/>
        <w:ind w:firstLine="480" w:firstLineChars="200"/>
        <w:jc w:val="both"/>
        <w:rPr>
          <w:color w:val="000000" w:themeColor="text1"/>
          <w:highlight w:val="cyan"/>
        </w:rPr>
      </w:pPr>
      <w:r>
        <w:rPr>
          <w:rFonts w:eastAsia="仿宋_GB2312"/>
          <w:color w:val="000000" w:themeColor="text1"/>
          <w:szCs w:val="24"/>
        </w:rPr>
        <w:t>工程建设施工过程中严格管理，施工结束后，项目占地范围内除绿化区域，全部被硬化及建构筑物覆盖，工程建设过程中产生水土流失的范围和程度及原地貌现状水土流失都会得到控制，因此本工程占地是比较合理的。</w:t>
      </w:r>
    </w:p>
    <w:p>
      <w:pPr>
        <w:spacing w:line="360" w:lineRule="auto"/>
        <w:jc w:val="both"/>
        <w:rPr>
          <w:rFonts w:eastAsia="仿宋_GB2312"/>
          <w:b/>
          <w:color w:val="000000" w:themeColor="text1"/>
          <w:szCs w:val="24"/>
        </w:rPr>
      </w:pPr>
      <w:r>
        <w:rPr>
          <w:rFonts w:eastAsia="仿宋_GB2312"/>
          <w:b/>
          <w:color w:val="000000" w:themeColor="text1"/>
          <w:szCs w:val="24"/>
        </w:rPr>
        <w:t>3.2.3土石方平衡评价</w:t>
      </w:r>
    </w:p>
    <w:p>
      <w:pPr>
        <w:pStyle w:val="106"/>
        <w:spacing w:line="360" w:lineRule="auto"/>
        <w:ind w:firstLine="480"/>
        <w:rPr>
          <w:rFonts w:eastAsia="仿宋_GB2312"/>
          <w:color w:val="000000" w:themeColor="text1"/>
        </w:rPr>
      </w:pPr>
      <w:r>
        <w:rPr>
          <w:rFonts w:eastAsia="仿宋_GB2312"/>
          <w:color w:val="000000" w:themeColor="text1"/>
          <w:kern w:val="0"/>
          <w:szCs w:val="20"/>
        </w:rPr>
        <w:t>（1）表土分析评价</w:t>
      </w:r>
    </w:p>
    <w:p>
      <w:pPr>
        <w:spacing w:line="360" w:lineRule="auto"/>
        <w:ind w:firstLine="480" w:firstLineChars="200"/>
        <w:jc w:val="both"/>
        <w:rPr>
          <w:rFonts w:eastAsia="仿宋_GB2312"/>
          <w:color w:val="000000" w:themeColor="text1"/>
          <w:szCs w:val="24"/>
        </w:rPr>
      </w:pPr>
      <w:r>
        <w:rPr>
          <w:rFonts w:eastAsia="仿宋_GB2312"/>
          <w:color w:val="000000" w:themeColor="text1"/>
        </w:rPr>
        <w:t>经现场查勘，本项目用地范围为政府拆迁后净地，地表物质组成为杂填土</w:t>
      </w:r>
      <w:r>
        <w:rPr>
          <w:rFonts w:eastAsia="仿宋_GB2312"/>
          <w:color w:val="000000" w:themeColor="text1"/>
          <w:szCs w:val="24"/>
        </w:rPr>
        <w:t>，</w:t>
      </w:r>
      <w:r>
        <w:rPr>
          <w:rFonts w:eastAsia="仿宋_GB2312"/>
          <w:color w:val="000000" w:themeColor="text1"/>
        </w:rPr>
        <w:t>不具备表土剥离条件；施工结束后，对拟采取绿化措施区域进行</w:t>
      </w:r>
      <w:r>
        <w:rPr>
          <w:rFonts w:eastAsia="仿宋_GB2312"/>
          <w:snapToGrid w:val="0"/>
          <w:color w:val="000000" w:themeColor="text1"/>
          <w:szCs w:val="24"/>
        </w:rPr>
        <w:t>绿化用土回覆</w:t>
      </w:r>
      <w:r>
        <w:rPr>
          <w:rFonts w:eastAsia="仿宋_GB2312"/>
          <w:color w:val="000000" w:themeColor="text1"/>
        </w:rPr>
        <w:t>，工程建设区绿化用土回覆面积</w:t>
      </w:r>
      <w:r>
        <w:rPr>
          <w:rFonts w:hint="eastAsia" w:eastAsia="仿宋_GB2312"/>
          <w:color w:val="000000" w:themeColor="text1"/>
        </w:rPr>
        <w:t>0.</w:t>
      </w:r>
      <w:r>
        <w:rPr>
          <w:rFonts w:hint="eastAsia" w:eastAsia="仿宋_GB2312"/>
          <w:color w:val="000000" w:themeColor="text1"/>
          <w:lang w:val="en-US" w:eastAsia="zh-CN"/>
        </w:rPr>
        <w:t>13</w:t>
      </w:r>
      <w:r>
        <w:rPr>
          <w:rFonts w:hint="eastAsia" w:eastAsia="仿宋_GB2312"/>
          <w:color w:val="000000" w:themeColor="text1"/>
        </w:rPr>
        <w:t>h</w:t>
      </w:r>
      <w:r>
        <w:rPr>
          <w:rFonts w:eastAsia="仿宋_GB2312"/>
          <w:color w:val="000000" w:themeColor="text1"/>
        </w:rPr>
        <w:t>m²，回覆厚度0.</w:t>
      </w:r>
      <w:r>
        <w:rPr>
          <w:rFonts w:hint="eastAsia" w:eastAsia="仿宋_GB2312"/>
          <w:color w:val="000000" w:themeColor="text1"/>
        </w:rPr>
        <w:t>30</w:t>
      </w:r>
      <w:r>
        <w:rPr>
          <w:rFonts w:eastAsia="仿宋_GB2312"/>
          <w:color w:val="000000" w:themeColor="text1"/>
        </w:rPr>
        <w:t>m，绿化用土回覆量</w:t>
      </w:r>
      <w:r>
        <w:rPr>
          <w:rFonts w:hint="eastAsia" w:eastAsia="仿宋_GB2312"/>
          <w:color w:val="000000" w:themeColor="text1"/>
        </w:rPr>
        <w:t>0.</w:t>
      </w:r>
      <w:r>
        <w:rPr>
          <w:rFonts w:hint="eastAsia" w:eastAsia="仿宋_GB2312"/>
          <w:color w:val="000000" w:themeColor="text1"/>
          <w:lang w:val="en-US" w:eastAsia="zh-CN"/>
        </w:rPr>
        <w:t>04</w:t>
      </w:r>
      <w:r>
        <w:rPr>
          <w:rFonts w:eastAsia="仿宋_GB2312"/>
          <w:color w:val="000000" w:themeColor="text1"/>
        </w:rPr>
        <w:t>万</w:t>
      </w:r>
      <w:r>
        <w:rPr>
          <w:rFonts w:eastAsia="仿宋_GB2312"/>
          <w:color w:val="000000" w:themeColor="text1"/>
          <w:szCs w:val="24"/>
        </w:rPr>
        <w:t>m³，</w:t>
      </w:r>
      <w:r>
        <w:rPr>
          <w:rFonts w:eastAsia="仿宋_GB2312"/>
          <w:color w:val="000000" w:themeColor="text1"/>
        </w:rPr>
        <w:t>委托园林绿化公司负责绿化工作，绿化用土由园林绿化公司提供，水土流失防治责任由供应方负责</w:t>
      </w:r>
      <w:r>
        <w:rPr>
          <w:rFonts w:hint="eastAsia" w:eastAsia="仿宋_GB2312"/>
          <w:color w:val="000000" w:themeColor="text1"/>
          <w:szCs w:val="24"/>
        </w:rPr>
        <w:t>。</w:t>
      </w:r>
    </w:p>
    <w:p>
      <w:pPr>
        <w:spacing w:line="360" w:lineRule="auto"/>
        <w:ind w:firstLine="480" w:firstLineChars="200"/>
        <w:jc w:val="both"/>
        <w:rPr>
          <w:rFonts w:eastAsia="仿宋_GB2312"/>
          <w:snapToGrid w:val="0"/>
          <w:color w:val="000000" w:themeColor="text1"/>
        </w:rPr>
      </w:pPr>
      <w:r>
        <w:rPr>
          <w:rFonts w:eastAsia="仿宋_GB2312"/>
          <w:snapToGrid w:val="0"/>
          <w:color w:val="000000" w:themeColor="text1"/>
        </w:rPr>
        <w:t>（2）土石方分析评价</w:t>
      </w:r>
    </w:p>
    <w:p>
      <w:pPr>
        <w:spacing w:line="360" w:lineRule="auto"/>
        <w:ind w:firstLine="480" w:firstLineChars="200"/>
        <w:rPr>
          <w:rFonts w:eastAsia="仿宋_GB2312"/>
          <w:color w:val="000000" w:themeColor="text1"/>
          <w:highlight w:val="cyan"/>
        </w:rPr>
      </w:pPr>
      <w:r>
        <w:rPr>
          <w:rFonts w:hint="eastAsia" w:eastAsia="仿宋_GB2312"/>
          <w:color w:val="000000" w:themeColor="text1"/>
          <w:szCs w:val="24"/>
        </w:rPr>
        <w:t>本项目</w:t>
      </w:r>
      <w:r>
        <w:rPr>
          <w:rFonts w:eastAsia="仿宋_GB2312"/>
          <w:color w:val="000000" w:themeColor="text1"/>
          <w:szCs w:val="24"/>
        </w:rPr>
        <w:t>建筑物基础开挖</w:t>
      </w:r>
      <w:r>
        <w:rPr>
          <w:rFonts w:hint="eastAsia" w:eastAsia="仿宋_GB2312"/>
          <w:color w:val="000000" w:themeColor="text1"/>
          <w:szCs w:val="24"/>
        </w:rPr>
        <w:t>0.</w:t>
      </w:r>
      <w:r>
        <w:rPr>
          <w:rFonts w:hint="eastAsia" w:eastAsia="仿宋_GB2312"/>
          <w:color w:val="000000" w:themeColor="text1"/>
          <w:szCs w:val="24"/>
          <w:lang w:val="en-US" w:eastAsia="zh-CN"/>
        </w:rPr>
        <w:t>34</w:t>
      </w:r>
      <w:r>
        <w:rPr>
          <w:rFonts w:eastAsia="仿宋_GB2312"/>
          <w:color w:val="000000" w:themeColor="text1"/>
          <w:szCs w:val="24"/>
        </w:rPr>
        <w:t>万m</w:t>
      </w:r>
      <w:r>
        <w:rPr>
          <w:rFonts w:eastAsia="仿宋_GB2312"/>
          <w:color w:val="000000" w:themeColor="text1"/>
          <w:szCs w:val="24"/>
          <w:vertAlign w:val="superscript"/>
        </w:rPr>
        <w:t>3</w:t>
      </w:r>
      <w:r>
        <w:rPr>
          <w:rFonts w:eastAsia="仿宋_GB2312"/>
          <w:color w:val="000000" w:themeColor="text1"/>
          <w:szCs w:val="24"/>
        </w:rPr>
        <w:t>，基础回填</w:t>
      </w:r>
      <w:r>
        <w:rPr>
          <w:rFonts w:hint="eastAsia" w:eastAsia="仿宋_GB2312"/>
          <w:color w:val="000000" w:themeColor="text1"/>
          <w:szCs w:val="24"/>
        </w:rPr>
        <w:t>0.</w:t>
      </w:r>
      <w:r>
        <w:rPr>
          <w:rFonts w:hint="eastAsia" w:eastAsia="仿宋_GB2312"/>
          <w:color w:val="000000" w:themeColor="text1"/>
          <w:szCs w:val="24"/>
          <w:lang w:val="en-US" w:eastAsia="zh-CN"/>
        </w:rPr>
        <w:t>15</w:t>
      </w:r>
      <w:r>
        <w:rPr>
          <w:rFonts w:eastAsia="仿宋_GB2312"/>
          <w:color w:val="000000" w:themeColor="text1"/>
          <w:szCs w:val="24"/>
        </w:rPr>
        <w:t>万m</w:t>
      </w:r>
      <w:r>
        <w:rPr>
          <w:rFonts w:eastAsia="仿宋_GB2312"/>
          <w:color w:val="000000" w:themeColor="text1"/>
          <w:szCs w:val="24"/>
          <w:vertAlign w:val="superscript"/>
        </w:rPr>
        <w:t>3</w:t>
      </w:r>
      <w:r>
        <w:rPr>
          <w:rFonts w:eastAsia="仿宋_GB2312"/>
          <w:color w:val="000000" w:themeColor="text1"/>
          <w:szCs w:val="24"/>
        </w:rPr>
        <w:t>、场地平整</w:t>
      </w:r>
      <w:r>
        <w:rPr>
          <w:rFonts w:hint="eastAsia" w:eastAsia="仿宋_GB2312"/>
          <w:color w:val="000000" w:themeColor="text1"/>
          <w:szCs w:val="24"/>
        </w:rPr>
        <w:t>0.</w:t>
      </w:r>
      <w:r>
        <w:rPr>
          <w:rFonts w:hint="eastAsia" w:eastAsia="仿宋_GB2312"/>
          <w:color w:val="000000" w:themeColor="text1"/>
          <w:szCs w:val="24"/>
          <w:lang w:val="en-US" w:eastAsia="zh-CN"/>
        </w:rPr>
        <w:t>19</w:t>
      </w:r>
      <w:r>
        <w:rPr>
          <w:rFonts w:eastAsia="仿宋_GB2312"/>
          <w:color w:val="000000" w:themeColor="text1"/>
          <w:szCs w:val="24"/>
        </w:rPr>
        <w:t>万m</w:t>
      </w:r>
      <w:r>
        <w:rPr>
          <w:rFonts w:eastAsia="仿宋_GB2312"/>
          <w:color w:val="000000" w:themeColor="text1"/>
          <w:szCs w:val="24"/>
          <w:vertAlign w:val="superscript"/>
        </w:rPr>
        <w:t>3</w:t>
      </w:r>
      <w:r>
        <w:rPr>
          <w:rFonts w:eastAsia="仿宋_GB2312"/>
          <w:color w:val="000000" w:themeColor="text1"/>
          <w:szCs w:val="24"/>
        </w:rPr>
        <w:t>。</w:t>
      </w:r>
      <w:r>
        <w:rPr>
          <w:rFonts w:eastAsia="仿宋_GB2312"/>
          <w:color w:val="000000" w:themeColor="text1"/>
        </w:rPr>
        <w:t>工程建设区各类管线铺设需开挖沟槽总长</w:t>
      </w:r>
      <w:r>
        <w:rPr>
          <w:rFonts w:hint="eastAsia" w:eastAsia="仿宋_GB2312"/>
          <w:color w:val="000000" w:themeColor="text1"/>
          <w:lang w:val="en-US" w:eastAsia="zh-CN"/>
        </w:rPr>
        <w:t>731</w:t>
      </w:r>
      <w:r>
        <w:rPr>
          <w:rFonts w:eastAsia="仿宋_GB2312"/>
          <w:color w:val="000000" w:themeColor="text1"/>
        </w:rPr>
        <w:t>m，沟槽土方开挖量为0.</w:t>
      </w:r>
      <w:r>
        <w:rPr>
          <w:rFonts w:hint="eastAsia" w:eastAsia="仿宋_GB2312"/>
          <w:color w:val="000000" w:themeColor="text1"/>
          <w:lang w:val="en-US" w:eastAsia="zh-CN"/>
        </w:rPr>
        <w:t>15</w:t>
      </w:r>
      <w:r>
        <w:rPr>
          <w:rFonts w:eastAsia="仿宋_GB2312"/>
          <w:color w:val="000000" w:themeColor="text1"/>
        </w:rPr>
        <w:t>万m³，</w:t>
      </w:r>
      <w:r>
        <w:rPr>
          <w:rFonts w:eastAsia="仿宋_GB2312"/>
          <w:color w:val="000000" w:themeColor="text1"/>
          <w:szCs w:val="24"/>
        </w:rPr>
        <w:t>沟槽开挖</w:t>
      </w:r>
      <w:r>
        <w:rPr>
          <w:rFonts w:eastAsia="仿宋_GB2312"/>
          <w:color w:val="000000" w:themeColor="text1"/>
        </w:rPr>
        <w:t>土方</w:t>
      </w:r>
      <w:r>
        <w:rPr>
          <w:rFonts w:eastAsia="仿宋_GB2312"/>
          <w:color w:val="000000" w:themeColor="text1"/>
          <w:szCs w:val="24"/>
        </w:rPr>
        <w:t>无需集中堆存，管线施工结束后立即回填，</w:t>
      </w:r>
      <w:r>
        <w:rPr>
          <w:rFonts w:eastAsia="仿宋_GB2312"/>
          <w:color w:val="000000" w:themeColor="text1"/>
        </w:rPr>
        <w:t>回填量0.</w:t>
      </w:r>
      <w:r>
        <w:rPr>
          <w:rFonts w:hint="eastAsia" w:eastAsia="仿宋_GB2312"/>
          <w:color w:val="000000" w:themeColor="text1"/>
          <w:lang w:val="en-US" w:eastAsia="zh-CN"/>
        </w:rPr>
        <w:t>15</w:t>
      </w:r>
      <w:r>
        <w:rPr>
          <w:rFonts w:eastAsia="仿宋_GB2312"/>
          <w:color w:val="000000" w:themeColor="text1"/>
        </w:rPr>
        <w:t>万m³。</w:t>
      </w:r>
    </w:p>
    <w:p>
      <w:pPr>
        <w:spacing w:line="360" w:lineRule="auto"/>
        <w:ind w:firstLine="480" w:firstLineChars="200"/>
        <w:jc w:val="both"/>
        <w:rPr>
          <w:rFonts w:eastAsia="仿宋_GB2312"/>
          <w:snapToGrid w:val="0"/>
          <w:color w:val="000000" w:themeColor="text1"/>
        </w:rPr>
      </w:pPr>
      <w:r>
        <w:rPr>
          <w:rFonts w:eastAsia="仿宋_GB2312"/>
          <w:color w:val="000000" w:themeColor="text1"/>
          <w:szCs w:val="24"/>
        </w:rPr>
        <w:t>（3）</w:t>
      </w:r>
      <w:r>
        <w:rPr>
          <w:rFonts w:eastAsia="仿宋_GB2312"/>
          <w:color w:val="000000" w:themeColor="text1"/>
        </w:rPr>
        <w:t>临时堆土分析评价</w:t>
      </w:r>
    </w:p>
    <w:p>
      <w:pPr>
        <w:spacing w:line="360" w:lineRule="auto"/>
        <w:ind w:firstLine="480" w:firstLineChars="200"/>
        <w:jc w:val="both"/>
        <w:rPr>
          <w:rFonts w:eastAsia="仿宋_GB2312"/>
          <w:color w:val="000000" w:themeColor="text1"/>
        </w:rPr>
      </w:pPr>
      <w:r>
        <w:rPr>
          <w:rFonts w:eastAsia="仿宋_GB2312"/>
          <w:color w:val="000000" w:themeColor="text1"/>
        </w:rPr>
        <w:t>本项目土方临时堆放场位于项目区</w:t>
      </w:r>
      <w:r>
        <w:rPr>
          <w:rFonts w:hint="eastAsia" w:eastAsia="仿宋_GB2312"/>
          <w:color w:val="000000" w:themeColor="text1"/>
        </w:rPr>
        <w:t>内中间空地</w:t>
      </w:r>
      <w:r>
        <w:rPr>
          <w:rFonts w:eastAsia="仿宋_GB2312"/>
          <w:color w:val="000000" w:themeColor="text1"/>
        </w:rPr>
        <w:t>，</w:t>
      </w:r>
      <w:r>
        <w:rPr>
          <w:rFonts w:eastAsia="仿宋_GB2312"/>
          <w:snapToGrid w:val="0"/>
          <w:color w:val="000000" w:themeColor="text1"/>
          <w:szCs w:val="24"/>
        </w:rPr>
        <w:t>台体堆放，边坡比1:1</w:t>
      </w:r>
      <w:r>
        <w:rPr>
          <w:rFonts w:hint="eastAsia" w:eastAsia="仿宋_GB2312"/>
          <w:snapToGrid w:val="0"/>
          <w:color w:val="000000" w:themeColor="text1"/>
          <w:szCs w:val="24"/>
        </w:rPr>
        <w:t>.5</w:t>
      </w:r>
      <w:r>
        <w:rPr>
          <w:rFonts w:eastAsia="仿宋_GB2312"/>
          <w:snapToGrid w:val="0"/>
          <w:color w:val="000000" w:themeColor="text1"/>
          <w:szCs w:val="24"/>
        </w:rPr>
        <w:t>，</w:t>
      </w:r>
      <w:r>
        <w:rPr>
          <w:rFonts w:eastAsia="仿宋_GB2312"/>
          <w:color w:val="000000" w:themeColor="text1"/>
        </w:rPr>
        <w:t>土方临时堆土场</w:t>
      </w:r>
      <w:r>
        <w:rPr>
          <w:rFonts w:eastAsia="仿宋_GB2312"/>
          <w:color w:val="000000" w:themeColor="text1"/>
          <w:szCs w:val="24"/>
        </w:rPr>
        <w:t>规格为</w:t>
      </w:r>
      <w:r>
        <w:rPr>
          <w:rFonts w:hint="eastAsia" w:eastAsia="仿宋_GB2312"/>
          <w:color w:val="000000" w:themeColor="text1"/>
          <w:szCs w:val="24"/>
        </w:rPr>
        <w:t>5</w:t>
      </w:r>
      <w:r>
        <w:rPr>
          <w:rFonts w:hint="eastAsia" w:eastAsia="仿宋_GB2312"/>
          <w:color w:val="000000" w:themeColor="text1"/>
          <w:szCs w:val="24"/>
          <w:lang w:val="en-US" w:eastAsia="zh-CN"/>
        </w:rPr>
        <w:t>5</w:t>
      </w:r>
      <w:r>
        <w:rPr>
          <w:rFonts w:eastAsia="仿宋_GB2312"/>
          <w:color w:val="000000" w:themeColor="text1"/>
        </w:rPr>
        <w:t>m（长）×</w:t>
      </w:r>
      <w:r>
        <w:rPr>
          <w:rFonts w:hint="eastAsia" w:eastAsia="仿宋_GB2312"/>
          <w:color w:val="000000" w:themeColor="text1"/>
          <w:lang w:val="en-US" w:eastAsia="zh-CN"/>
        </w:rPr>
        <w:t>12</w:t>
      </w:r>
      <w:r>
        <w:rPr>
          <w:rFonts w:eastAsia="仿宋_GB2312"/>
          <w:color w:val="000000" w:themeColor="text1"/>
        </w:rPr>
        <w:t>m（宽）</w:t>
      </w:r>
      <w:r>
        <w:rPr>
          <w:rFonts w:eastAsia="仿宋_GB2312"/>
          <w:color w:val="000000" w:themeColor="text1"/>
          <w:szCs w:val="24"/>
        </w:rPr>
        <w:t>，占地面积</w:t>
      </w:r>
      <w:r>
        <w:rPr>
          <w:rFonts w:hint="eastAsia" w:eastAsia="仿宋_GB2312"/>
          <w:color w:val="000000" w:themeColor="text1"/>
          <w:szCs w:val="24"/>
          <w:lang w:val="en-US" w:eastAsia="zh-CN"/>
        </w:rPr>
        <w:t>66</w:t>
      </w:r>
      <w:r>
        <w:rPr>
          <w:rFonts w:hint="eastAsia" w:eastAsia="仿宋_GB2312"/>
          <w:color w:val="000000" w:themeColor="text1"/>
          <w:szCs w:val="24"/>
        </w:rPr>
        <w:t>0</w:t>
      </w:r>
      <w:r>
        <w:rPr>
          <w:rFonts w:eastAsia="仿宋_GB2312"/>
          <w:color w:val="000000" w:themeColor="text1"/>
          <w:szCs w:val="24"/>
        </w:rPr>
        <w:t>m</w:t>
      </w:r>
      <w:r>
        <w:rPr>
          <w:rFonts w:eastAsia="仿宋_GB2312"/>
          <w:color w:val="000000" w:themeColor="text1"/>
          <w:szCs w:val="24"/>
          <w:vertAlign w:val="superscript"/>
        </w:rPr>
        <w:t>2</w:t>
      </w:r>
      <w:r>
        <w:rPr>
          <w:rFonts w:eastAsia="仿宋_GB2312"/>
          <w:color w:val="000000" w:themeColor="text1"/>
          <w:szCs w:val="24"/>
        </w:rPr>
        <w:t>，堆高为</w:t>
      </w:r>
      <w:r>
        <w:rPr>
          <w:rFonts w:hint="eastAsia" w:eastAsia="仿宋_GB2312"/>
          <w:color w:val="000000" w:themeColor="text1"/>
          <w:szCs w:val="24"/>
        </w:rPr>
        <w:t>4</w:t>
      </w:r>
      <w:r>
        <w:rPr>
          <w:rFonts w:eastAsia="仿宋_GB2312"/>
          <w:color w:val="000000" w:themeColor="text1"/>
          <w:szCs w:val="24"/>
        </w:rPr>
        <w:t>.0m，共计堆土</w:t>
      </w:r>
      <w:r>
        <w:rPr>
          <w:rFonts w:hint="eastAsia" w:eastAsia="仿宋_GB2312"/>
          <w:color w:val="000000" w:themeColor="text1"/>
          <w:szCs w:val="24"/>
        </w:rPr>
        <w:t>0.</w:t>
      </w:r>
      <w:r>
        <w:rPr>
          <w:rFonts w:hint="eastAsia" w:eastAsia="仿宋_GB2312"/>
          <w:color w:val="000000" w:themeColor="text1"/>
          <w:szCs w:val="24"/>
          <w:lang w:val="en-US" w:eastAsia="zh-CN"/>
        </w:rPr>
        <w:t>15</w:t>
      </w:r>
      <w:r>
        <w:rPr>
          <w:rFonts w:eastAsia="仿宋_GB2312"/>
          <w:color w:val="000000" w:themeColor="text1"/>
          <w:szCs w:val="24"/>
        </w:rPr>
        <w:t>万m</w:t>
      </w:r>
      <w:r>
        <w:rPr>
          <w:rFonts w:eastAsia="仿宋_GB2312"/>
          <w:color w:val="000000" w:themeColor="text1"/>
          <w:szCs w:val="24"/>
          <w:vertAlign w:val="superscript"/>
        </w:rPr>
        <w:t>3</w:t>
      </w:r>
      <w:r>
        <w:rPr>
          <w:rFonts w:eastAsia="仿宋_GB2312"/>
          <w:color w:val="000000" w:themeColor="text1"/>
          <w:szCs w:val="24"/>
        </w:rPr>
        <w:t>，</w:t>
      </w:r>
      <w:r>
        <w:rPr>
          <w:rFonts w:eastAsia="仿宋_GB2312"/>
          <w:color w:val="000000" w:themeColor="text1"/>
        </w:rPr>
        <w:t>临时堆土场容积</w:t>
      </w:r>
      <w:r>
        <w:rPr>
          <w:rFonts w:hint="eastAsia" w:eastAsia="仿宋_GB2312"/>
          <w:color w:val="000000" w:themeColor="text1"/>
        </w:rPr>
        <w:t>0.</w:t>
      </w:r>
      <w:r>
        <w:rPr>
          <w:rFonts w:hint="eastAsia" w:eastAsia="仿宋_GB2312"/>
          <w:color w:val="000000" w:themeColor="text1"/>
          <w:lang w:val="en-US" w:eastAsia="zh-CN"/>
        </w:rPr>
        <w:t>15</w:t>
      </w:r>
      <w:r>
        <w:rPr>
          <w:rFonts w:eastAsia="仿宋_GB2312"/>
          <w:color w:val="000000" w:themeColor="text1"/>
          <w:szCs w:val="24"/>
        </w:rPr>
        <w:t>万m</w:t>
      </w:r>
      <w:r>
        <w:rPr>
          <w:rFonts w:eastAsia="仿宋_GB2312"/>
          <w:color w:val="000000" w:themeColor="text1"/>
          <w:szCs w:val="24"/>
          <w:vertAlign w:val="superscript"/>
        </w:rPr>
        <w:t>3</w:t>
      </w:r>
      <w:r>
        <w:rPr>
          <w:rFonts w:eastAsia="仿宋_GB2312"/>
          <w:color w:val="000000" w:themeColor="text1"/>
          <w:szCs w:val="24"/>
        </w:rPr>
        <w:t>，</w:t>
      </w:r>
      <w:r>
        <w:rPr>
          <w:rFonts w:eastAsia="仿宋_GB2312"/>
          <w:color w:val="000000" w:themeColor="text1"/>
        </w:rPr>
        <w:t>土方临时堆放场满足本项目土方堆置需求。</w:t>
      </w:r>
    </w:p>
    <w:p>
      <w:pPr>
        <w:spacing w:line="360" w:lineRule="auto"/>
        <w:ind w:firstLine="480" w:firstLineChars="200"/>
        <w:jc w:val="both"/>
        <w:rPr>
          <w:rFonts w:eastAsia="仿宋_GB2312"/>
          <w:snapToGrid w:val="0"/>
          <w:color w:val="000000" w:themeColor="text1"/>
          <w:highlight w:val="cyan"/>
        </w:rPr>
      </w:pPr>
      <w:r>
        <w:rPr>
          <w:rFonts w:eastAsia="仿宋_GB2312"/>
          <w:color w:val="000000" w:themeColor="text1"/>
        </w:rPr>
        <w:t>（4）</w:t>
      </w:r>
      <w:r>
        <w:rPr>
          <w:rFonts w:eastAsia="仿宋_GB2312"/>
          <w:snapToGrid w:val="0"/>
          <w:color w:val="000000" w:themeColor="text1"/>
        </w:rPr>
        <w:t>土方调运合理性分析</w:t>
      </w:r>
    </w:p>
    <w:p>
      <w:pPr>
        <w:spacing w:line="360" w:lineRule="auto"/>
        <w:ind w:firstLine="480" w:firstLineChars="200"/>
        <w:rPr>
          <w:rFonts w:eastAsia="仿宋_GB2312"/>
          <w:b/>
          <w:bCs/>
          <w:color w:val="000000" w:themeColor="text1"/>
          <w:highlight w:val="cyan"/>
        </w:rPr>
      </w:pPr>
      <w:r>
        <w:rPr>
          <w:rFonts w:eastAsia="仿宋_GB2312"/>
          <w:color w:val="000000" w:themeColor="text1"/>
          <w:szCs w:val="24"/>
        </w:rPr>
        <w:t>本工程共开挖土石方量</w:t>
      </w:r>
      <w:r>
        <w:rPr>
          <w:rFonts w:hint="eastAsia" w:eastAsia="仿宋_GB2312"/>
          <w:color w:val="000000" w:themeColor="text1"/>
          <w:szCs w:val="24"/>
          <w:lang w:val="en-US" w:eastAsia="zh-CN"/>
        </w:rPr>
        <w:t>0.49</w:t>
      </w:r>
      <w:r>
        <w:rPr>
          <w:rFonts w:eastAsia="仿宋_GB2312"/>
          <w:color w:val="000000" w:themeColor="text1"/>
          <w:szCs w:val="24"/>
        </w:rPr>
        <w:t>万m</w:t>
      </w:r>
      <w:r>
        <w:rPr>
          <w:rFonts w:eastAsia="仿宋_GB2312"/>
          <w:color w:val="000000" w:themeColor="text1"/>
          <w:szCs w:val="24"/>
          <w:vertAlign w:val="superscript"/>
        </w:rPr>
        <w:t>3</w:t>
      </w:r>
      <w:r>
        <w:rPr>
          <w:rFonts w:eastAsia="仿宋_GB2312"/>
          <w:color w:val="000000" w:themeColor="text1"/>
          <w:szCs w:val="24"/>
        </w:rPr>
        <w:t>，其中</w:t>
      </w:r>
      <w:r>
        <w:rPr>
          <w:rFonts w:hint="eastAsia" w:eastAsia="仿宋_GB2312"/>
          <w:color w:val="000000" w:themeColor="text1"/>
          <w:szCs w:val="24"/>
        </w:rPr>
        <w:t>0.</w:t>
      </w:r>
      <w:r>
        <w:rPr>
          <w:rFonts w:hint="eastAsia" w:eastAsia="仿宋_GB2312"/>
          <w:color w:val="000000" w:themeColor="text1"/>
          <w:szCs w:val="24"/>
          <w:lang w:val="en-US" w:eastAsia="zh-CN"/>
        </w:rPr>
        <w:t>15</w:t>
      </w:r>
      <w:r>
        <w:rPr>
          <w:rFonts w:eastAsia="仿宋_GB2312"/>
          <w:color w:val="000000" w:themeColor="text1"/>
          <w:szCs w:val="24"/>
        </w:rPr>
        <w:t>万m</w:t>
      </w:r>
      <w:r>
        <w:rPr>
          <w:rFonts w:eastAsia="仿宋_GB2312"/>
          <w:color w:val="000000" w:themeColor="text1"/>
          <w:szCs w:val="24"/>
          <w:vertAlign w:val="superscript"/>
        </w:rPr>
        <w:t>3</w:t>
      </w:r>
      <w:r>
        <w:rPr>
          <w:rFonts w:eastAsia="仿宋_GB2312"/>
          <w:color w:val="000000" w:themeColor="text1"/>
        </w:rPr>
        <w:t>用于基础回填、</w:t>
      </w:r>
      <w:r>
        <w:rPr>
          <w:rFonts w:hint="eastAsia" w:eastAsia="仿宋_GB2312"/>
          <w:color w:val="000000" w:themeColor="text1"/>
        </w:rPr>
        <w:t>0.</w:t>
      </w:r>
      <w:r>
        <w:rPr>
          <w:rFonts w:hint="eastAsia" w:eastAsia="仿宋_GB2312"/>
          <w:color w:val="000000" w:themeColor="text1"/>
          <w:lang w:val="en-US" w:eastAsia="zh-CN"/>
        </w:rPr>
        <w:t>15</w:t>
      </w:r>
      <w:r>
        <w:rPr>
          <w:rFonts w:eastAsia="仿宋_GB2312"/>
          <w:color w:val="000000" w:themeColor="text1"/>
        </w:rPr>
        <w:t>万</w:t>
      </w:r>
      <w:r>
        <w:rPr>
          <w:rFonts w:eastAsia="仿宋_GB2312"/>
          <w:color w:val="000000" w:themeColor="text1"/>
          <w:szCs w:val="24"/>
        </w:rPr>
        <w:t>m</w:t>
      </w:r>
      <w:r>
        <w:rPr>
          <w:rFonts w:eastAsia="仿宋_GB2312"/>
          <w:color w:val="000000" w:themeColor="text1"/>
          <w:szCs w:val="24"/>
          <w:vertAlign w:val="superscript"/>
        </w:rPr>
        <w:t>3</w:t>
      </w:r>
      <w:r>
        <w:rPr>
          <w:rFonts w:eastAsia="仿宋_GB2312"/>
          <w:color w:val="000000" w:themeColor="text1"/>
        </w:rPr>
        <w:t>用于管线沟槽回填、</w:t>
      </w:r>
      <w:r>
        <w:rPr>
          <w:rFonts w:eastAsia="仿宋_GB2312"/>
          <w:color w:val="000000" w:themeColor="text1"/>
          <w:szCs w:val="24"/>
        </w:rPr>
        <w:t>0.</w:t>
      </w:r>
      <w:r>
        <w:rPr>
          <w:rFonts w:hint="eastAsia" w:eastAsia="仿宋_GB2312"/>
          <w:color w:val="000000" w:themeColor="text1"/>
          <w:szCs w:val="24"/>
          <w:lang w:val="en-US" w:eastAsia="zh-CN"/>
        </w:rPr>
        <w:t>19</w:t>
      </w:r>
      <w:r>
        <w:rPr>
          <w:rFonts w:eastAsia="仿宋_GB2312"/>
          <w:color w:val="000000" w:themeColor="text1"/>
          <w:szCs w:val="24"/>
        </w:rPr>
        <w:t>万m</w:t>
      </w:r>
      <w:r>
        <w:rPr>
          <w:rFonts w:eastAsia="仿宋_GB2312"/>
          <w:color w:val="000000" w:themeColor="text1"/>
          <w:szCs w:val="24"/>
          <w:vertAlign w:val="superscript"/>
        </w:rPr>
        <w:t>3</w:t>
      </w:r>
      <w:r>
        <w:rPr>
          <w:rFonts w:eastAsia="仿宋_GB2312"/>
          <w:color w:val="000000" w:themeColor="text1"/>
          <w:szCs w:val="24"/>
        </w:rPr>
        <w:t>用于场地平整</w:t>
      </w:r>
      <w:r>
        <w:rPr>
          <w:rFonts w:eastAsia="仿宋_GB2312"/>
          <w:color w:val="000000" w:themeColor="text1"/>
        </w:rPr>
        <w:t>。经施工土石方流向分析，本项目土石方量来源及去向明确，土石方挖填数量符合最优化原则，土石方调运符合节点适宜、时序可行、运距合理原则。</w:t>
      </w:r>
    </w:p>
    <w:p>
      <w:pPr>
        <w:spacing w:line="360" w:lineRule="auto"/>
        <w:jc w:val="both"/>
        <w:rPr>
          <w:rFonts w:eastAsia="仿宋_GB2312"/>
          <w:b/>
          <w:color w:val="000000" w:themeColor="text1"/>
          <w:szCs w:val="24"/>
        </w:rPr>
      </w:pPr>
      <w:r>
        <w:rPr>
          <w:rFonts w:eastAsia="仿宋_GB2312"/>
          <w:b/>
          <w:color w:val="000000" w:themeColor="text1"/>
          <w:szCs w:val="24"/>
        </w:rPr>
        <w:t>3.2.4施工方法与工艺评价</w:t>
      </w:r>
    </w:p>
    <w:p>
      <w:pPr>
        <w:snapToGrid w:val="0"/>
        <w:spacing w:line="360" w:lineRule="auto"/>
        <w:ind w:firstLine="480" w:firstLineChars="200"/>
        <w:rPr>
          <w:rFonts w:eastAsia="仿宋_GB2312"/>
          <w:color w:val="000000" w:themeColor="text1"/>
        </w:rPr>
      </w:pPr>
      <w:r>
        <w:rPr>
          <w:rFonts w:eastAsia="仿宋_GB2312"/>
          <w:color w:val="000000" w:themeColor="text1"/>
        </w:rPr>
        <w:t>（1）施工方法符合减少水土流失的要求</w:t>
      </w:r>
    </w:p>
    <w:p>
      <w:pPr>
        <w:spacing w:line="360" w:lineRule="auto"/>
        <w:ind w:firstLine="480" w:firstLineChars="200"/>
        <w:jc w:val="both"/>
        <w:rPr>
          <w:rFonts w:eastAsia="仿宋_GB2312"/>
          <w:color w:val="000000" w:themeColor="text1"/>
        </w:rPr>
      </w:pPr>
      <w:r>
        <w:rPr>
          <w:rFonts w:eastAsia="仿宋_GB2312"/>
          <w:color w:val="000000" w:themeColor="text1"/>
        </w:rPr>
        <w:t>本项目施工方式上主要采取以机械施工为主的施工方式，以机械为主进行施工能大大缩短施工工期，减少地表扰动次数和周边的扰动面积及扰动时间，符合减少水土流失的要求</w:t>
      </w:r>
      <w:r>
        <w:rPr>
          <w:rFonts w:eastAsia="仿宋_GB2312"/>
          <w:color w:val="000000" w:themeColor="text1"/>
          <w:szCs w:val="28"/>
        </w:rPr>
        <w:t>。</w:t>
      </w:r>
    </w:p>
    <w:p>
      <w:pPr>
        <w:snapToGrid w:val="0"/>
        <w:spacing w:line="360" w:lineRule="auto"/>
        <w:ind w:firstLine="480" w:firstLineChars="200"/>
        <w:rPr>
          <w:rFonts w:eastAsia="仿宋_GB2312"/>
          <w:color w:val="000000" w:themeColor="text1"/>
        </w:rPr>
      </w:pPr>
      <w:r>
        <w:rPr>
          <w:rFonts w:eastAsia="仿宋_GB2312"/>
          <w:color w:val="000000" w:themeColor="text1"/>
        </w:rPr>
        <w:t>（2）</w:t>
      </w:r>
      <w:r>
        <w:rPr>
          <w:rFonts w:eastAsia="仿宋_GB2312"/>
          <w:color w:val="000000" w:themeColor="text1"/>
          <w:szCs w:val="24"/>
        </w:rPr>
        <w:t>施工场地避开了植被良好的区域和基本农田区</w:t>
      </w:r>
    </w:p>
    <w:p>
      <w:pPr>
        <w:pStyle w:val="7"/>
        <w:adjustRightInd w:val="0"/>
        <w:snapToGrid w:val="0"/>
        <w:spacing w:line="360" w:lineRule="auto"/>
        <w:ind w:firstLine="480"/>
        <w:rPr>
          <w:rFonts w:eastAsia="仿宋_GB2312"/>
          <w:color w:val="000000" w:themeColor="text1"/>
          <w:spacing w:val="-4"/>
          <w:sz w:val="24"/>
        </w:rPr>
      </w:pPr>
      <w:r>
        <w:rPr>
          <w:rFonts w:eastAsia="仿宋_GB2312"/>
          <w:color w:val="000000" w:themeColor="text1"/>
          <w:sz w:val="24"/>
        </w:rPr>
        <w:t>本项目施工生产生活区位于项目区内</w:t>
      </w:r>
      <w:r>
        <w:rPr>
          <w:rFonts w:hint="eastAsia" w:eastAsia="仿宋_GB2312"/>
          <w:color w:val="000000" w:themeColor="text1"/>
          <w:sz w:val="24"/>
        </w:rPr>
        <w:t>东侧</w:t>
      </w:r>
      <w:r>
        <w:rPr>
          <w:rFonts w:eastAsia="仿宋_GB2312"/>
          <w:color w:val="000000" w:themeColor="text1"/>
        </w:rPr>
        <w:t>绿化区域</w:t>
      </w:r>
      <w:r>
        <w:rPr>
          <w:rFonts w:eastAsia="仿宋_GB2312"/>
          <w:color w:val="000000" w:themeColor="text1"/>
          <w:sz w:val="24"/>
        </w:rPr>
        <w:t>，用地范围为政府拆迁后净地，施工场地避开了植被良好的区域和基本农田区。</w:t>
      </w:r>
    </w:p>
    <w:p>
      <w:pPr>
        <w:spacing w:line="360" w:lineRule="auto"/>
        <w:ind w:firstLine="480" w:firstLineChars="200"/>
        <w:rPr>
          <w:color w:val="000000" w:themeColor="text1"/>
          <w:szCs w:val="24"/>
        </w:rPr>
      </w:pPr>
      <w:r>
        <w:rPr>
          <w:rFonts w:eastAsia="仿宋_GB2312"/>
          <w:color w:val="000000" w:themeColor="text1"/>
          <w:szCs w:val="24"/>
        </w:rPr>
        <w:t>（3）土石方在运输中采取防止沿途散溢等保护措施</w:t>
      </w:r>
    </w:p>
    <w:p>
      <w:pPr>
        <w:pStyle w:val="7"/>
        <w:adjustRightInd w:val="0"/>
        <w:snapToGrid w:val="0"/>
        <w:spacing w:line="360" w:lineRule="auto"/>
        <w:ind w:firstLine="480"/>
        <w:rPr>
          <w:rFonts w:eastAsia="仿宋_GB2312"/>
          <w:color w:val="000000" w:themeColor="text1"/>
          <w:spacing w:val="-4"/>
          <w:sz w:val="24"/>
        </w:rPr>
      </w:pPr>
      <w:r>
        <w:rPr>
          <w:rFonts w:eastAsia="仿宋_GB2312"/>
          <w:color w:val="000000" w:themeColor="text1"/>
          <w:sz w:val="24"/>
        </w:rPr>
        <w:t>本项目无废弃土，不涉及土石方运输。</w:t>
      </w:r>
    </w:p>
    <w:p>
      <w:pPr>
        <w:spacing w:line="360" w:lineRule="auto"/>
        <w:ind w:firstLine="480" w:firstLineChars="200"/>
        <w:jc w:val="both"/>
        <w:rPr>
          <w:rFonts w:eastAsia="仿宋_GB2312"/>
          <w:color w:val="000000" w:themeColor="text1"/>
          <w:szCs w:val="24"/>
        </w:rPr>
      </w:pPr>
      <w:r>
        <w:rPr>
          <w:rFonts w:eastAsia="仿宋_GB2312"/>
          <w:color w:val="000000" w:themeColor="text1"/>
          <w:szCs w:val="24"/>
        </w:rPr>
        <w:t>（4）采取表土剥离或保护措施及具体施工方法</w:t>
      </w:r>
    </w:p>
    <w:p>
      <w:pPr>
        <w:spacing w:line="360" w:lineRule="auto"/>
        <w:ind w:firstLine="480" w:firstLineChars="200"/>
        <w:jc w:val="both"/>
        <w:rPr>
          <w:rFonts w:eastAsia="仿宋_GB2312"/>
          <w:color w:val="000000" w:themeColor="text1"/>
        </w:rPr>
      </w:pPr>
      <w:r>
        <w:rPr>
          <w:rFonts w:eastAsia="仿宋_GB2312"/>
          <w:color w:val="000000" w:themeColor="text1"/>
        </w:rPr>
        <w:t>经现场查勘，本项目用地范围为政府拆迁后净地，地表物质组成为杂填土</w:t>
      </w:r>
      <w:r>
        <w:rPr>
          <w:rFonts w:eastAsia="仿宋_GB2312"/>
          <w:color w:val="000000" w:themeColor="text1"/>
          <w:szCs w:val="24"/>
        </w:rPr>
        <w:t>，</w:t>
      </w:r>
      <w:r>
        <w:rPr>
          <w:rFonts w:eastAsia="仿宋_GB2312"/>
          <w:color w:val="000000" w:themeColor="text1"/>
        </w:rPr>
        <w:t>不具备表土剥离条件。</w:t>
      </w:r>
    </w:p>
    <w:p>
      <w:pPr>
        <w:spacing w:line="360" w:lineRule="auto"/>
        <w:ind w:firstLine="480" w:firstLineChars="200"/>
        <w:jc w:val="both"/>
        <w:rPr>
          <w:rFonts w:eastAsia="仿宋_GB2312"/>
          <w:color w:val="000000" w:themeColor="text1"/>
          <w:szCs w:val="24"/>
        </w:rPr>
      </w:pPr>
      <w:r>
        <w:rPr>
          <w:rFonts w:eastAsia="仿宋_GB2312"/>
          <w:color w:val="000000" w:themeColor="text1"/>
          <w:szCs w:val="24"/>
        </w:rPr>
        <w:t>（5）填筑土方是否做到随挖、随运、随填、随压</w:t>
      </w:r>
    </w:p>
    <w:p>
      <w:pPr>
        <w:spacing w:line="360" w:lineRule="auto"/>
        <w:ind w:firstLine="480" w:firstLineChars="200"/>
        <w:jc w:val="both"/>
        <w:rPr>
          <w:rFonts w:eastAsia="仿宋_GB2312"/>
          <w:color w:val="000000" w:themeColor="text1"/>
          <w:szCs w:val="24"/>
        </w:rPr>
      </w:pPr>
      <w:r>
        <w:rPr>
          <w:rFonts w:eastAsia="仿宋_GB2312"/>
          <w:color w:val="000000" w:themeColor="text1"/>
          <w:szCs w:val="24"/>
        </w:rPr>
        <w:t>本项目</w:t>
      </w:r>
      <w:r>
        <w:rPr>
          <w:rFonts w:hint="eastAsia" w:eastAsia="仿宋_GB2312"/>
          <w:color w:val="000000" w:themeColor="text1"/>
          <w:szCs w:val="24"/>
        </w:rPr>
        <w:t>预计</w:t>
      </w:r>
      <w:r>
        <w:rPr>
          <w:rFonts w:eastAsia="仿宋_GB2312"/>
          <w:color w:val="000000" w:themeColor="text1"/>
          <w:szCs w:val="24"/>
        </w:rPr>
        <w:t>共开挖土石方量</w:t>
      </w:r>
      <w:r>
        <w:rPr>
          <w:rFonts w:hint="eastAsia" w:eastAsia="仿宋_GB2312"/>
          <w:color w:val="000000" w:themeColor="text1"/>
          <w:szCs w:val="24"/>
        </w:rPr>
        <w:t>0.</w:t>
      </w:r>
      <w:r>
        <w:rPr>
          <w:rFonts w:hint="eastAsia" w:eastAsia="仿宋_GB2312"/>
          <w:color w:val="000000" w:themeColor="text1"/>
          <w:szCs w:val="24"/>
          <w:lang w:val="en-US" w:eastAsia="zh-CN"/>
        </w:rPr>
        <w:t>49</w:t>
      </w:r>
      <w:r>
        <w:rPr>
          <w:rFonts w:eastAsia="仿宋_GB2312"/>
          <w:color w:val="000000" w:themeColor="text1"/>
          <w:szCs w:val="24"/>
        </w:rPr>
        <w:t>万m</w:t>
      </w:r>
      <w:r>
        <w:rPr>
          <w:rFonts w:eastAsia="仿宋_GB2312"/>
          <w:color w:val="000000" w:themeColor="text1"/>
          <w:szCs w:val="24"/>
          <w:vertAlign w:val="superscript"/>
        </w:rPr>
        <w:t>3</w:t>
      </w:r>
      <w:r>
        <w:rPr>
          <w:rFonts w:eastAsia="仿宋_GB2312"/>
          <w:color w:val="000000" w:themeColor="text1"/>
          <w:szCs w:val="24"/>
        </w:rPr>
        <w:t>，其中</w:t>
      </w:r>
      <w:r>
        <w:rPr>
          <w:rFonts w:hint="eastAsia" w:eastAsia="仿宋_GB2312"/>
          <w:color w:val="000000" w:themeColor="text1"/>
          <w:szCs w:val="24"/>
        </w:rPr>
        <w:t>0.</w:t>
      </w:r>
      <w:r>
        <w:rPr>
          <w:rFonts w:hint="eastAsia" w:eastAsia="仿宋_GB2312"/>
          <w:color w:val="000000" w:themeColor="text1"/>
          <w:szCs w:val="24"/>
          <w:lang w:val="en-US" w:eastAsia="zh-CN"/>
        </w:rPr>
        <w:t>15</w:t>
      </w:r>
      <w:r>
        <w:rPr>
          <w:rFonts w:eastAsia="仿宋_GB2312"/>
          <w:color w:val="000000" w:themeColor="text1"/>
          <w:szCs w:val="24"/>
        </w:rPr>
        <w:t>万m</w:t>
      </w:r>
      <w:r>
        <w:rPr>
          <w:rFonts w:eastAsia="仿宋_GB2312"/>
          <w:color w:val="000000" w:themeColor="text1"/>
          <w:szCs w:val="24"/>
          <w:vertAlign w:val="superscript"/>
        </w:rPr>
        <w:t>3</w:t>
      </w:r>
      <w:r>
        <w:rPr>
          <w:rFonts w:eastAsia="仿宋_GB2312"/>
          <w:color w:val="000000" w:themeColor="text1"/>
        </w:rPr>
        <w:t>用于基础回填、</w:t>
      </w:r>
      <w:r>
        <w:rPr>
          <w:rFonts w:hint="eastAsia" w:eastAsia="仿宋_GB2312"/>
          <w:color w:val="000000" w:themeColor="text1"/>
        </w:rPr>
        <w:t>0.</w:t>
      </w:r>
      <w:r>
        <w:rPr>
          <w:rFonts w:hint="eastAsia" w:eastAsia="仿宋_GB2312"/>
          <w:color w:val="000000" w:themeColor="text1"/>
          <w:lang w:val="en-US" w:eastAsia="zh-CN"/>
        </w:rPr>
        <w:t>15</w:t>
      </w:r>
      <w:r>
        <w:rPr>
          <w:rFonts w:eastAsia="仿宋_GB2312"/>
          <w:color w:val="000000" w:themeColor="text1"/>
        </w:rPr>
        <w:t>万</w:t>
      </w:r>
      <w:r>
        <w:rPr>
          <w:rFonts w:eastAsia="仿宋_GB2312"/>
          <w:color w:val="000000" w:themeColor="text1"/>
          <w:szCs w:val="24"/>
        </w:rPr>
        <w:t>m</w:t>
      </w:r>
      <w:r>
        <w:rPr>
          <w:rFonts w:eastAsia="仿宋_GB2312"/>
          <w:color w:val="000000" w:themeColor="text1"/>
          <w:szCs w:val="24"/>
          <w:vertAlign w:val="superscript"/>
        </w:rPr>
        <w:t>3</w:t>
      </w:r>
      <w:r>
        <w:rPr>
          <w:rFonts w:eastAsia="仿宋_GB2312"/>
          <w:color w:val="000000" w:themeColor="text1"/>
        </w:rPr>
        <w:t>用于管线沟槽回填、</w:t>
      </w:r>
      <w:r>
        <w:rPr>
          <w:rFonts w:eastAsia="仿宋_GB2312"/>
          <w:color w:val="000000" w:themeColor="text1"/>
          <w:szCs w:val="24"/>
        </w:rPr>
        <w:t>0.</w:t>
      </w:r>
      <w:r>
        <w:rPr>
          <w:rFonts w:hint="eastAsia" w:eastAsia="仿宋_GB2312"/>
          <w:color w:val="000000" w:themeColor="text1"/>
          <w:szCs w:val="24"/>
          <w:lang w:val="en-US" w:eastAsia="zh-CN"/>
        </w:rPr>
        <w:t>19</w:t>
      </w:r>
      <w:r>
        <w:rPr>
          <w:rFonts w:eastAsia="仿宋_GB2312"/>
          <w:color w:val="000000" w:themeColor="text1"/>
          <w:szCs w:val="24"/>
        </w:rPr>
        <w:t>万m</w:t>
      </w:r>
      <w:r>
        <w:rPr>
          <w:rFonts w:eastAsia="仿宋_GB2312"/>
          <w:color w:val="000000" w:themeColor="text1"/>
          <w:szCs w:val="24"/>
          <w:vertAlign w:val="superscript"/>
        </w:rPr>
        <w:t>3</w:t>
      </w:r>
      <w:r>
        <w:rPr>
          <w:rFonts w:eastAsia="仿宋_GB2312"/>
          <w:color w:val="000000" w:themeColor="text1"/>
          <w:szCs w:val="24"/>
        </w:rPr>
        <w:t>用于场地平整</w:t>
      </w:r>
      <w:r>
        <w:rPr>
          <w:rFonts w:eastAsia="仿宋_GB2312"/>
          <w:color w:val="000000" w:themeColor="text1"/>
        </w:rPr>
        <w:t>，</w:t>
      </w:r>
      <w:r>
        <w:rPr>
          <w:rFonts w:eastAsia="仿宋_GB2312"/>
          <w:color w:val="000000" w:themeColor="text1"/>
          <w:szCs w:val="24"/>
        </w:rPr>
        <w:t>填筑土方做到随挖、随填、随压。</w:t>
      </w:r>
    </w:p>
    <w:p>
      <w:pPr>
        <w:spacing w:line="360" w:lineRule="auto"/>
        <w:ind w:firstLine="480" w:firstLineChars="200"/>
        <w:jc w:val="both"/>
        <w:rPr>
          <w:rFonts w:eastAsia="仿宋_GB2312"/>
          <w:color w:val="000000" w:themeColor="text1"/>
          <w:szCs w:val="24"/>
          <w:highlight w:val="cyan"/>
        </w:rPr>
      </w:pPr>
      <w:r>
        <w:rPr>
          <w:rFonts w:eastAsia="仿宋_GB2312"/>
          <w:color w:val="000000" w:themeColor="text1"/>
          <w:szCs w:val="24"/>
        </w:rPr>
        <w:t>（6）临时堆土集中堆放，并采取临时拦挡、苫盖、排水、沉沙等措施。</w:t>
      </w:r>
    </w:p>
    <w:p>
      <w:pPr>
        <w:spacing w:line="360" w:lineRule="auto"/>
        <w:jc w:val="both"/>
        <w:rPr>
          <w:rFonts w:eastAsia="仿宋_GB2312"/>
          <w:b/>
          <w:color w:val="000000" w:themeColor="text1"/>
          <w:szCs w:val="24"/>
        </w:rPr>
      </w:pPr>
      <w:r>
        <w:rPr>
          <w:rFonts w:eastAsia="仿宋_GB2312"/>
          <w:b/>
          <w:color w:val="000000" w:themeColor="text1"/>
          <w:szCs w:val="24"/>
        </w:rPr>
        <w:t>3.2.5主体工程设计中具有水土保持功能工程的评价</w:t>
      </w:r>
    </w:p>
    <w:p>
      <w:pPr>
        <w:spacing w:line="360" w:lineRule="auto"/>
        <w:ind w:firstLine="560"/>
        <w:rPr>
          <w:rFonts w:eastAsia="仿宋_GB2312"/>
          <w:color w:val="000000" w:themeColor="text1"/>
          <w:lang w:val="zh-CN"/>
        </w:rPr>
      </w:pPr>
      <w:r>
        <w:rPr>
          <w:rFonts w:eastAsia="仿宋_GB2312"/>
          <w:color w:val="000000" w:themeColor="text1"/>
          <w:lang w:val="zh-CN"/>
        </w:rPr>
        <w:t>根据水土保持技术标准，分析和评价主体工程具有水土保持功能的措施能否满足工程建设过程中的水土保持要求，是进行水土保持工程总体布局、合理制定防治措施体系的基础。本方案将对主体工程设计中以防治水土流失为主要目的的工程措施纳入到水土保持总体布局中，并对主体工程中不满足水土保持要求的工程措施提出改善措施，以完善水土保持防治措施体系。</w:t>
      </w:r>
    </w:p>
    <w:p>
      <w:pPr>
        <w:spacing w:line="360" w:lineRule="auto"/>
        <w:ind w:firstLine="480" w:firstLineChars="200"/>
        <w:rPr>
          <w:rFonts w:eastAsia="仿宋_GB2312"/>
          <w:color w:val="000000" w:themeColor="text1"/>
          <w:szCs w:val="24"/>
        </w:rPr>
      </w:pPr>
      <w:r>
        <w:rPr>
          <w:rFonts w:eastAsia="仿宋_GB2312"/>
          <w:color w:val="000000" w:themeColor="text1"/>
          <w:szCs w:val="24"/>
        </w:rPr>
        <w:t>主体工程设计的绿化用土回覆、景观绿化、临时堆土防护具有防治水土流失的功能，本方案将主体工程设计的绿化用土回覆、景观绿化、临时堆土防护界定为水土保持措施并计列投资。但主体设计中缺少全面整地措施，本方案予以补充。</w:t>
      </w:r>
    </w:p>
    <w:p>
      <w:pPr>
        <w:spacing w:line="360" w:lineRule="auto"/>
        <w:ind w:firstLine="480" w:firstLineChars="200"/>
        <w:rPr>
          <w:rFonts w:eastAsia="仿宋_GB2312"/>
          <w:color w:val="000000" w:themeColor="text1"/>
          <w:szCs w:val="24"/>
        </w:rPr>
      </w:pPr>
      <w:r>
        <w:rPr>
          <w:rFonts w:eastAsia="仿宋_GB2312"/>
          <w:color w:val="000000" w:themeColor="text1"/>
          <w:szCs w:val="24"/>
        </w:rPr>
        <w:t>主体工程设计水土保持措施如下：</w:t>
      </w:r>
    </w:p>
    <w:p>
      <w:pPr>
        <w:spacing w:line="360" w:lineRule="auto"/>
        <w:ind w:firstLine="480" w:firstLineChars="200"/>
        <w:rPr>
          <w:rFonts w:eastAsia="仿宋_GB2312"/>
          <w:color w:val="000000" w:themeColor="text1"/>
          <w:szCs w:val="24"/>
        </w:rPr>
      </w:pPr>
      <w:r>
        <w:rPr>
          <w:rFonts w:eastAsia="仿宋_GB2312"/>
          <w:color w:val="000000" w:themeColor="text1"/>
          <w:szCs w:val="24"/>
        </w:rPr>
        <w:t>（1）绿化用土回覆</w:t>
      </w:r>
    </w:p>
    <w:p>
      <w:pPr>
        <w:tabs>
          <w:tab w:val="left" w:pos="6096"/>
          <w:tab w:val="left" w:pos="8647"/>
        </w:tabs>
        <w:snapToGrid w:val="0"/>
        <w:spacing w:line="360" w:lineRule="auto"/>
        <w:ind w:firstLine="480" w:firstLineChars="200"/>
        <w:rPr>
          <w:rFonts w:eastAsia="仿宋_GB2312"/>
          <w:color w:val="000000" w:themeColor="text1"/>
          <w:szCs w:val="24"/>
          <w:highlight w:val="cyan"/>
        </w:rPr>
      </w:pPr>
      <w:r>
        <w:rPr>
          <w:rFonts w:eastAsia="仿宋_GB2312"/>
          <w:color w:val="000000" w:themeColor="text1"/>
        </w:rPr>
        <w:t>经现场查勘，本项目用地范围为政府拆迁后净地，地表物质组成为杂填土</w:t>
      </w:r>
      <w:r>
        <w:rPr>
          <w:rFonts w:eastAsia="仿宋_GB2312"/>
          <w:color w:val="000000" w:themeColor="text1"/>
          <w:szCs w:val="24"/>
        </w:rPr>
        <w:t>，</w:t>
      </w:r>
      <w:r>
        <w:rPr>
          <w:rFonts w:eastAsia="仿宋_GB2312"/>
          <w:color w:val="000000" w:themeColor="text1"/>
        </w:rPr>
        <w:t>不具备表土剥离条件；施工结束后，对拟采取绿化措施区域进行</w:t>
      </w:r>
      <w:r>
        <w:rPr>
          <w:rFonts w:eastAsia="仿宋_GB2312"/>
          <w:snapToGrid w:val="0"/>
          <w:color w:val="000000" w:themeColor="text1"/>
          <w:szCs w:val="24"/>
        </w:rPr>
        <w:t>绿化用土回覆</w:t>
      </w:r>
      <w:r>
        <w:rPr>
          <w:rFonts w:eastAsia="仿宋_GB2312"/>
          <w:color w:val="000000" w:themeColor="text1"/>
        </w:rPr>
        <w:t>，工程建设区绿化用土回覆面积</w:t>
      </w:r>
      <w:r>
        <w:rPr>
          <w:rFonts w:hint="eastAsia" w:eastAsia="仿宋_GB2312"/>
          <w:color w:val="000000" w:themeColor="text1"/>
        </w:rPr>
        <w:t>0.</w:t>
      </w:r>
      <w:r>
        <w:rPr>
          <w:rFonts w:hint="eastAsia" w:eastAsia="仿宋_GB2312"/>
          <w:color w:val="000000" w:themeColor="text1"/>
          <w:lang w:val="en-US" w:eastAsia="zh-CN"/>
        </w:rPr>
        <w:t>13</w:t>
      </w:r>
      <w:r>
        <w:rPr>
          <w:rFonts w:hint="eastAsia" w:eastAsia="仿宋_GB2312"/>
          <w:color w:val="000000" w:themeColor="text1"/>
        </w:rPr>
        <w:t>h</w:t>
      </w:r>
      <w:r>
        <w:rPr>
          <w:rFonts w:eastAsia="仿宋_GB2312"/>
          <w:color w:val="000000" w:themeColor="text1"/>
        </w:rPr>
        <w:t>m²，回覆厚度0.</w:t>
      </w:r>
      <w:r>
        <w:rPr>
          <w:rFonts w:hint="eastAsia" w:eastAsia="仿宋_GB2312"/>
          <w:color w:val="000000" w:themeColor="text1"/>
        </w:rPr>
        <w:t>30</w:t>
      </w:r>
      <w:r>
        <w:rPr>
          <w:rFonts w:eastAsia="仿宋_GB2312"/>
          <w:color w:val="000000" w:themeColor="text1"/>
        </w:rPr>
        <w:t>m，绿化用土回覆量</w:t>
      </w:r>
      <w:r>
        <w:rPr>
          <w:rFonts w:hint="eastAsia" w:eastAsia="仿宋_GB2312"/>
          <w:color w:val="000000" w:themeColor="text1"/>
        </w:rPr>
        <w:t>0.</w:t>
      </w:r>
      <w:r>
        <w:rPr>
          <w:rFonts w:hint="eastAsia" w:eastAsia="仿宋_GB2312"/>
          <w:color w:val="000000" w:themeColor="text1"/>
          <w:lang w:val="en-US" w:eastAsia="zh-CN"/>
        </w:rPr>
        <w:t>04</w:t>
      </w:r>
      <w:r>
        <w:rPr>
          <w:rFonts w:eastAsia="仿宋_GB2312"/>
          <w:color w:val="000000" w:themeColor="text1"/>
        </w:rPr>
        <w:t>万</w:t>
      </w:r>
      <w:r>
        <w:rPr>
          <w:rFonts w:eastAsia="仿宋_GB2312"/>
          <w:color w:val="000000" w:themeColor="text1"/>
          <w:szCs w:val="24"/>
        </w:rPr>
        <w:t>m³，</w:t>
      </w:r>
      <w:r>
        <w:rPr>
          <w:rFonts w:eastAsia="仿宋_GB2312"/>
          <w:color w:val="000000" w:themeColor="text1"/>
        </w:rPr>
        <w:t>委托园林绿化公司负责绿化工作，绿化用土由园林绿化公司提供，水土流失防治责任由供应方负责</w:t>
      </w:r>
      <w:r>
        <w:rPr>
          <w:rFonts w:eastAsia="仿宋_GB2312"/>
          <w:color w:val="000000" w:themeColor="text1"/>
          <w:szCs w:val="24"/>
        </w:rPr>
        <w:t>。</w:t>
      </w:r>
    </w:p>
    <w:p>
      <w:pPr>
        <w:spacing w:line="360" w:lineRule="auto"/>
        <w:ind w:firstLine="480" w:firstLineChars="200"/>
        <w:rPr>
          <w:rFonts w:eastAsia="仿宋_GB2312"/>
          <w:color w:val="000000" w:themeColor="text1"/>
          <w:szCs w:val="24"/>
        </w:rPr>
      </w:pPr>
      <w:r>
        <w:rPr>
          <w:rFonts w:eastAsia="仿宋_GB2312"/>
          <w:color w:val="000000" w:themeColor="text1"/>
          <w:szCs w:val="24"/>
        </w:rPr>
        <w:t>（2）景观绿化</w:t>
      </w:r>
    </w:p>
    <w:p>
      <w:pPr>
        <w:spacing w:line="360" w:lineRule="auto"/>
        <w:ind w:firstLine="480"/>
        <w:jc w:val="both"/>
        <w:rPr>
          <w:rFonts w:eastAsia="仿宋_GB2312"/>
          <w:color w:val="000000" w:themeColor="text1"/>
          <w:szCs w:val="24"/>
          <w:highlight w:val="cyan"/>
        </w:rPr>
      </w:pPr>
      <w:r>
        <w:rPr>
          <w:rFonts w:eastAsia="仿宋_GB2312"/>
          <w:color w:val="000000" w:themeColor="text1"/>
          <w:szCs w:val="24"/>
        </w:rPr>
        <w:t>本项目属于新建建设项目，水土保持工程级别为</w:t>
      </w:r>
      <w:r>
        <w:rPr>
          <w:rFonts w:eastAsia="仿宋_GB2312"/>
          <w:color w:val="000000" w:themeColor="text1"/>
          <w:szCs w:val="22"/>
        </w:rPr>
        <w:t>1</w:t>
      </w:r>
      <w:r>
        <w:rPr>
          <w:rFonts w:eastAsia="仿宋_GB2312"/>
          <w:color w:val="000000" w:themeColor="text1"/>
          <w:szCs w:val="24"/>
        </w:rPr>
        <w:t>级，设计标准为：</w:t>
      </w:r>
      <w:r>
        <w:rPr>
          <w:rFonts w:eastAsia="仿宋_GB2312"/>
          <w:color w:val="000000" w:themeColor="text1"/>
          <w:szCs w:val="22"/>
        </w:rPr>
        <w:t>园林式</w:t>
      </w:r>
      <w:r>
        <w:rPr>
          <w:rFonts w:eastAsia="仿宋_GB2312"/>
          <w:color w:val="000000" w:themeColor="text1"/>
          <w:szCs w:val="24"/>
        </w:rPr>
        <w:t>绿化设计标准。主体工程设计对工程建设区绿化区域进行景观绿化施工，绿化区域位于</w:t>
      </w:r>
      <w:r>
        <w:rPr>
          <w:rFonts w:eastAsia="仿宋_GB2312"/>
          <w:color w:val="000000" w:themeColor="text1"/>
        </w:rPr>
        <w:t>建筑物和道路周边，可</w:t>
      </w:r>
      <w:r>
        <w:rPr>
          <w:rFonts w:eastAsia="仿宋_GB2312"/>
          <w:color w:val="000000" w:themeColor="text1"/>
          <w:szCs w:val="24"/>
        </w:rPr>
        <w:t>提高场区的环境质量，</w:t>
      </w:r>
      <w:r>
        <w:rPr>
          <w:rFonts w:eastAsia="仿宋_GB2312"/>
          <w:color w:val="000000" w:themeColor="text1"/>
        </w:rPr>
        <w:t>绿化区域内绿化苗木选取观赏性好，不产生花絮的树木进行绿化</w:t>
      </w:r>
      <w:r>
        <w:rPr>
          <w:rFonts w:eastAsia="仿宋_GB2312"/>
          <w:color w:val="000000" w:themeColor="text1"/>
          <w:szCs w:val="24"/>
        </w:rPr>
        <w:t>，景观绿化面积</w:t>
      </w:r>
      <w:r>
        <w:rPr>
          <w:rFonts w:hint="eastAsia" w:eastAsia="仿宋_GB2312"/>
          <w:color w:val="000000" w:themeColor="text1"/>
          <w:szCs w:val="24"/>
          <w:lang w:eastAsia="zh-CN"/>
        </w:rPr>
        <w:t>1258.75</w:t>
      </w:r>
      <w:r>
        <w:rPr>
          <w:rFonts w:eastAsia="仿宋_GB2312"/>
          <w:color w:val="000000" w:themeColor="text1"/>
          <w:szCs w:val="24"/>
        </w:rPr>
        <w:t>m</w:t>
      </w:r>
      <w:r>
        <w:rPr>
          <w:rFonts w:eastAsia="仿宋_GB2312"/>
          <w:color w:val="000000" w:themeColor="text1"/>
          <w:szCs w:val="24"/>
          <w:vertAlign w:val="superscript"/>
        </w:rPr>
        <w:t>2</w:t>
      </w:r>
      <w:r>
        <w:rPr>
          <w:rFonts w:eastAsia="仿宋_GB2312"/>
          <w:color w:val="000000" w:themeColor="text1"/>
          <w:szCs w:val="24"/>
        </w:rPr>
        <w:t>。</w:t>
      </w:r>
    </w:p>
    <w:p>
      <w:pPr>
        <w:spacing w:line="360" w:lineRule="auto"/>
        <w:ind w:firstLine="480"/>
        <w:jc w:val="both"/>
        <w:rPr>
          <w:rFonts w:eastAsia="仿宋_GB2312"/>
          <w:b/>
          <w:color w:val="000000" w:themeColor="text1"/>
          <w:szCs w:val="24"/>
        </w:rPr>
      </w:pPr>
      <w:r>
        <w:rPr>
          <w:rFonts w:eastAsia="仿宋_GB2312"/>
          <w:color w:val="000000" w:themeColor="text1"/>
          <w:szCs w:val="24"/>
        </w:rPr>
        <w:t>（</w:t>
      </w:r>
      <w:r>
        <w:rPr>
          <w:rFonts w:hint="eastAsia" w:eastAsia="仿宋_GB2312"/>
          <w:color w:val="000000" w:themeColor="text1"/>
          <w:szCs w:val="24"/>
        </w:rPr>
        <w:t>3</w:t>
      </w:r>
      <w:r>
        <w:rPr>
          <w:rFonts w:eastAsia="仿宋_GB2312"/>
          <w:color w:val="000000" w:themeColor="text1"/>
          <w:szCs w:val="24"/>
        </w:rPr>
        <w:t>）临时堆土防护</w:t>
      </w:r>
    </w:p>
    <w:p>
      <w:pPr>
        <w:spacing w:line="360" w:lineRule="auto"/>
        <w:ind w:firstLine="480" w:firstLineChars="200"/>
        <w:rPr>
          <w:rFonts w:eastAsia="仿宋_GB2312"/>
          <w:color w:val="000000" w:themeColor="text1"/>
          <w:szCs w:val="24"/>
        </w:rPr>
      </w:pPr>
      <w:r>
        <w:rPr>
          <w:rFonts w:eastAsia="仿宋_GB2312"/>
          <w:color w:val="000000" w:themeColor="text1"/>
        </w:rPr>
        <w:t>本项目土方临时堆放场位于项目区</w:t>
      </w:r>
      <w:r>
        <w:rPr>
          <w:rFonts w:hint="eastAsia" w:eastAsia="仿宋_GB2312"/>
          <w:color w:val="000000" w:themeColor="text1"/>
        </w:rPr>
        <w:t>内中间空地</w:t>
      </w:r>
      <w:r>
        <w:rPr>
          <w:rFonts w:eastAsia="仿宋_GB2312"/>
          <w:color w:val="000000" w:themeColor="text1"/>
        </w:rPr>
        <w:t>，</w:t>
      </w:r>
      <w:r>
        <w:rPr>
          <w:rFonts w:eastAsia="仿宋_GB2312"/>
          <w:snapToGrid w:val="0"/>
          <w:color w:val="000000" w:themeColor="text1"/>
          <w:szCs w:val="24"/>
        </w:rPr>
        <w:t>台体堆放，边坡比1:1</w:t>
      </w:r>
      <w:r>
        <w:rPr>
          <w:rFonts w:hint="eastAsia" w:eastAsia="仿宋_GB2312"/>
          <w:snapToGrid w:val="0"/>
          <w:color w:val="000000" w:themeColor="text1"/>
          <w:szCs w:val="24"/>
        </w:rPr>
        <w:t>.5</w:t>
      </w:r>
      <w:r>
        <w:rPr>
          <w:rFonts w:eastAsia="仿宋_GB2312"/>
          <w:snapToGrid w:val="0"/>
          <w:color w:val="000000" w:themeColor="text1"/>
          <w:szCs w:val="24"/>
        </w:rPr>
        <w:t>，</w:t>
      </w:r>
      <w:r>
        <w:rPr>
          <w:rFonts w:eastAsia="仿宋_GB2312"/>
          <w:color w:val="000000" w:themeColor="text1"/>
        </w:rPr>
        <w:t>土方临时堆土场</w:t>
      </w:r>
      <w:r>
        <w:rPr>
          <w:rFonts w:eastAsia="仿宋_GB2312"/>
          <w:color w:val="000000" w:themeColor="text1"/>
          <w:szCs w:val="24"/>
        </w:rPr>
        <w:t>规格为</w:t>
      </w:r>
      <w:r>
        <w:rPr>
          <w:rFonts w:hint="eastAsia" w:eastAsia="仿宋_GB2312"/>
          <w:color w:val="000000" w:themeColor="text1"/>
          <w:szCs w:val="24"/>
        </w:rPr>
        <w:t>5</w:t>
      </w:r>
      <w:r>
        <w:rPr>
          <w:rFonts w:hint="eastAsia" w:eastAsia="仿宋_GB2312"/>
          <w:color w:val="000000" w:themeColor="text1"/>
          <w:szCs w:val="24"/>
          <w:lang w:val="en-US" w:eastAsia="zh-CN"/>
        </w:rPr>
        <w:t>5</w:t>
      </w:r>
      <w:r>
        <w:rPr>
          <w:rFonts w:eastAsia="仿宋_GB2312"/>
          <w:color w:val="000000" w:themeColor="text1"/>
        </w:rPr>
        <w:t>m（长）×</w:t>
      </w:r>
      <w:r>
        <w:rPr>
          <w:rFonts w:hint="eastAsia" w:eastAsia="仿宋_GB2312"/>
          <w:color w:val="000000" w:themeColor="text1"/>
          <w:lang w:val="en-US" w:eastAsia="zh-CN"/>
        </w:rPr>
        <w:t>12</w:t>
      </w:r>
      <w:r>
        <w:rPr>
          <w:rFonts w:eastAsia="仿宋_GB2312"/>
          <w:color w:val="000000" w:themeColor="text1"/>
        </w:rPr>
        <w:t>m（宽）</w:t>
      </w:r>
      <w:r>
        <w:rPr>
          <w:rFonts w:eastAsia="仿宋_GB2312"/>
          <w:color w:val="000000" w:themeColor="text1"/>
          <w:szCs w:val="24"/>
        </w:rPr>
        <w:t>，占地面积</w:t>
      </w:r>
      <w:r>
        <w:rPr>
          <w:rFonts w:hint="eastAsia" w:eastAsia="仿宋_GB2312"/>
          <w:color w:val="000000" w:themeColor="text1"/>
          <w:szCs w:val="24"/>
          <w:lang w:val="en-US" w:eastAsia="zh-CN"/>
        </w:rPr>
        <w:t>66</w:t>
      </w:r>
      <w:r>
        <w:rPr>
          <w:rFonts w:hint="eastAsia" w:eastAsia="仿宋_GB2312"/>
          <w:color w:val="000000" w:themeColor="text1"/>
          <w:szCs w:val="24"/>
        </w:rPr>
        <w:t>0</w:t>
      </w:r>
      <w:r>
        <w:rPr>
          <w:rFonts w:eastAsia="仿宋_GB2312"/>
          <w:color w:val="000000" w:themeColor="text1"/>
          <w:szCs w:val="24"/>
        </w:rPr>
        <w:t>m</w:t>
      </w:r>
      <w:r>
        <w:rPr>
          <w:rFonts w:eastAsia="仿宋_GB2312"/>
          <w:color w:val="000000" w:themeColor="text1"/>
          <w:szCs w:val="24"/>
          <w:vertAlign w:val="superscript"/>
        </w:rPr>
        <w:t>2</w:t>
      </w:r>
      <w:r>
        <w:rPr>
          <w:rFonts w:eastAsia="仿宋_GB2312"/>
          <w:color w:val="000000" w:themeColor="text1"/>
          <w:szCs w:val="24"/>
        </w:rPr>
        <w:t>，堆高为</w:t>
      </w:r>
      <w:r>
        <w:rPr>
          <w:rFonts w:hint="eastAsia" w:eastAsia="仿宋_GB2312"/>
          <w:color w:val="000000" w:themeColor="text1"/>
          <w:szCs w:val="24"/>
        </w:rPr>
        <w:t>4</w:t>
      </w:r>
      <w:r>
        <w:rPr>
          <w:rFonts w:eastAsia="仿宋_GB2312"/>
          <w:color w:val="000000" w:themeColor="text1"/>
          <w:szCs w:val="24"/>
        </w:rPr>
        <w:t>.0m，</w:t>
      </w:r>
      <w:r>
        <w:rPr>
          <w:rFonts w:eastAsia="仿宋_GB2312"/>
          <w:color w:val="000000" w:themeColor="text1"/>
        </w:rPr>
        <w:t>土方临时堆放场满足本项目土方堆置需求</w:t>
      </w:r>
      <w:r>
        <w:rPr>
          <w:rFonts w:eastAsia="仿宋_GB2312"/>
          <w:color w:val="000000" w:themeColor="text1"/>
          <w:szCs w:val="24"/>
        </w:rPr>
        <w:t>，临时堆置土方之前先设置编织袋土（编织袋规格为0.5m×0.3m×0.2m）围挡措施，共计围挡防护长度</w:t>
      </w:r>
      <w:r>
        <w:rPr>
          <w:rFonts w:hint="eastAsia" w:eastAsia="仿宋_GB2312"/>
          <w:color w:val="000000" w:themeColor="text1"/>
          <w:szCs w:val="24"/>
          <w:lang w:val="en-US" w:eastAsia="zh-CN"/>
        </w:rPr>
        <w:t>126</w:t>
      </w:r>
      <w:r>
        <w:rPr>
          <w:rFonts w:eastAsia="仿宋_GB2312"/>
          <w:color w:val="000000" w:themeColor="text1"/>
          <w:szCs w:val="24"/>
        </w:rPr>
        <w:t>m（预留8m宽出口）。编织袋土拦挡堆砌断面成梯形，上底0.3m，下底0.9m，高0.6m，需编织袋土砌体</w:t>
      </w:r>
      <w:r>
        <w:rPr>
          <w:rFonts w:hint="eastAsia" w:eastAsia="仿宋_GB2312"/>
          <w:color w:val="000000" w:themeColor="text1"/>
          <w:szCs w:val="24"/>
          <w:lang w:val="en-US" w:eastAsia="zh-CN"/>
        </w:rPr>
        <w:t>46</w:t>
      </w:r>
      <w:r>
        <w:rPr>
          <w:rFonts w:eastAsia="仿宋_GB2312"/>
          <w:color w:val="000000" w:themeColor="text1"/>
          <w:szCs w:val="24"/>
        </w:rPr>
        <w:t>m</w:t>
      </w:r>
      <w:r>
        <w:rPr>
          <w:rFonts w:eastAsia="仿宋_GB2312"/>
          <w:color w:val="000000" w:themeColor="text1"/>
          <w:szCs w:val="24"/>
          <w:vertAlign w:val="superscript"/>
        </w:rPr>
        <w:t>3</w:t>
      </w:r>
      <w:r>
        <w:rPr>
          <w:rFonts w:eastAsia="仿宋_GB2312"/>
          <w:color w:val="000000" w:themeColor="text1"/>
          <w:szCs w:val="24"/>
        </w:rPr>
        <w:t>，工程完工后需编织袋装土拆除</w:t>
      </w:r>
      <w:r>
        <w:rPr>
          <w:rFonts w:hint="eastAsia" w:eastAsia="仿宋_GB2312"/>
          <w:color w:val="000000" w:themeColor="text1"/>
          <w:szCs w:val="24"/>
          <w:lang w:val="en-US" w:eastAsia="zh-CN"/>
        </w:rPr>
        <w:t>46</w:t>
      </w:r>
      <w:r>
        <w:rPr>
          <w:rFonts w:eastAsia="仿宋_GB2312"/>
          <w:color w:val="000000" w:themeColor="text1"/>
          <w:szCs w:val="24"/>
        </w:rPr>
        <w:t>m</w:t>
      </w:r>
      <w:r>
        <w:rPr>
          <w:rFonts w:eastAsia="仿宋_GB2312"/>
          <w:color w:val="000000" w:themeColor="text1"/>
          <w:szCs w:val="24"/>
          <w:vertAlign w:val="superscript"/>
        </w:rPr>
        <w:t>3</w:t>
      </w:r>
      <w:r>
        <w:rPr>
          <w:rFonts w:eastAsia="仿宋_GB2312"/>
          <w:color w:val="000000" w:themeColor="text1"/>
          <w:szCs w:val="24"/>
        </w:rPr>
        <w:t>；对临时堆存的土方需要进行密目网覆盖，共需密目网覆盖</w:t>
      </w:r>
      <w:r>
        <w:rPr>
          <w:rFonts w:hint="eastAsia" w:eastAsia="仿宋_GB2312"/>
          <w:color w:val="000000" w:themeColor="text1"/>
          <w:szCs w:val="24"/>
          <w:lang w:val="en-US" w:eastAsia="zh-CN"/>
        </w:rPr>
        <w:t>86</w:t>
      </w:r>
      <w:r>
        <w:rPr>
          <w:rFonts w:hint="eastAsia" w:eastAsia="仿宋_GB2312"/>
          <w:color w:val="000000" w:themeColor="text1"/>
          <w:szCs w:val="24"/>
        </w:rPr>
        <w:t>0</w:t>
      </w:r>
      <w:r>
        <w:rPr>
          <w:rFonts w:eastAsia="仿宋_GB2312"/>
          <w:color w:val="000000" w:themeColor="text1"/>
          <w:szCs w:val="24"/>
        </w:rPr>
        <w:t>m</w:t>
      </w:r>
      <w:r>
        <w:rPr>
          <w:rFonts w:eastAsia="仿宋_GB2312"/>
          <w:color w:val="000000" w:themeColor="text1"/>
          <w:szCs w:val="24"/>
          <w:vertAlign w:val="superscript"/>
        </w:rPr>
        <w:t>2</w:t>
      </w:r>
      <w:r>
        <w:rPr>
          <w:rFonts w:eastAsia="仿宋_GB2312"/>
          <w:color w:val="000000" w:themeColor="text1"/>
          <w:szCs w:val="24"/>
        </w:rPr>
        <w:t>。</w:t>
      </w:r>
    </w:p>
    <w:p>
      <w:pPr>
        <w:spacing w:line="360" w:lineRule="auto"/>
        <w:ind w:firstLine="580"/>
        <w:rPr>
          <w:rFonts w:eastAsia="仿宋_GB2312"/>
          <w:b/>
          <w:bCs/>
          <w:color w:val="000000" w:themeColor="text1"/>
          <w:szCs w:val="28"/>
          <w:highlight w:val="cyan"/>
        </w:rPr>
      </w:pPr>
      <w:r>
        <w:rPr>
          <w:rFonts w:eastAsia="仿宋_GB2312"/>
          <w:color w:val="000000" w:themeColor="text1"/>
          <w:szCs w:val="24"/>
        </w:rPr>
        <w:t>本项目管线沟槽开挖土无需集中堆存，管线施工结束后立即回填，管线回填土石方需密目网覆盖</w:t>
      </w:r>
      <w:r>
        <w:rPr>
          <w:rFonts w:hint="eastAsia" w:eastAsia="仿宋_GB2312"/>
          <w:color w:val="000000" w:themeColor="text1"/>
          <w:szCs w:val="24"/>
          <w:lang w:val="en-US" w:eastAsia="zh-CN"/>
        </w:rPr>
        <w:t>7</w:t>
      </w:r>
      <w:r>
        <w:rPr>
          <w:rFonts w:hint="eastAsia" w:eastAsia="仿宋_GB2312"/>
          <w:color w:val="000000" w:themeColor="text1"/>
          <w:szCs w:val="24"/>
        </w:rPr>
        <w:t>00</w:t>
      </w:r>
      <w:r>
        <w:rPr>
          <w:rFonts w:eastAsia="仿宋_GB2312"/>
          <w:color w:val="000000" w:themeColor="text1"/>
          <w:szCs w:val="24"/>
        </w:rPr>
        <w:t>m</w:t>
      </w:r>
      <w:r>
        <w:rPr>
          <w:rFonts w:eastAsia="仿宋_GB2312"/>
          <w:color w:val="000000" w:themeColor="text1"/>
          <w:szCs w:val="24"/>
          <w:vertAlign w:val="superscript"/>
        </w:rPr>
        <w:t>2</w:t>
      </w:r>
      <w:r>
        <w:rPr>
          <w:rFonts w:eastAsia="仿宋_GB2312"/>
          <w:color w:val="000000" w:themeColor="text1"/>
        </w:rPr>
        <w:t>。</w:t>
      </w:r>
      <w:r>
        <w:rPr>
          <w:rFonts w:eastAsia="仿宋_GB2312"/>
          <w:color w:val="000000" w:themeColor="text1"/>
          <w:szCs w:val="28"/>
        </w:rPr>
        <w:t>主体工程设计具有水土保持功能措施的分析评价见表3-3。</w:t>
      </w:r>
    </w:p>
    <w:p>
      <w:pPr>
        <w:widowControl/>
        <w:snapToGrid w:val="0"/>
        <w:spacing w:line="360" w:lineRule="auto"/>
        <w:jc w:val="center"/>
        <w:rPr>
          <w:rFonts w:eastAsia="仿宋_GB2312"/>
          <w:b/>
          <w:bCs/>
          <w:color w:val="000000" w:themeColor="text1"/>
          <w:szCs w:val="28"/>
        </w:rPr>
      </w:pPr>
      <w:r>
        <w:rPr>
          <w:rFonts w:eastAsia="仿宋_GB2312"/>
          <w:b/>
          <w:bCs/>
          <w:color w:val="000000" w:themeColor="text1"/>
          <w:szCs w:val="28"/>
        </w:rPr>
        <w:t>表3-3            主体工程设计具有水土保持功能措施评价表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37"/>
        <w:gridCol w:w="1882"/>
        <w:gridCol w:w="2706"/>
        <w:gridCol w:w="2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337" w:type="dxa"/>
            <w:tcMar>
              <w:top w:w="0" w:type="dxa"/>
              <w:left w:w="0" w:type="dxa"/>
              <w:bottom w:w="0" w:type="dxa"/>
              <w:right w:w="0" w:type="dxa"/>
            </w:tcMar>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防治分区</w:t>
            </w:r>
          </w:p>
        </w:tc>
        <w:tc>
          <w:tcPr>
            <w:tcW w:w="1882" w:type="dxa"/>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措施分类</w:t>
            </w:r>
          </w:p>
        </w:tc>
        <w:tc>
          <w:tcPr>
            <w:tcW w:w="2706" w:type="dxa"/>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界定为水保</w:t>
            </w:r>
          </w:p>
          <w:p>
            <w:pPr>
              <w:pStyle w:val="77"/>
              <w:rPr>
                <w:rFonts w:ascii="Times New Roman" w:hAnsi="Times New Roman" w:eastAsia="仿宋_GB2312"/>
                <w:color w:val="000000" w:themeColor="text1"/>
              </w:rPr>
            </w:pPr>
            <w:r>
              <w:rPr>
                <w:rFonts w:ascii="Times New Roman" w:hAnsi="Times New Roman" w:eastAsia="仿宋_GB2312"/>
                <w:color w:val="000000" w:themeColor="text1"/>
              </w:rPr>
              <w:t>工程的措施</w:t>
            </w:r>
          </w:p>
        </w:tc>
        <w:tc>
          <w:tcPr>
            <w:tcW w:w="2596" w:type="dxa"/>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需补充</w:t>
            </w:r>
          </w:p>
          <w:p>
            <w:pPr>
              <w:pStyle w:val="77"/>
              <w:rPr>
                <w:rFonts w:ascii="Times New Roman" w:hAnsi="Times New Roman" w:eastAsia="仿宋_GB2312"/>
                <w:color w:val="000000" w:themeColor="text1"/>
              </w:rPr>
            </w:pPr>
            <w:r>
              <w:rPr>
                <w:rFonts w:ascii="Times New Roman" w:hAnsi="Times New Roman" w:eastAsia="仿宋_GB2312"/>
                <w:color w:val="000000" w:themeColor="text1"/>
              </w:rPr>
              <w:t>完善的措施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337" w:type="dxa"/>
            <w:vMerge w:val="restart"/>
            <w:tcMar>
              <w:top w:w="0" w:type="dxa"/>
              <w:left w:w="0" w:type="dxa"/>
              <w:bottom w:w="0" w:type="dxa"/>
              <w:right w:w="0" w:type="dxa"/>
            </w:tcMar>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工程建设区</w:t>
            </w:r>
          </w:p>
        </w:tc>
        <w:tc>
          <w:tcPr>
            <w:tcW w:w="1882" w:type="dxa"/>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工程措施</w:t>
            </w:r>
          </w:p>
        </w:tc>
        <w:tc>
          <w:tcPr>
            <w:tcW w:w="2706" w:type="dxa"/>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绿化用土回覆</w:t>
            </w:r>
            <w:r>
              <w:rPr>
                <w:rFonts w:hint="eastAsia" w:ascii="Times New Roman" w:hAnsi="Times New Roman" w:eastAsia="仿宋_GB2312"/>
                <w:color w:val="000000" w:themeColor="text1"/>
              </w:rPr>
              <w:t>、雨水管线、</w:t>
            </w:r>
          </w:p>
          <w:p>
            <w:pPr>
              <w:pStyle w:val="77"/>
              <w:rPr>
                <w:rFonts w:ascii="Times New Roman" w:hAnsi="Times New Roman" w:eastAsia="仿宋_GB2312"/>
                <w:color w:val="000000" w:themeColor="text1"/>
              </w:rPr>
            </w:pPr>
            <w:r>
              <w:rPr>
                <w:rFonts w:hint="eastAsia" w:ascii="Times New Roman" w:hAnsi="Times New Roman" w:eastAsia="仿宋_GB2312"/>
                <w:color w:val="000000" w:themeColor="text1"/>
              </w:rPr>
              <w:t>雨水口</w:t>
            </w:r>
          </w:p>
        </w:tc>
        <w:tc>
          <w:tcPr>
            <w:tcW w:w="2596" w:type="dxa"/>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全面整地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337" w:type="dxa"/>
            <w:vMerge w:val="continue"/>
            <w:vAlign w:val="center"/>
          </w:tcPr>
          <w:p>
            <w:pPr>
              <w:pStyle w:val="77"/>
              <w:rPr>
                <w:rFonts w:ascii="Times New Roman" w:hAnsi="Times New Roman" w:eastAsia="仿宋_GB2312"/>
                <w:color w:val="000000" w:themeColor="text1"/>
              </w:rPr>
            </w:pPr>
          </w:p>
        </w:tc>
        <w:tc>
          <w:tcPr>
            <w:tcW w:w="1882" w:type="dxa"/>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植物措施</w:t>
            </w:r>
          </w:p>
        </w:tc>
        <w:tc>
          <w:tcPr>
            <w:tcW w:w="2706" w:type="dxa"/>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景观绿化</w:t>
            </w:r>
          </w:p>
        </w:tc>
        <w:tc>
          <w:tcPr>
            <w:tcW w:w="2596" w:type="dxa"/>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337" w:type="dxa"/>
            <w:vMerge w:val="continue"/>
            <w:vAlign w:val="center"/>
          </w:tcPr>
          <w:p>
            <w:pPr>
              <w:pStyle w:val="77"/>
              <w:rPr>
                <w:rFonts w:ascii="Times New Roman" w:hAnsi="Times New Roman" w:eastAsia="仿宋_GB2312"/>
                <w:color w:val="000000" w:themeColor="text1"/>
              </w:rPr>
            </w:pPr>
          </w:p>
        </w:tc>
        <w:tc>
          <w:tcPr>
            <w:tcW w:w="1882" w:type="dxa"/>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临时措施</w:t>
            </w:r>
          </w:p>
        </w:tc>
        <w:tc>
          <w:tcPr>
            <w:tcW w:w="2706" w:type="dxa"/>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临时堆土防护</w:t>
            </w:r>
          </w:p>
        </w:tc>
        <w:tc>
          <w:tcPr>
            <w:tcW w:w="2596" w:type="dxa"/>
            <w:vAlign w:val="center"/>
          </w:tcPr>
          <w:p>
            <w:pPr>
              <w:jc w:val="center"/>
              <w:rPr>
                <w:rFonts w:eastAsia="仿宋_GB2312"/>
                <w:color w:val="000000" w:themeColor="text1"/>
                <w:sz w:val="21"/>
                <w:szCs w:val="21"/>
              </w:rPr>
            </w:pPr>
            <w:r>
              <w:rPr>
                <w:rFonts w:eastAsia="仿宋_GB2312"/>
                <w:color w:val="000000" w:themeColor="text1"/>
              </w:rPr>
              <w:t>\</w:t>
            </w:r>
          </w:p>
        </w:tc>
      </w:tr>
    </w:tbl>
    <w:p>
      <w:pPr>
        <w:pStyle w:val="4"/>
        <w:spacing w:before="100" w:beforeAutospacing="1" w:after="0" w:line="360" w:lineRule="auto"/>
        <w:rPr>
          <w:rFonts w:ascii="Times New Roman" w:hAnsi="Times New Roman" w:eastAsia="仿宋_GB2312"/>
          <w:color w:val="000000" w:themeColor="text1"/>
          <w:sz w:val="28"/>
          <w:szCs w:val="28"/>
        </w:rPr>
      </w:pPr>
      <w:bookmarkStart w:id="34" w:name="_Toc15791"/>
      <w:r>
        <w:rPr>
          <w:rFonts w:ascii="Times New Roman" w:hAnsi="Times New Roman" w:eastAsia="仿宋_GB2312"/>
          <w:color w:val="000000" w:themeColor="text1"/>
          <w:sz w:val="28"/>
          <w:szCs w:val="28"/>
        </w:rPr>
        <w:t>3.3主体工程设计中水土保持措施界定</w:t>
      </w:r>
      <w:bookmarkEnd w:id="34"/>
    </w:p>
    <w:p>
      <w:pPr>
        <w:spacing w:line="360" w:lineRule="auto"/>
        <w:ind w:firstLine="480" w:firstLineChars="200"/>
        <w:jc w:val="both"/>
        <w:rPr>
          <w:rFonts w:eastAsia="仿宋_GB2312"/>
          <w:bCs/>
          <w:iCs/>
          <w:color w:val="000000" w:themeColor="text1"/>
          <w:szCs w:val="24"/>
        </w:rPr>
      </w:pPr>
      <w:r>
        <w:rPr>
          <w:rFonts w:eastAsia="仿宋_GB2312"/>
          <w:bCs/>
          <w:iCs/>
          <w:color w:val="000000" w:themeColor="text1"/>
          <w:szCs w:val="24"/>
        </w:rPr>
        <w:t>通过对主体设计中具有水土保持功能的分析评价，按《生产建设项目水土保持技术标准》中的界定原则，确定具有水土保持功能的措施是否为水土保持措施。</w:t>
      </w:r>
    </w:p>
    <w:p>
      <w:pPr>
        <w:spacing w:line="360" w:lineRule="auto"/>
        <w:ind w:firstLine="480" w:firstLineChars="200"/>
        <w:jc w:val="both"/>
        <w:rPr>
          <w:rFonts w:eastAsia="仿宋_GB2312"/>
          <w:bCs/>
          <w:iCs/>
          <w:color w:val="000000" w:themeColor="text1"/>
          <w:szCs w:val="24"/>
          <w:highlight w:val="red"/>
        </w:rPr>
      </w:pPr>
      <w:r>
        <w:rPr>
          <w:rFonts w:eastAsia="仿宋_GB2312"/>
          <w:bCs/>
          <w:iCs/>
          <w:color w:val="000000" w:themeColor="text1"/>
          <w:szCs w:val="24"/>
        </w:rPr>
        <w:t>主体工程中具有水土保持功能的措施为绿化用土回覆、雨水排水管线及雨水口、景观绿化、临时堆土防护满足水土保持要求，界定为水土保持措施，计入水土保持投资。详见表3-</w:t>
      </w:r>
      <w:r>
        <w:rPr>
          <w:rFonts w:hint="eastAsia" w:eastAsia="仿宋_GB2312"/>
          <w:bCs/>
          <w:iCs/>
          <w:color w:val="000000" w:themeColor="text1"/>
          <w:szCs w:val="24"/>
        </w:rPr>
        <w:t>4</w:t>
      </w:r>
      <w:r>
        <w:rPr>
          <w:rFonts w:eastAsia="仿宋_GB2312"/>
          <w:bCs/>
          <w:iCs/>
          <w:color w:val="000000" w:themeColor="text1"/>
          <w:szCs w:val="24"/>
        </w:rPr>
        <w:t>。</w:t>
      </w:r>
    </w:p>
    <w:p>
      <w:pPr>
        <w:spacing w:line="240" w:lineRule="auto"/>
        <w:jc w:val="center"/>
        <w:rPr>
          <w:rFonts w:eastAsia="仿宋_GB2312"/>
          <w:b/>
          <w:bCs/>
          <w:color w:val="000000" w:themeColor="text1"/>
          <w:szCs w:val="28"/>
          <w:highlight w:val="none"/>
        </w:rPr>
      </w:pPr>
      <w:r>
        <w:rPr>
          <w:rFonts w:eastAsia="仿宋_GB2312"/>
          <w:b/>
          <w:bCs/>
          <w:color w:val="000000" w:themeColor="text1"/>
          <w:szCs w:val="28"/>
          <w:highlight w:val="none"/>
        </w:rPr>
        <w:t>表3-4       主体已列水土保持措施及投资统计表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4"/>
        <w:gridCol w:w="2283"/>
        <w:gridCol w:w="1139"/>
        <w:gridCol w:w="1035"/>
        <w:gridCol w:w="1078"/>
        <w:gridCol w:w="1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76" w:type="pct"/>
            <w:vMerge w:val="restar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序号</w:t>
            </w:r>
          </w:p>
        </w:tc>
        <w:tc>
          <w:tcPr>
            <w:tcW w:w="1339" w:type="pct"/>
            <w:vMerge w:val="restar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项目</w:t>
            </w:r>
          </w:p>
        </w:tc>
        <w:tc>
          <w:tcPr>
            <w:tcW w:w="668" w:type="pct"/>
            <w:vMerge w:val="restar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单位</w:t>
            </w:r>
          </w:p>
        </w:tc>
        <w:tc>
          <w:tcPr>
            <w:tcW w:w="607" w:type="pct"/>
            <w:vMerge w:val="restar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数量</w:t>
            </w:r>
          </w:p>
        </w:tc>
        <w:tc>
          <w:tcPr>
            <w:tcW w:w="632" w:type="pct"/>
            <w:vMerge w:val="restar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单价</w:t>
            </w:r>
          </w:p>
        </w:tc>
        <w:tc>
          <w:tcPr>
            <w:tcW w:w="876"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76" w:type="pct"/>
            <w:vMerge w:val="continue"/>
            <w:vAlign w:val="center"/>
          </w:tcPr>
          <w:p>
            <w:pPr>
              <w:pStyle w:val="77"/>
              <w:rPr>
                <w:rFonts w:ascii="Times New Roman" w:hAnsi="Times New Roman" w:eastAsia="仿宋_GB2312"/>
                <w:color w:val="000000" w:themeColor="text1"/>
              </w:rPr>
            </w:pPr>
          </w:p>
        </w:tc>
        <w:tc>
          <w:tcPr>
            <w:tcW w:w="1339" w:type="pct"/>
            <w:vMerge w:val="continue"/>
            <w:vAlign w:val="center"/>
          </w:tcPr>
          <w:p>
            <w:pPr>
              <w:pStyle w:val="77"/>
              <w:rPr>
                <w:rFonts w:ascii="Times New Roman" w:hAnsi="Times New Roman" w:eastAsia="仿宋_GB2312"/>
                <w:color w:val="000000" w:themeColor="text1"/>
              </w:rPr>
            </w:pPr>
          </w:p>
        </w:tc>
        <w:tc>
          <w:tcPr>
            <w:tcW w:w="668" w:type="pct"/>
            <w:vMerge w:val="continue"/>
            <w:vAlign w:val="center"/>
          </w:tcPr>
          <w:p>
            <w:pPr>
              <w:pStyle w:val="77"/>
              <w:rPr>
                <w:rFonts w:ascii="Times New Roman" w:hAnsi="Times New Roman" w:eastAsia="仿宋_GB2312"/>
                <w:color w:val="000000" w:themeColor="text1"/>
              </w:rPr>
            </w:pPr>
          </w:p>
        </w:tc>
        <w:tc>
          <w:tcPr>
            <w:tcW w:w="607" w:type="pct"/>
            <w:vMerge w:val="continue"/>
            <w:vAlign w:val="center"/>
          </w:tcPr>
          <w:p>
            <w:pPr>
              <w:pStyle w:val="77"/>
              <w:rPr>
                <w:rFonts w:ascii="Times New Roman" w:hAnsi="Times New Roman" w:eastAsia="仿宋_GB2312"/>
                <w:color w:val="000000" w:themeColor="text1"/>
              </w:rPr>
            </w:pPr>
          </w:p>
        </w:tc>
        <w:tc>
          <w:tcPr>
            <w:tcW w:w="632" w:type="pct"/>
            <w:vMerge w:val="continue"/>
            <w:vAlign w:val="center"/>
          </w:tcPr>
          <w:p>
            <w:pPr>
              <w:pStyle w:val="77"/>
              <w:rPr>
                <w:rFonts w:ascii="Times New Roman" w:hAnsi="Times New Roman" w:eastAsia="仿宋_GB2312"/>
                <w:color w:val="000000" w:themeColor="text1"/>
              </w:rPr>
            </w:pPr>
          </w:p>
        </w:tc>
        <w:tc>
          <w:tcPr>
            <w:tcW w:w="876"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w:t>
            </w:r>
            <w:r>
              <w:rPr>
                <w:rFonts w:hint="eastAsia" w:ascii="Times New Roman" w:hAnsi="Times New Roman" w:eastAsia="仿宋_GB2312"/>
                <w:color w:val="000000" w:themeColor="text1"/>
              </w:rPr>
              <w:t>万</w:t>
            </w:r>
            <w:r>
              <w:rPr>
                <w:rFonts w:ascii="Times New Roman" w:hAnsi="Times New Roman" w:eastAsia="仿宋_GB2312"/>
                <w:color w:val="000000" w:themeColor="text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6"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第一部分</w:t>
            </w:r>
          </w:p>
        </w:tc>
        <w:tc>
          <w:tcPr>
            <w:tcW w:w="1339"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工程措施</w:t>
            </w:r>
          </w:p>
        </w:tc>
        <w:tc>
          <w:tcPr>
            <w:tcW w:w="668" w:type="pct"/>
            <w:vAlign w:val="center"/>
          </w:tcPr>
          <w:p>
            <w:pPr>
              <w:widowControl/>
              <w:spacing w:line="240" w:lineRule="auto"/>
              <w:jc w:val="center"/>
              <w:rPr>
                <w:rFonts w:eastAsia="仿宋_GB2312"/>
                <w:color w:val="000000" w:themeColor="text1"/>
                <w:sz w:val="21"/>
                <w:szCs w:val="21"/>
              </w:rPr>
            </w:pPr>
          </w:p>
        </w:tc>
        <w:tc>
          <w:tcPr>
            <w:tcW w:w="607" w:type="pct"/>
            <w:vAlign w:val="center"/>
          </w:tcPr>
          <w:p>
            <w:pPr>
              <w:pStyle w:val="77"/>
              <w:rPr>
                <w:rFonts w:ascii="Times New Roman" w:hAnsi="Times New Roman" w:eastAsia="仿宋_GB2312"/>
                <w:color w:val="000000" w:themeColor="text1"/>
              </w:rPr>
            </w:pPr>
          </w:p>
        </w:tc>
        <w:tc>
          <w:tcPr>
            <w:tcW w:w="632" w:type="pct"/>
            <w:vAlign w:val="center"/>
          </w:tcPr>
          <w:p>
            <w:pPr>
              <w:pStyle w:val="77"/>
              <w:rPr>
                <w:rFonts w:ascii="Times New Roman" w:hAnsi="Times New Roman" w:eastAsia="仿宋_GB2312"/>
                <w:color w:val="000000" w:themeColor="text1"/>
              </w:rPr>
            </w:pPr>
          </w:p>
        </w:tc>
        <w:tc>
          <w:tcPr>
            <w:tcW w:w="876" w:type="pct"/>
            <w:vAlign w:val="center"/>
          </w:tcPr>
          <w:p>
            <w:pPr>
              <w:spacing w:line="240" w:lineRule="auto"/>
              <w:jc w:val="center"/>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19.72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6"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一</w:t>
            </w:r>
          </w:p>
        </w:tc>
        <w:tc>
          <w:tcPr>
            <w:tcW w:w="1339" w:type="pct"/>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工程建设区</w:t>
            </w:r>
          </w:p>
        </w:tc>
        <w:tc>
          <w:tcPr>
            <w:tcW w:w="668" w:type="pct"/>
            <w:vAlign w:val="center"/>
          </w:tcPr>
          <w:p>
            <w:pPr>
              <w:widowControl/>
              <w:spacing w:line="240" w:lineRule="auto"/>
              <w:jc w:val="center"/>
              <w:rPr>
                <w:rFonts w:eastAsia="仿宋_GB2312"/>
                <w:color w:val="000000" w:themeColor="text1"/>
                <w:sz w:val="21"/>
                <w:szCs w:val="21"/>
              </w:rPr>
            </w:pPr>
          </w:p>
        </w:tc>
        <w:tc>
          <w:tcPr>
            <w:tcW w:w="607" w:type="pct"/>
            <w:vAlign w:val="center"/>
          </w:tcPr>
          <w:p>
            <w:pPr>
              <w:pStyle w:val="77"/>
              <w:rPr>
                <w:rFonts w:ascii="Times New Roman" w:hAnsi="Times New Roman" w:eastAsia="仿宋_GB2312"/>
                <w:color w:val="000000" w:themeColor="text1"/>
              </w:rPr>
            </w:pPr>
          </w:p>
        </w:tc>
        <w:tc>
          <w:tcPr>
            <w:tcW w:w="632" w:type="pct"/>
            <w:vAlign w:val="center"/>
          </w:tcPr>
          <w:p>
            <w:pPr>
              <w:pStyle w:val="77"/>
              <w:rPr>
                <w:rFonts w:ascii="Times New Roman" w:hAnsi="Times New Roman" w:eastAsia="仿宋_GB2312"/>
                <w:color w:val="000000" w:themeColor="text1"/>
              </w:rPr>
            </w:pPr>
          </w:p>
        </w:tc>
        <w:tc>
          <w:tcPr>
            <w:tcW w:w="876" w:type="pct"/>
            <w:vAlign w:val="center"/>
          </w:tcPr>
          <w:p>
            <w:pPr>
              <w:spacing w:line="240" w:lineRule="auto"/>
              <w:jc w:val="center"/>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19.72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6" w:type="pct"/>
            <w:vAlign w:val="center"/>
          </w:tcPr>
          <w:p>
            <w:pPr>
              <w:widowControl/>
              <w:spacing w:line="240" w:lineRule="auto"/>
              <w:jc w:val="center"/>
              <w:rPr>
                <w:rFonts w:eastAsia="仿宋_GB2312"/>
                <w:color w:val="000000" w:themeColor="text1"/>
                <w:sz w:val="21"/>
                <w:szCs w:val="21"/>
              </w:rPr>
            </w:pPr>
            <w:r>
              <w:rPr>
                <w:rFonts w:hint="eastAsia" w:eastAsia="仿宋_GB2312"/>
                <w:color w:val="000000" w:themeColor="text1"/>
                <w:sz w:val="21"/>
                <w:szCs w:val="21"/>
              </w:rPr>
              <w:t>1</w:t>
            </w:r>
          </w:p>
        </w:tc>
        <w:tc>
          <w:tcPr>
            <w:tcW w:w="1339" w:type="pct"/>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绿化用土回覆</w:t>
            </w:r>
          </w:p>
        </w:tc>
        <w:tc>
          <w:tcPr>
            <w:tcW w:w="668" w:type="pct"/>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100m</w:t>
            </w:r>
            <w:r>
              <w:rPr>
                <w:rFonts w:eastAsia="仿宋_GB2312"/>
                <w:color w:val="000000" w:themeColor="text1"/>
                <w:sz w:val="21"/>
                <w:szCs w:val="21"/>
                <w:vertAlign w:val="superscript"/>
              </w:rPr>
              <w:t>3</w:t>
            </w:r>
          </w:p>
        </w:tc>
        <w:tc>
          <w:tcPr>
            <w:tcW w:w="607" w:type="pct"/>
            <w:vAlign w:val="center"/>
          </w:tcPr>
          <w:p>
            <w:pPr>
              <w:spacing w:line="240" w:lineRule="auto"/>
              <w:jc w:val="center"/>
              <w:rPr>
                <w:rFonts w:hint="eastAsia" w:eastAsia="仿宋_GB2312"/>
                <w:color w:val="000000" w:themeColor="text1"/>
                <w:sz w:val="21"/>
                <w:szCs w:val="21"/>
                <w:lang w:eastAsia="zh-CN"/>
              </w:rPr>
            </w:pPr>
            <w:r>
              <w:rPr>
                <w:rFonts w:hint="eastAsia" w:eastAsia="仿宋_GB2312"/>
                <w:color w:val="000000" w:themeColor="text1"/>
                <w:sz w:val="21"/>
                <w:szCs w:val="21"/>
                <w:lang w:val="en-US" w:eastAsia="zh-CN"/>
              </w:rPr>
              <w:t>4</w:t>
            </w:r>
          </w:p>
        </w:tc>
        <w:tc>
          <w:tcPr>
            <w:tcW w:w="632" w:type="pct"/>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555</w:t>
            </w:r>
          </w:p>
        </w:tc>
        <w:tc>
          <w:tcPr>
            <w:tcW w:w="876" w:type="pct"/>
            <w:vAlign w:val="center"/>
          </w:tcPr>
          <w:p>
            <w:pPr>
              <w:pStyle w:val="77"/>
              <w:rPr>
                <w:rFonts w:hint="default" w:ascii="Times New Roman" w:hAnsi="Times New Roman" w:eastAsia="仿宋_GB2312"/>
                <w:color w:val="000000" w:themeColor="text1"/>
                <w:lang w:val="en-US" w:eastAsia="zh-CN"/>
              </w:rPr>
            </w:pPr>
            <w:r>
              <w:rPr>
                <w:rFonts w:hint="eastAsia" w:ascii="Times New Roman" w:hAnsi="Times New Roman" w:eastAsia="仿宋_GB2312"/>
                <w:color w:val="000000" w:themeColor="text1"/>
                <w:lang w:val="en-US" w:eastAsia="zh-CN"/>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6" w:type="pct"/>
            <w:vAlign w:val="center"/>
          </w:tcPr>
          <w:p>
            <w:pPr>
              <w:widowControl/>
              <w:spacing w:line="240" w:lineRule="auto"/>
              <w:jc w:val="center"/>
              <w:rPr>
                <w:rFonts w:eastAsia="仿宋_GB2312"/>
                <w:color w:val="000000" w:themeColor="text1"/>
                <w:sz w:val="21"/>
                <w:szCs w:val="21"/>
              </w:rPr>
            </w:pPr>
            <w:r>
              <w:rPr>
                <w:rFonts w:hint="eastAsia" w:eastAsia="仿宋_GB2312"/>
                <w:color w:val="000000" w:themeColor="text1"/>
                <w:sz w:val="21"/>
                <w:szCs w:val="21"/>
              </w:rPr>
              <w:t>2</w:t>
            </w:r>
          </w:p>
        </w:tc>
        <w:tc>
          <w:tcPr>
            <w:tcW w:w="1339" w:type="pct"/>
            <w:vAlign w:val="center"/>
          </w:tcPr>
          <w:p>
            <w:pPr>
              <w:widowControl/>
              <w:spacing w:line="240" w:lineRule="auto"/>
              <w:jc w:val="center"/>
              <w:rPr>
                <w:rFonts w:eastAsia="仿宋_GB2312"/>
                <w:color w:val="000000" w:themeColor="text1"/>
                <w:sz w:val="21"/>
                <w:szCs w:val="21"/>
              </w:rPr>
            </w:pPr>
            <w:r>
              <w:rPr>
                <w:rFonts w:hint="eastAsia" w:eastAsia="仿宋_GB2312"/>
                <w:color w:val="000000" w:themeColor="text1"/>
                <w:sz w:val="21"/>
                <w:szCs w:val="21"/>
              </w:rPr>
              <w:t>雨水管线</w:t>
            </w:r>
          </w:p>
        </w:tc>
        <w:tc>
          <w:tcPr>
            <w:tcW w:w="668" w:type="pct"/>
            <w:vAlign w:val="center"/>
          </w:tcPr>
          <w:p>
            <w:pPr>
              <w:spacing w:line="240" w:lineRule="auto"/>
              <w:jc w:val="center"/>
              <w:rPr>
                <w:rFonts w:eastAsia="仿宋_GB2312"/>
                <w:color w:val="000000" w:themeColor="text1"/>
                <w:sz w:val="21"/>
                <w:szCs w:val="21"/>
              </w:rPr>
            </w:pPr>
            <w:r>
              <w:rPr>
                <w:rFonts w:hint="eastAsia" w:eastAsia="仿宋_GB2312"/>
                <w:color w:val="000000" w:themeColor="text1"/>
                <w:sz w:val="21"/>
                <w:szCs w:val="21"/>
              </w:rPr>
              <w:t>m</w:t>
            </w:r>
          </w:p>
        </w:tc>
        <w:tc>
          <w:tcPr>
            <w:tcW w:w="607" w:type="pct"/>
            <w:vAlign w:val="center"/>
          </w:tcPr>
          <w:p>
            <w:pPr>
              <w:spacing w:line="240" w:lineRule="auto"/>
              <w:jc w:val="center"/>
              <w:rPr>
                <w:rFonts w:hint="default" w:eastAsia="仿宋_GB2312"/>
                <w:color w:val="000000" w:themeColor="text1"/>
                <w:sz w:val="21"/>
                <w:szCs w:val="21"/>
                <w:lang w:val="en-US" w:eastAsia="zh-CN"/>
              </w:rPr>
            </w:pPr>
            <w:r>
              <w:rPr>
                <w:rFonts w:hint="eastAsia" w:eastAsia="仿宋_GB2312"/>
                <w:color w:val="000000" w:themeColor="text1"/>
                <w:sz w:val="21"/>
                <w:szCs w:val="21"/>
              </w:rPr>
              <w:t>4</w:t>
            </w:r>
            <w:r>
              <w:rPr>
                <w:rFonts w:hint="eastAsia" w:eastAsia="仿宋_GB2312"/>
                <w:color w:val="000000" w:themeColor="text1"/>
                <w:sz w:val="21"/>
                <w:szCs w:val="21"/>
                <w:lang w:val="en-US" w:eastAsia="zh-CN"/>
              </w:rPr>
              <w:t>11</w:t>
            </w:r>
          </w:p>
        </w:tc>
        <w:tc>
          <w:tcPr>
            <w:tcW w:w="1078" w:type="dxa"/>
            <w:vAlign w:val="center"/>
          </w:tcPr>
          <w:p>
            <w:pPr>
              <w:spacing w:line="240" w:lineRule="auto"/>
              <w:jc w:val="center"/>
              <w:rPr>
                <w:rFonts w:eastAsia="仿宋_GB2312"/>
                <w:color w:val="000000" w:themeColor="text1"/>
                <w:kern w:val="2"/>
                <w:sz w:val="21"/>
                <w:szCs w:val="21"/>
              </w:rPr>
            </w:pPr>
            <w:r>
              <w:rPr>
                <w:rFonts w:eastAsia="仿宋_GB2312"/>
                <w:color w:val="000000" w:themeColor="text1"/>
                <w:kern w:val="2"/>
                <w:sz w:val="21"/>
                <w:szCs w:val="21"/>
              </w:rPr>
              <w:t>450</w:t>
            </w:r>
          </w:p>
        </w:tc>
        <w:tc>
          <w:tcPr>
            <w:tcW w:w="876" w:type="pct"/>
            <w:vAlign w:val="center"/>
          </w:tcPr>
          <w:p>
            <w:pPr>
              <w:pStyle w:val="77"/>
              <w:rPr>
                <w:rFonts w:hint="default" w:ascii="Times New Roman" w:hAnsi="Times New Roman" w:eastAsia="仿宋_GB2312"/>
                <w:color w:val="000000" w:themeColor="text1"/>
                <w:lang w:val="en-US" w:eastAsia="zh-CN"/>
              </w:rPr>
            </w:pPr>
            <w:r>
              <w:rPr>
                <w:rFonts w:hint="eastAsia" w:ascii="Times New Roman" w:hAnsi="Times New Roman" w:eastAsia="仿宋_GB2312"/>
                <w:color w:val="000000" w:themeColor="text1"/>
              </w:rPr>
              <w:t>1</w:t>
            </w:r>
            <w:r>
              <w:rPr>
                <w:rFonts w:hint="eastAsia" w:ascii="Times New Roman" w:hAnsi="Times New Roman" w:eastAsia="仿宋_GB2312"/>
                <w:color w:val="000000" w:themeColor="text1"/>
                <w:lang w:val="en-US" w:eastAsia="zh-CN"/>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6" w:type="pct"/>
            <w:vAlign w:val="center"/>
          </w:tcPr>
          <w:p>
            <w:pPr>
              <w:widowControl/>
              <w:spacing w:line="240" w:lineRule="auto"/>
              <w:jc w:val="center"/>
              <w:rPr>
                <w:rFonts w:eastAsia="仿宋_GB2312"/>
                <w:color w:val="000000" w:themeColor="text1"/>
                <w:sz w:val="21"/>
                <w:szCs w:val="21"/>
              </w:rPr>
            </w:pPr>
            <w:r>
              <w:rPr>
                <w:rFonts w:hint="eastAsia" w:eastAsia="仿宋_GB2312"/>
                <w:color w:val="000000" w:themeColor="text1"/>
                <w:sz w:val="21"/>
                <w:szCs w:val="21"/>
              </w:rPr>
              <w:t>3</w:t>
            </w:r>
          </w:p>
        </w:tc>
        <w:tc>
          <w:tcPr>
            <w:tcW w:w="1339" w:type="pct"/>
            <w:vAlign w:val="center"/>
          </w:tcPr>
          <w:p>
            <w:pPr>
              <w:widowControl/>
              <w:spacing w:line="240" w:lineRule="auto"/>
              <w:jc w:val="center"/>
              <w:rPr>
                <w:rFonts w:eastAsia="仿宋_GB2312"/>
                <w:color w:val="000000" w:themeColor="text1"/>
                <w:sz w:val="21"/>
                <w:szCs w:val="21"/>
              </w:rPr>
            </w:pPr>
            <w:r>
              <w:rPr>
                <w:rFonts w:hint="eastAsia" w:eastAsia="仿宋_GB2312"/>
                <w:color w:val="000000" w:themeColor="text1"/>
                <w:sz w:val="21"/>
                <w:szCs w:val="21"/>
              </w:rPr>
              <w:t>雨水口</w:t>
            </w:r>
          </w:p>
        </w:tc>
        <w:tc>
          <w:tcPr>
            <w:tcW w:w="668" w:type="pct"/>
            <w:vAlign w:val="center"/>
          </w:tcPr>
          <w:p>
            <w:pPr>
              <w:spacing w:line="240" w:lineRule="auto"/>
              <w:jc w:val="center"/>
              <w:rPr>
                <w:rFonts w:eastAsia="仿宋_GB2312"/>
                <w:color w:val="000000" w:themeColor="text1"/>
                <w:sz w:val="21"/>
                <w:szCs w:val="21"/>
              </w:rPr>
            </w:pPr>
            <w:r>
              <w:rPr>
                <w:rFonts w:hint="eastAsia" w:eastAsia="仿宋_GB2312"/>
                <w:color w:val="000000" w:themeColor="text1"/>
                <w:sz w:val="21"/>
                <w:szCs w:val="21"/>
              </w:rPr>
              <w:t>个</w:t>
            </w:r>
          </w:p>
        </w:tc>
        <w:tc>
          <w:tcPr>
            <w:tcW w:w="607" w:type="pct"/>
            <w:vAlign w:val="center"/>
          </w:tcPr>
          <w:p>
            <w:pPr>
              <w:spacing w:line="240" w:lineRule="auto"/>
              <w:jc w:val="center"/>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20</w:t>
            </w:r>
          </w:p>
        </w:tc>
        <w:tc>
          <w:tcPr>
            <w:tcW w:w="1078" w:type="dxa"/>
            <w:vAlign w:val="center"/>
          </w:tcPr>
          <w:p>
            <w:pPr>
              <w:spacing w:line="240" w:lineRule="auto"/>
              <w:jc w:val="center"/>
              <w:rPr>
                <w:rFonts w:eastAsia="仿宋_GB2312"/>
                <w:color w:val="000000" w:themeColor="text1"/>
                <w:kern w:val="2"/>
                <w:sz w:val="21"/>
                <w:szCs w:val="21"/>
              </w:rPr>
            </w:pPr>
            <w:r>
              <w:rPr>
                <w:rFonts w:eastAsia="仿宋_GB2312"/>
                <w:color w:val="000000" w:themeColor="text1"/>
                <w:kern w:val="2"/>
                <w:sz w:val="21"/>
                <w:szCs w:val="21"/>
              </w:rPr>
              <w:t>500</w:t>
            </w:r>
          </w:p>
        </w:tc>
        <w:tc>
          <w:tcPr>
            <w:tcW w:w="876" w:type="pct"/>
            <w:vAlign w:val="center"/>
          </w:tcPr>
          <w:p>
            <w:pPr>
              <w:pStyle w:val="77"/>
              <w:rPr>
                <w:rFonts w:hint="default" w:ascii="Times New Roman" w:hAnsi="Times New Roman" w:eastAsia="仿宋_GB2312"/>
                <w:color w:val="000000" w:themeColor="text1"/>
                <w:lang w:val="en-US" w:eastAsia="zh-CN"/>
              </w:rPr>
            </w:pPr>
            <w:r>
              <w:rPr>
                <w:rFonts w:hint="eastAsia" w:ascii="Times New Roman" w:hAnsi="Times New Roman" w:eastAsia="仿宋_GB2312"/>
                <w:color w:val="000000" w:themeColor="text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6"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第二部分</w:t>
            </w:r>
          </w:p>
        </w:tc>
        <w:tc>
          <w:tcPr>
            <w:tcW w:w="1339"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植物措施</w:t>
            </w:r>
          </w:p>
        </w:tc>
        <w:tc>
          <w:tcPr>
            <w:tcW w:w="668" w:type="pct"/>
            <w:vAlign w:val="center"/>
          </w:tcPr>
          <w:p>
            <w:pPr>
              <w:pStyle w:val="77"/>
              <w:rPr>
                <w:rFonts w:ascii="Times New Roman" w:hAnsi="Times New Roman" w:eastAsia="仿宋_GB2312"/>
                <w:color w:val="000000" w:themeColor="text1"/>
              </w:rPr>
            </w:pPr>
          </w:p>
        </w:tc>
        <w:tc>
          <w:tcPr>
            <w:tcW w:w="607" w:type="pct"/>
            <w:vAlign w:val="center"/>
          </w:tcPr>
          <w:p>
            <w:pPr>
              <w:pStyle w:val="77"/>
              <w:rPr>
                <w:rFonts w:ascii="Times New Roman" w:hAnsi="Times New Roman" w:eastAsia="仿宋_GB2312"/>
                <w:color w:val="000000" w:themeColor="text1"/>
              </w:rPr>
            </w:pPr>
          </w:p>
        </w:tc>
        <w:tc>
          <w:tcPr>
            <w:tcW w:w="1078" w:type="dxa"/>
            <w:vAlign w:val="center"/>
          </w:tcPr>
          <w:p>
            <w:pPr>
              <w:spacing w:line="240" w:lineRule="auto"/>
              <w:jc w:val="center"/>
              <w:rPr>
                <w:rFonts w:eastAsia="仿宋_GB2312"/>
                <w:color w:val="000000" w:themeColor="text1"/>
              </w:rPr>
            </w:pPr>
          </w:p>
        </w:tc>
        <w:tc>
          <w:tcPr>
            <w:tcW w:w="876" w:type="pct"/>
            <w:vAlign w:val="center"/>
          </w:tcPr>
          <w:p>
            <w:pPr>
              <w:pStyle w:val="77"/>
              <w:rPr>
                <w:rFonts w:hint="eastAsia" w:ascii="Times New Roman" w:hAnsi="Times New Roman" w:eastAsia="仿宋_GB2312"/>
                <w:color w:val="000000" w:themeColor="text1"/>
                <w:lang w:val="en-US" w:eastAsia="zh-CN"/>
              </w:rPr>
            </w:pPr>
            <w:r>
              <w:rPr>
                <w:rFonts w:hint="eastAsia" w:ascii="Times New Roman" w:hAnsi="Times New Roman" w:eastAsia="仿宋_GB2312"/>
                <w:color w:val="000000" w:themeColor="text1"/>
                <w:lang w:val="en-US" w:eastAsia="zh-CN"/>
              </w:rPr>
              <w:t>10.07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6"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一</w:t>
            </w:r>
          </w:p>
        </w:tc>
        <w:tc>
          <w:tcPr>
            <w:tcW w:w="1339" w:type="pct"/>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工程建设区</w:t>
            </w:r>
          </w:p>
        </w:tc>
        <w:tc>
          <w:tcPr>
            <w:tcW w:w="668" w:type="pct"/>
            <w:vAlign w:val="center"/>
          </w:tcPr>
          <w:p>
            <w:pPr>
              <w:widowControl/>
              <w:spacing w:line="240" w:lineRule="auto"/>
              <w:jc w:val="center"/>
              <w:rPr>
                <w:rFonts w:eastAsia="仿宋_GB2312"/>
                <w:color w:val="000000" w:themeColor="text1"/>
                <w:sz w:val="21"/>
                <w:szCs w:val="21"/>
              </w:rPr>
            </w:pPr>
          </w:p>
        </w:tc>
        <w:tc>
          <w:tcPr>
            <w:tcW w:w="607" w:type="pct"/>
            <w:vAlign w:val="center"/>
          </w:tcPr>
          <w:p>
            <w:pPr>
              <w:pStyle w:val="77"/>
              <w:rPr>
                <w:rFonts w:ascii="Times New Roman" w:hAnsi="Times New Roman" w:eastAsia="仿宋_GB2312"/>
                <w:color w:val="000000" w:themeColor="text1"/>
              </w:rPr>
            </w:pPr>
          </w:p>
        </w:tc>
        <w:tc>
          <w:tcPr>
            <w:tcW w:w="632" w:type="pct"/>
            <w:vAlign w:val="center"/>
          </w:tcPr>
          <w:p>
            <w:pPr>
              <w:pStyle w:val="77"/>
              <w:rPr>
                <w:rFonts w:ascii="Times New Roman" w:hAnsi="Times New Roman" w:eastAsia="仿宋_GB2312"/>
                <w:color w:val="000000" w:themeColor="text1"/>
              </w:rPr>
            </w:pPr>
          </w:p>
        </w:tc>
        <w:tc>
          <w:tcPr>
            <w:tcW w:w="876" w:type="pct"/>
            <w:vAlign w:val="center"/>
          </w:tcPr>
          <w:p>
            <w:pPr>
              <w:pStyle w:val="77"/>
              <w:rPr>
                <w:rFonts w:hint="eastAsia" w:ascii="Times New Roman" w:hAnsi="Times New Roman" w:eastAsia="仿宋_GB2312"/>
                <w:color w:val="000000" w:themeColor="text1"/>
                <w:lang w:val="en-US" w:eastAsia="zh-CN"/>
              </w:rPr>
            </w:pPr>
            <w:r>
              <w:rPr>
                <w:rFonts w:hint="eastAsia" w:ascii="Times New Roman" w:hAnsi="Times New Roman" w:eastAsia="仿宋_GB2312"/>
                <w:color w:val="000000" w:themeColor="text1"/>
                <w:lang w:val="en-US" w:eastAsia="zh-CN"/>
              </w:rPr>
              <w:t>10.07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6"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1　</w:t>
            </w:r>
          </w:p>
        </w:tc>
        <w:tc>
          <w:tcPr>
            <w:tcW w:w="1339" w:type="pct"/>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景观绿化</w:t>
            </w:r>
          </w:p>
        </w:tc>
        <w:tc>
          <w:tcPr>
            <w:tcW w:w="668" w:type="pct"/>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m</w:t>
            </w:r>
            <w:r>
              <w:rPr>
                <w:rFonts w:eastAsia="仿宋_GB2312"/>
                <w:color w:val="000000" w:themeColor="text1"/>
                <w:sz w:val="21"/>
                <w:szCs w:val="21"/>
                <w:vertAlign w:val="superscript"/>
              </w:rPr>
              <w:t>2</w:t>
            </w:r>
          </w:p>
        </w:tc>
        <w:tc>
          <w:tcPr>
            <w:tcW w:w="607" w:type="pct"/>
            <w:vAlign w:val="center"/>
          </w:tcPr>
          <w:p>
            <w:pPr>
              <w:pStyle w:val="77"/>
              <w:rPr>
                <w:rFonts w:hint="eastAsia" w:ascii="Times New Roman" w:hAnsi="Times New Roman" w:eastAsia="仿宋_GB2312"/>
                <w:color w:val="000000" w:themeColor="text1"/>
                <w:lang w:eastAsia="zh-CN"/>
              </w:rPr>
            </w:pPr>
            <w:r>
              <w:rPr>
                <w:rFonts w:hint="eastAsia" w:ascii="Times New Roman" w:hAnsi="Times New Roman" w:eastAsia="仿宋_GB2312"/>
                <w:color w:val="000000" w:themeColor="text1"/>
                <w:lang w:eastAsia="zh-CN"/>
              </w:rPr>
              <w:t>1258.75</w:t>
            </w:r>
          </w:p>
        </w:tc>
        <w:tc>
          <w:tcPr>
            <w:tcW w:w="632"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80</w:t>
            </w:r>
          </w:p>
        </w:tc>
        <w:tc>
          <w:tcPr>
            <w:tcW w:w="876" w:type="pct"/>
            <w:vAlign w:val="center"/>
          </w:tcPr>
          <w:p>
            <w:pPr>
              <w:pStyle w:val="77"/>
              <w:rPr>
                <w:rFonts w:hint="default" w:ascii="Times New Roman" w:hAnsi="Times New Roman" w:eastAsia="仿宋_GB2312"/>
                <w:color w:val="000000" w:themeColor="text1"/>
                <w:lang w:val="en-US" w:eastAsia="zh-CN"/>
              </w:rPr>
            </w:pPr>
            <w:r>
              <w:rPr>
                <w:rFonts w:hint="eastAsia" w:ascii="Times New Roman" w:hAnsi="Times New Roman" w:eastAsia="仿宋_GB2312"/>
                <w:color w:val="000000" w:themeColor="text1"/>
                <w:lang w:val="en-US" w:eastAsia="zh-CN"/>
              </w:rPr>
              <w:t>10.07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6"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第三部分</w:t>
            </w:r>
          </w:p>
        </w:tc>
        <w:tc>
          <w:tcPr>
            <w:tcW w:w="1339" w:type="pct"/>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临时措施</w:t>
            </w:r>
          </w:p>
        </w:tc>
        <w:tc>
          <w:tcPr>
            <w:tcW w:w="668" w:type="pct"/>
            <w:vAlign w:val="center"/>
          </w:tcPr>
          <w:p>
            <w:pPr>
              <w:widowControl/>
              <w:spacing w:line="240" w:lineRule="auto"/>
              <w:jc w:val="center"/>
              <w:rPr>
                <w:rFonts w:eastAsia="仿宋_GB2312"/>
                <w:color w:val="000000" w:themeColor="text1"/>
                <w:sz w:val="21"/>
                <w:szCs w:val="21"/>
              </w:rPr>
            </w:pPr>
          </w:p>
        </w:tc>
        <w:tc>
          <w:tcPr>
            <w:tcW w:w="607" w:type="pct"/>
            <w:vAlign w:val="center"/>
          </w:tcPr>
          <w:p>
            <w:pPr>
              <w:pStyle w:val="77"/>
              <w:rPr>
                <w:rFonts w:ascii="Times New Roman" w:hAnsi="Times New Roman" w:eastAsia="仿宋_GB2312"/>
                <w:color w:val="000000" w:themeColor="text1"/>
              </w:rPr>
            </w:pPr>
          </w:p>
        </w:tc>
        <w:tc>
          <w:tcPr>
            <w:tcW w:w="632" w:type="pct"/>
            <w:vAlign w:val="center"/>
          </w:tcPr>
          <w:p>
            <w:pPr>
              <w:pStyle w:val="77"/>
              <w:rPr>
                <w:rFonts w:ascii="Times New Roman" w:hAnsi="Times New Roman" w:eastAsia="仿宋_GB2312"/>
                <w:color w:val="000000" w:themeColor="text1"/>
              </w:rPr>
            </w:pPr>
          </w:p>
        </w:tc>
        <w:tc>
          <w:tcPr>
            <w:tcW w:w="876" w:type="pct"/>
            <w:vAlign w:val="center"/>
          </w:tcPr>
          <w:p>
            <w:pPr>
              <w:pStyle w:val="77"/>
              <w:rPr>
                <w:rFonts w:hint="default" w:ascii="Times New Roman" w:hAnsi="Times New Roman" w:eastAsia="仿宋_GB2312"/>
                <w:color w:val="000000" w:themeColor="text1"/>
                <w:lang w:val="en-US" w:eastAsia="zh-CN"/>
              </w:rPr>
            </w:pPr>
            <w:r>
              <w:rPr>
                <w:rFonts w:hint="eastAsia" w:ascii="Times New Roman" w:hAnsi="Times New Roman" w:eastAsia="仿宋_GB2312"/>
                <w:color w:val="000000" w:themeColor="text1"/>
                <w:lang w:val="en-US" w:eastAsia="zh-CN"/>
              </w:rPr>
              <w:t>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6"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一</w:t>
            </w:r>
          </w:p>
        </w:tc>
        <w:tc>
          <w:tcPr>
            <w:tcW w:w="1339" w:type="pct"/>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工程建设区</w:t>
            </w:r>
          </w:p>
        </w:tc>
        <w:tc>
          <w:tcPr>
            <w:tcW w:w="668" w:type="pct"/>
            <w:vAlign w:val="center"/>
          </w:tcPr>
          <w:p>
            <w:pPr>
              <w:widowControl/>
              <w:spacing w:line="240" w:lineRule="auto"/>
              <w:jc w:val="center"/>
              <w:rPr>
                <w:rFonts w:eastAsia="仿宋_GB2312"/>
                <w:color w:val="000000" w:themeColor="text1"/>
                <w:sz w:val="21"/>
                <w:szCs w:val="21"/>
              </w:rPr>
            </w:pPr>
          </w:p>
        </w:tc>
        <w:tc>
          <w:tcPr>
            <w:tcW w:w="607" w:type="pct"/>
            <w:vAlign w:val="center"/>
          </w:tcPr>
          <w:p>
            <w:pPr>
              <w:pStyle w:val="77"/>
              <w:rPr>
                <w:rFonts w:ascii="Times New Roman" w:hAnsi="Times New Roman" w:eastAsia="仿宋_GB2312"/>
                <w:color w:val="000000" w:themeColor="text1"/>
              </w:rPr>
            </w:pPr>
          </w:p>
        </w:tc>
        <w:tc>
          <w:tcPr>
            <w:tcW w:w="632" w:type="pct"/>
            <w:vAlign w:val="center"/>
          </w:tcPr>
          <w:p>
            <w:pPr>
              <w:pStyle w:val="77"/>
              <w:rPr>
                <w:rFonts w:ascii="Times New Roman" w:hAnsi="Times New Roman" w:eastAsia="仿宋_GB2312"/>
                <w:color w:val="000000" w:themeColor="text1"/>
              </w:rPr>
            </w:pPr>
          </w:p>
        </w:tc>
        <w:tc>
          <w:tcPr>
            <w:tcW w:w="876" w:type="pct"/>
            <w:vAlign w:val="center"/>
          </w:tcPr>
          <w:p>
            <w:pPr>
              <w:pStyle w:val="77"/>
              <w:rPr>
                <w:rFonts w:hint="default" w:ascii="Times New Roman" w:hAnsi="Times New Roman" w:eastAsia="仿宋_GB2312"/>
                <w:color w:val="000000" w:themeColor="text1"/>
                <w:lang w:val="en-US" w:eastAsia="zh-CN"/>
              </w:rPr>
            </w:pPr>
            <w:r>
              <w:rPr>
                <w:rFonts w:hint="eastAsia" w:ascii="Times New Roman" w:hAnsi="Times New Roman" w:eastAsia="仿宋_GB2312"/>
                <w:color w:val="000000" w:themeColor="text1"/>
                <w:lang w:val="en-US" w:eastAsia="zh-CN"/>
              </w:rPr>
              <w:t>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876" w:type="pct"/>
            <w:vAlign w:val="center"/>
          </w:tcPr>
          <w:p>
            <w:pPr>
              <w:spacing w:line="240" w:lineRule="auto"/>
              <w:jc w:val="center"/>
              <w:rPr>
                <w:rFonts w:eastAsia="仿宋_GB2312"/>
                <w:color w:val="000000" w:themeColor="text1"/>
                <w:sz w:val="21"/>
                <w:szCs w:val="21"/>
              </w:rPr>
            </w:pPr>
            <w:r>
              <w:rPr>
                <w:bCs/>
                <w:color w:val="000000" w:themeColor="text1"/>
                <w:sz w:val="21"/>
                <w:szCs w:val="21"/>
              </w:rPr>
              <w:t>1</w:t>
            </w:r>
          </w:p>
        </w:tc>
        <w:tc>
          <w:tcPr>
            <w:tcW w:w="1339" w:type="pct"/>
            <w:vAlign w:val="center"/>
          </w:tcPr>
          <w:p>
            <w:pPr>
              <w:spacing w:line="240" w:lineRule="auto"/>
              <w:jc w:val="center"/>
              <w:rPr>
                <w:rFonts w:eastAsia="仿宋_GB2312"/>
                <w:color w:val="000000" w:themeColor="text1"/>
                <w:sz w:val="21"/>
                <w:szCs w:val="21"/>
              </w:rPr>
            </w:pPr>
            <w:r>
              <w:rPr>
                <w:rFonts w:eastAsia="仿宋_GB2312"/>
                <w:bCs/>
                <w:color w:val="000000" w:themeColor="text1"/>
                <w:sz w:val="21"/>
                <w:szCs w:val="21"/>
              </w:rPr>
              <w:t>密目网苫盖</w:t>
            </w:r>
          </w:p>
        </w:tc>
        <w:tc>
          <w:tcPr>
            <w:tcW w:w="668" w:type="pct"/>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bCs/>
                <w:color w:val="000000" w:themeColor="text1"/>
                <w:sz w:val="21"/>
                <w:szCs w:val="21"/>
              </w:rPr>
              <w:t>100m</w:t>
            </w:r>
            <w:r>
              <w:rPr>
                <w:rFonts w:eastAsia="仿宋_GB2312"/>
                <w:bCs/>
                <w:color w:val="000000" w:themeColor="text1"/>
                <w:sz w:val="21"/>
                <w:szCs w:val="21"/>
                <w:vertAlign w:val="superscript"/>
              </w:rPr>
              <w:t>2</w:t>
            </w:r>
          </w:p>
        </w:tc>
        <w:tc>
          <w:tcPr>
            <w:tcW w:w="607" w:type="pct"/>
            <w:vAlign w:val="center"/>
          </w:tcPr>
          <w:p>
            <w:pPr>
              <w:spacing w:line="240" w:lineRule="auto"/>
              <w:jc w:val="center"/>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15.60</w:t>
            </w:r>
          </w:p>
        </w:tc>
        <w:tc>
          <w:tcPr>
            <w:tcW w:w="632" w:type="pct"/>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bCs/>
                <w:color w:val="000000" w:themeColor="text1"/>
                <w:sz w:val="21"/>
                <w:szCs w:val="21"/>
              </w:rPr>
              <w:t>510.98</w:t>
            </w:r>
          </w:p>
        </w:tc>
        <w:tc>
          <w:tcPr>
            <w:tcW w:w="876" w:type="pct"/>
            <w:vAlign w:val="center"/>
          </w:tcPr>
          <w:p>
            <w:pPr>
              <w:spacing w:line="240" w:lineRule="auto"/>
              <w:jc w:val="center"/>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6" w:type="pct"/>
            <w:vAlign w:val="center"/>
          </w:tcPr>
          <w:p>
            <w:pPr>
              <w:spacing w:line="240" w:lineRule="auto"/>
              <w:jc w:val="center"/>
              <w:rPr>
                <w:rFonts w:eastAsia="仿宋_GB2312"/>
                <w:color w:val="000000" w:themeColor="text1"/>
                <w:sz w:val="21"/>
                <w:szCs w:val="21"/>
              </w:rPr>
            </w:pPr>
            <w:r>
              <w:rPr>
                <w:bCs/>
                <w:color w:val="000000" w:themeColor="text1"/>
                <w:sz w:val="21"/>
                <w:szCs w:val="21"/>
              </w:rPr>
              <w:t>2</w:t>
            </w:r>
          </w:p>
        </w:tc>
        <w:tc>
          <w:tcPr>
            <w:tcW w:w="1339" w:type="pct"/>
            <w:vAlign w:val="center"/>
          </w:tcPr>
          <w:p>
            <w:pPr>
              <w:spacing w:line="240" w:lineRule="auto"/>
              <w:jc w:val="center"/>
              <w:rPr>
                <w:rFonts w:eastAsia="仿宋_GB2312"/>
                <w:color w:val="000000" w:themeColor="text1"/>
                <w:sz w:val="21"/>
                <w:szCs w:val="21"/>
              </w:rPr>
            </w:pPr>
            <w:r>
              <w:rPr>
                <w:rFonts w:eastAsia="仿宋_GB2312"/>
                <w:bCs/>
                <w:color w:val="000000" w:themeColor="text1"/>
                <w:sz w:val="21"/>
                <w:szCs w:val="21"/>
              </w:rPr>
              <w:t>编织袋土拦挡</w:t>
            </w:r>
          </w:p>
        </w:tc>
        <w:tc>
          <w:tcPr>
            <w:tcW w:w="668" w:type="pct"/>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bCs/>
                <w:color w:val="000000" w:themeColor="text1"/>
                <w:sz w:val="21"/>
                <w:szCs w:val="21"/>
              </w:rPr>
              <w:t>100m</w:t>
            </w:r>
            <w:r>
              <w:rPr>
                <w:rFonts w:eastAsia="仿宋_GB2312"/>
                <w:bCs/>
                <w:color w:val="000000" w:themeColor="text1"/>
                <w:sz w:val="21"/>
                <w:szCs w:val="21"/>
                <w:vertAlign w:val="superscript"/>
              </w:rPr>
              <w:t>3</w:t>
            </w:r>
          </w:p>
        </w:tc>
        <w:tc>
          <w:tcPr>
            <w:tcW w:w="607" w:type="pct"/>
            <w:vAlign w:val="center"/>
          </w:tcPr>
          <w:p>
            <w:pPr>
              <w:spacing w:line="240" w:lineRule="auto"/>
              <w:jc w:val="center"/>
              <w:rPr>
                <w:rFonts w:hint="default" w:eastAsia="仿宋_GB2312"/>
                <w:color w:val="000000" w:themeColor="text1"/>
                <w:sz w:val="21"/>
                <w:szCs w:val="21"/>
                <w:lang w:val="en-US" w:eastAsia="zh-CN"/>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46</w:t>
            </w:r>
          </w:p>
        </w:tc>
        <w:tc>
          <w:tcPr>
            <w:tcW w:w="632" w:type="pct"/>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bCs/>
                <w:color w:val="000000" w:themeColor="text1"/>
                <w:sz w:val="21"/>
                <w:szCs w:val="21"/>
              </w:rPr>
              <w:t>35198.10</w:t>
            </w:r>
          </w:p>
        </w:tc>
        <w:tc>
          <w:tcPr>
            <w:tcW w:w="876" w:type="pct"/>
            <w:vAlign w:val="center"/>
          </w:tcPr>
          <w:p>
            <w:pPr>
              <w:spacing w:line="240" w:lineRule="auto"/>
              <w:jc w:val="center"/>
              <w:rPr>
                <w:rFonts w:hint="default" w:eastAsia="仿宋_GB2312"/>
                <w:color w:val="000000" w:themeColor="text1"/>
                <w:sz w:val="21"/>
                <w:szCs w:val="21"/>
                <w:lang w:val="en-US" w:eastAsia="zh-CN"/>
              </w:rPr>
            </w:pPr>
            <w:r>
              <w:rPr>
                <w:rFonts w:hint="eastAsia" w:eastAsia="仿宋_GB2312"/>
                <w:bCs/>
                <w:color w:val="000000" w:themeColor="text1"/>
                <w:sz w:val="21"/>
                <w:szCs w:val="21"/>
                <w:lang w:val="en-US" w:eastAsia="zh-CN"/>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6" w:type="pct"/>
            <w:vAlign w:val="center"/>
          </w:tcPr>
          <w:p>
            <w:pPr>
              <w:spacing w:line="240" w:lineRule="auto"/>
              <w:jc w:val="center"/>
              <w:rPr>
                <w:rFonts w:eastAsia="仿宋_GB2312"/>
                <w:color w:val="000000" w:themeColor="text1"/>
                <w:sz w:val="21"/>
                <w:szCs w:val="21"/>
              </w:rPr>
            </w:pPr>
            <w:r>
              <w:rPr>
                <w:bCs/>
                <w:color w:val="000000" w:themeColor="text1"/>
                <w:sz w:val="21"/>
                <w:szCs w:val="21"/>
              </w:rPr>
              <w:t>3</w:t>
            </w:r>
          </w:p>
        </w:tc>
        <w:tc>
          <w:tcPr>
            <w:tcW w:w="1339" w:type="pct"/>
            <w:vAlign w:val="center"/>
          </w:tcPr>
          <w:p>
            <w:pPr>
              <w:spacing w:line="240" w:lineRule="auto"/>
              <w:jc w:val="center"/>
              <w:rPr>
                <w:rFonts w:eastAsia="仿宋_GB2312"/>
                <w:color w:val="000000" w:themeColor="text1"/>
                <w:sz w:val="21"/>
                <w:szCs w:val="21"/>
              </w:rPr>
            </w:pPr>
            <w:r>
              <w:rPr>
                <w:rFonts w:eastAsia="仿宋_GB2312"/>
                <w:bCs/>
                <w:color w:val="000000" w:themeColor="text1"/>
                <w:sz w:val="21"/>
                <w:szCs w:val="21"/>
              </w:rPr>
              <w:t>编织袋土拆除</w:t>
            </w:r>
          </w:p>
        </w:tc>
        <w:tc>
          <w:tcPr>
            <w:tcW w:w="668" w:type="pct"/>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bCs/>
                <w:color w:val="000000" w:themeColor="text1"/>
                <w:sz w:val="21"/>
                <w:szCs w:val="21"/>
              </w:rPr>
              <w:t>100m</w:t>
            </w:r>
            <w:r>
              <w:rPr>
                <w:rFonts w:eastAsia="仿宋_GB2312"/>
                <w:bCs/>
                <w:color w:val="000000" w:themeColor="text1"/>
                <w:sz w:val="21"/>
                <w:szCs w:val="21"/>
                <w:vertAlign w:val="superscript"/>
              </w:rPr>
              <w:t>3</w:t>
            </w:r>
          </w:p>
        </w:tc>
        <w:tc>
          <w:tcPr>
            <w:tcW w:w="607" w:type="pct"/>
            <w:vAlign w:val="center"/>
          </w:tcPr>
          <w:p>
            <w:pPr>
              <w:spacing w:line="240" w:lineRule="auto"/>
              <w:jc w:val="center"/>
              <w:rPr>
                <w:rFonts w:hint="default" w:eastAsia="仿宋_GB2312"/>
                <w:color w:val="000000" w:themeColor="text1"/>
                <w:sz w:val="21"/>
                <w:szCs w:val="21"/>
                <w:lang w:val="en-US" w:eastAsia="zh-CN"/>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46</w:t>
            </w:r>
          </w:p>
        </w:tc>
        <w:tc>
          <w:tcPr>
            <w:tcW w:w="632" w:type="pct"/>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bCs/>
                <w:color w:val="000000" w:themeColor="text1"/>
                <w:sz w:val="21"/>
                <w:szCs w:val="21"/>
              </w:rPr>
              <w:t>4516.95</w:t>
            </w:r>
          </w:p>
        </w:tc>
        <w:tc>
          <w:tcPr>
            <w:tcW w:w="876" w:type="pct"/>
            <w:vAlign w:val="center"/>
          </w:tcPr>
          <w:p>
            <w:pPr>
              <w:spacing w:line="240" w:lineRule="auto"/>
              <w:jc w:val="center"/>
              <w:rPr>
                <w:rFonts w:hint="eastAsia" w:eastAsia="仿宋_GB2312"/>
                <w:color w:val="000000" w:themeColor="text1"/>
                <w:sz w:val="21"/>
                <w:szCs w:val="21"/>
                <w:lang w:eastAsia="zh-CN"/>
              </w:rPr>
            </w:pPr>
            <w:r>
              <w:rPr>
                <w:rFonts w:hint="eastAsia" w:eastAsia="仿宋_GB2312"/>
                <w:color w:val="000000" w:themeColor="text1"/>
                <w:sz w:val="21"/>
                <w:szCs w:val="21"/>
              </w:rPr>
              <w:t>0.2</w:t>
            </w:r>
            <w:r>
              <w:rPr>
                <w:rFonts w:hint="eastAsia" w:eastAsia="仿宋_GB2312"/>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15" w:type="pct"/>
            <w:gridSpan w:val="2"/>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合计</w:t>
            </w:r>
          </w:p>
        </w:tc>
        <w:tc>
          <w:tcPr>
            <w:tcW w:w="668" w:type="pct"/>
            <w:vAlign w:val="center"/>
          </w:tcPr>
          <w:p>
            <w:pPr>
              <w:pStyle w:val="77"/>
              <w:rPr>
                <w:rFonts w:ascii="Times New Roman" w:hAnsi="Times New Roman" w:eastAsia="仿宋_GB2312"/>
                <w:color w:val="000000" w:themeColor="text1"/>
              </w:rPr>
            </w:pPr>
          </w:p>
        </w:tc>
        <w:tc>
          <w:tcPr>
            <w:tcW w:w="607" w:type="pct"/>
            <w:vAlign w:val="center"/>
          </w:tcPr>
          <w:p>
            <w:pPr>
              <w:pStyle w:val="77"/>
              <w:rPr>
                <w:rFonts w:ascii="Times New Roman" w:hAnsi="Times New Roman" w:eastAsia="仿宋_GB2312"/>
                <w:color w:val="000000" w:themeColor="text1"/>
              </w:rPr>
            </w:pPr>
          </w:p>
        </w:tc>
        <w:tc>
          <w:tcPr>
            <w:tcW w:w="632" w:type="pct"/>
            <w:vAlign w:val="center"/>
          </w:tcPr>
          <w:p>
            <w:pPr>
              <w:pStyle w:val="77"/>
              <w:rPr>
                <w:rFonts w:ascii="Times New Roman" w:hAnsi="Times New Roman" w:eastAsia="仿宋_GB2312"/>
                <w:color w:val="000000" w:themeColor="text1"/>
              </w:rPr>
            </w:pPr>
          </w:p>
        </w:tc>
        <w:tc>
          <w:tcPr>
            <w:tcW w:w="876" w:type="pct"/>
            <w:vAlign w:val="center"/>
          </w:tcPr>
          <w:p>
            <w:pPr>
              <w:pStyle w:val="77"/>
              <w:rPr>
                <w:rFonts w:hint="default" w:ascii="Times New Roman" w:hAnsi="Times New Roman" w:eastAsia="仿宋_GB2312"/>
                <w:color w:val="000000" w:themeColor="text1"/>
                <w:highlight w:val="cyan"/>
                <w:lang w:val="en-US" w:eastAsia="zh-CN"/>
              </w:rPr>
            </w:pPr>
            <w:r>
              <w:rPr>
                <w:rFonts w:hint="eastAsia" w:ascii="Times New Roman" w:hAnsi="Times New Roman" w:eastAsia="仿宋_GB2312"/>
                <w:color w:val="000000" w:themeColor="text1"/>
                <w:lang w:val="en-US" w:eastAsia="zh-CN"/>
              </w:rPr>
              <w:t>32.42</w:t>
            </w:r>
          </w:p>
        </w:tc>
      </w:tr>
    </w:tbl>
    <w:p>
      <w:pPr>
        <w:spacing w:line="360" w:lineRule="auto"/>
        <w:ind w:firstLine="480" w:firstLineChars="200"/>
        <w:rPr>
          <w:rFonts w:eastAsia="仿宋_GB2312"/>
          <w:color w:val="000000" w:themeColor="text1"/>
          <w:szCs w:val="24"/>
          <w:highlight w:val="cyan"/>
        </w:rPr>
      </w:pPr>
    </w:p>
    <w:p>
      <w:pPr>
        <w:spacing w:line="360" w:lineRule="auto"/>
        <w:ind w:firstLine="480" w:firstLineChars="200"/>
        <w:rPr>
          <w:rFonts w:eastAsia="仿宋_GB2312"/>
          <w:color w:val="000000" w:themeColor="text1"/>
          <w:szCs w:val="24"/>
          <w:highlight w:val="cyan"/>
        </w:rPr>
        <w:sectPr>
          <w:headerReference r:id="rId11" w:type="default"/>
          <w:footerReference r:id="rId12" w:type="default"/>
          <w:pgSz w:w="11906" w:h="16838"/>
          <w:pgMar w:top="1440" w:right="1797" w:bottom="1440" w:left="1797" w:header="851" w:footer="992" w:gutter="0"/>
          <w:cols w:space="720" w:num="1"/>
          <w:docGrid w:linePitch="312" w:charSpace="0"/>
        </w:sectPr>
      </w:pPr>
    </w:p>
    <w:p>
      <w:pPr>
        <w:pStyle w:val="3"/>
        <w:spacing w:before="0" w:after="0" w:line="360" w:lineRule="auto"/>
        <w:rPr>
          <w:rFonts w:eastAsia="仿宋_GB2312"/>
          <w:color w:val="000000" w:themeColor="text1"/>
          <w:sz w:val="28"/>
          <w:szCs w:val="28"/>
        </w:rPr>
      </w:pPr>
      <w:bookmarkStart w:id="35" w:name="_Toc12276"/>
      <w:r>
        <w:rPr>
          <w:rFonts w:eastAsia="仿宋_GB2312"/>
          <w:color w:val="000000" w:themeColor="text1"/>
          <w:sz w:val="28"/>
          <w:szCs w:val="28"/>
        </w:rPr>
        <w:t>4.水土流失分析与预测</w:t>
      </w:r>
      <w:bookmarkEnd w:id="35"/>
    </w:p>
    <w:p>
      <w:pPr>
        <w:pStyle w:val="4"/>
        <w:spacing w:before="0" w:after="0" w:line="360" w:lineRule="auto"/>
        <w:rPr>
          <w:rFonts w:ascii="Times New Roman" w:hAnsi="Times New Roman" w:eastAsia="仿宋_GB2312"/>
          <w:color w:val="000000" w:themeColor="text1"/>
          <w:sz w:val="28"/>
          <w:szCs w:val="28"/>
        </w:rPr>
      </w:pPr>
      <w:bookmarkStart w:id="36" w:name="_Toc19477"/>
      <w:r>
        <w:rPr>
          <w:rFonts w:ascii="Times New Roman" w:hAnsi="Times New Roman" w:eastAsia="仿宋_GB2312"/>
          <w:color w:val="000000" w:themeColor="text1"/>
          <w:sz w:val="28"/>
          <w:szCs w:val="28"/>
        </w:rPr>
        <w:t>4.1水土流失现状</w:t>
      </w:r>
      <w:bookmarkEnd w:id="36"/>
    </w:p>
    <w:p>
      <w:pPr>
        <w:spacing w:line="360" w:lineRule="auto"/>
        <w:ind w:firstLine="480" w:firstLineChars="200"/>
        <w:jc w:val="both"/>
        <w:rPr>
          <w:rFonts w:eastAsia="仿宋_GB2312"/>
          <w:color w:val="000000" w:themeColor="text1"/>
          <w:lang w:val="zh-CN"/>
        </w:rPr>
      </w:pPr>
      <w:bookmarkStart w:id="37" w:name="_Toc26962"/>
      <w:r>
        <w:rPr>
          <w:rFonts w:eastAsia="仿宋_GB2312"/>
          <w:bCs/>
          <w:iCs/>
          <w:color w:val="000000" w:themeColor="text1"/>
          <w:szCs w:val="24"/>
        </w:rPr>
        <w:t>根据《全国水土保持区划》，项目区所在区域属东北黑土区，水土流失类型为水力侵蚀</w:t>
      </w:r>
      <w:r>
        <w:rPr>
          <w:rFonts w:hint="eastAsia" w:eastAsia="仿宋_GB2312"/>
          <w:bCs/>
          <w:iCs/>
          <w:color w:val="000000" w:themeColor="text1"/>
          <w:szCs w:val="24"/>
        </w:rPr>
        <w:t>为主</w:t>
      </w:r>
      <w:r>
        <w:rPr>
          <w:rFonts w:eastAsia="仿宋_GB2312"/>
          <w:bCs/>
          <w:iCs/>
          <w:color w:val="000000" w:themeColor="text1"/>
          <w:szCs w:val="24"/>
        </w:rPr>
        <w:t>，</w:t>
      </w:r>
      <w:r>
        <w:rPr>
          <w:rFonts w:eastAsia="仿宋_GB2312"/>
          <w:color w:val="000000" w:themeColor="text1"/>
          <w:kern w:val="2"/>
          <w:szCs w:val="22"/>
        </w:rPr>
        <w:t>根据项目区内的土地利用现状、林草覆盖率、降雨、地形地貌、土壤、人类活动（施工）等影响因素，结合土壤侵蚀分类分级标准进行评判，确定项目区原生土壤侵蚀模数为400t/（km²·a），</w:t>
      </w:r>
      <w:r>
        <w:rPr>
          <w:rFonts w:eastAsia="仿宋_GB2312"/>
          <w:bCs/>
          <w:iCs/>
          <w:color w:val="000000" w:themeColor="text1"/>
          <w:szCs w:val="24"/>
        </w:rPr>
        <w:t>容许土壤流失</w:t>
      </w:r>
      <w:r>
        <w:rPr>
          <w:rFonts w:eastAsia="仿宋_GB2312"/>
          <w:color w:val="000000" w:themeColor="text1"/>
        </w:rPr>
        <w:t>量为200t/（km</w:t>
      </w:r>
      <w:r>
        <w:rPr>
          <w:rFonts w:eastAsia="仿宋_GB2312"/>
          <w:color w:val="000000" w:themeColor="text1"/>
          <w:vertAlign w:val="superscript"/>
        </w:rPr>
        <w:t>2</w:t>
      </w:r>
      <w:r>
        <w:rPr>
          <w:rFonts w:eastAsia="仿宋_GB2312"/>
          <w:color w:val="000000" w:themeColor="text1"/>
        </w:rPr>
        <w:t>·a）。根据《吉林省水土保持公报》（20</w:t>
      </w:r>
      <w:r>
        <w:rPr>
          <w:rFonts w:hint="eastAsia" w:eastAsia="仿宋_GB2312"/>
          <w:color w:val="000000" w:themeColor="text1"/>
        </w:rPr>
        <w:t>20</w:t>
      </w:r>
      <w:r>
        <w:rPr>
          <w:rFonts w:eastAsia="仿宋_GB2312"/>
          <w:color w:val="000000" w:themeColor="text1"/>
        </w:rPr>
        <w:t>年），农安县水土流失类型以水力侵蚀为主，农安县</w:t>
      </w:r>
      <w:r>
        <w:rPr>
          <w:rFonts w:eastAsia="仿宋_GB2312"/>
          <w:color w:val="000000" w:themeColor="text1"/>
          <w:lang w:val="zh-CN"/>
        </w:rPr>
        <w:t>水土流失面积为12</w:t>
      </w:r>
      <w:r>
        <w:rPr>
          <w:rFonts w:hint="eastAsia" w:eastAsia="仿宋_GB2312"/>
          <w:color w:val="000000" w:themeColor="text1"/>
        </w:rPr>
        <w:t>73.3</w:t>
      </w:r>
      <w:r>
        <w:rPr>
          <w:rFonts w:eastAsia="仿宋_GB2312"/>
          <w:color w:val="000000" w:themeColor="text1"/>
        </w:rPr>
        <w:t>k</w:t>
      </w:r>
      <w:r>
        <w:rPr>
          <w:rFonts w:eastAsia="仿宋_GB2312"/>
          <w:color w:val="000000" w:themeColor="text1"/>
          <w:lang w:val="zh-CN"/>
        </w:rPr>
        <w:t>m²，其中轻度侵蚀面积12</w:t>
      </w:r>
      <w:r>
        <w:rPr>
          <w:rFonts w:hint="eastAsia" w:eastAsia="仿宋_GB2312"/>
          <w:color w:val="000000" w:themeColor="text1"/>
        </w:rPr>
        <w:t>03.29</w:t>
      </w:r>
      <w:r>
        <w:rPr>
          <w:rFonts w:eastAsia="仿宋_GB2312"/>
          <w:color w:val="000000" w:themeColor="text1"/>
        </w:rPr>
        <w:t>k</w:t>
      </w:r>
      <w:r>
        <w:rPr>
          <w:rFonts w:eastAsia="仿宋_GB2312"/>
          <w:color w:val="000000" w:themeColor="text1"/>
          <w:lang w:val="zh-CN"/>
        </w:rPr>
        <w:t>m²、中度侵蚀面积</w:t>
      </w:r>
      <w:r>
        <w:rPr>
          <w:rFonts w:hint="eastAsia" w:eastAsia="仿宋_GB2312"/>
          <w:color w:val="000000" w:themeColor="text1"/>
        </w:rPr>
        <w:t>22.90</w:t>
      </w:r>
      <w:r>
        <w:rPr>
          <w:rFonts w:eastAsia="仿宋_GB2312"/>
          <w:color w:val="000000" w:themeColor="text1"/>
        </w:rPr>
        <w:t>k</w:t>
      </w:r>
      <w:r>
        <w:rPr>
          <w:rFonts w:eastAsia="仿宋_GB2312"/>
          <w:color w:val="000000" w:themeColor="text1"/>
          <w:lang w:val="zh-CN"/>
        </w:rPr>
        <w:t>m²、强烈侵蚀面积8.</w:t>
      </w:r>
      <w:r>
        <w:rPr>
          <w:rFonts w:hint="eastAsia" w:eastAsia="仿宋_GB2312"/>
          <w:color w:val="000000" w:themeColor="text1"/>
        </w:rPr>
        <w:t>91</w:t>
      </w:r>
      <w:r>
        <w:rPr>
          <w:rFonts w:eastAsia="仿宋_GB2312"/>
          <w:color w:val="000000" w:themeColor="text1"/>
        </w:rPr>
        <w:t>k</w:t>
      </w:r>
      <w:r>
        <w:rPr>
          <w:rFonts w:eastAsia="仿宋_GB2312"/>
          <w:color w:val="000000" w:themeColor="text1"/>
          <w:lang w:val="zh-CN"/>
        </w:rPr>
        <w:t>m²、极强烈侵蚀面积</w:t>
      </w:r>
      <w:r>
        <w:rPr>
          <w:rFonts w:hint="eastAsia" w:eastAsia="仿宋_GB2312"/>
          <w:color w:val="000000" w:themeColor="text1"/>
        </w:rPr>
        <w:t>7.54</w:t>
      </w:r>
      <w:r>
        <w:rPr>
          <w:rFonts w:eastAsia="仿宋_GB2312"/>
          <w:color w:val="000000" w:themeColor="text1"/>
        </w:rPr>
        <w:t>k</w:t>
      </w:r>
      <w:r>
        <w:rPr>
          <w:rFonts w:eastAsia="仿宋_GB2312"/>
          <w:color w:val="000000" w:themeColor="text1"/>
          <w:lang w:val="zh-CN"/>
        </w:rPr>
        <w:t>m²、剧烈侵蚀面积</w:t>
      </w:r>
      <w:r>
        <w:rPr>
          <w:rFonts w:hint="eastAsia" w:eastAsia="仿宋_GB2312"/>
          <w:color w:val="000000" w:themeColor="text1"/>
        </w:rPr>
        <w:t>1.29</w:t>
      </w:r>
      <w:r>
        <w:rPr>
          <w:rFonts w:eastAsia="仿宋_GB2312"/>
          <w:color w:val="000000" w:themeColor="text1"/>
        </w:rPr>
        <w:t>k</w:t>
      </w:r>
      <w:r>
        <w:rPr>
          <w:rFonts w:eastAsia="仿宋_GB2312"/>
          <w:color w:val="000000" w:themeColor="text1"/>
          <w:lang w:val="zh-CN"/>
        </w:rPr>
        <w:t>m²，农安县水土流失现状见表4-</w:t>
      </w:r>
      <w:r>
        <w:rPr>
          <w:rFonts w:eastAsia="仿宋_GB2312"/>
          <w:color w:val="000000" w:themeColor="text1"/>
        </w:rPr>
        <w:t>1</w:t>
      </w:r>
      <w:r>
        <w:rPr>
          <w:rFonts w:eastAsia="仿宋_GB2312"/>
          <w:color w:val="000000" w:themeColor="text1"/>
          <w:lang w:val="zh-CN"/>
        </w:rPr>
        <w:t>。</w:t>
      </w:r>
    </w:p>
    <w:p>
      <w:pPr>
        <w:pStyle w:val="88"/>
        <w:rPr>
          <w:rFonts w:eastAsia="仿宋_GB2312"/>
          <w:b/>
          <w:color w:val="000000" w:themeColor="text1"/>
          <w:sz w:val="24"/>
        </w:rPr>
      </w:pPr>
      <w:r>
        <w:rPr>
          <w:rFonts w:eastAsia="仿宋_GB2312"/>
          <w:b/>
          <w:color w:val="000000" w:themeColor="text1"/>
          <w:sz w:val="24"/>
        </w:rPr>
        <w:t>表4-1  农安县水土流失情况一览表  单位：km</w:t>
      </w:r>
      <w:r>
        <w:rPr>
          <w:rFonts w:eastAsia="仿宋_GB2312"/>
          <w:b/>
          <w:color w:val="000000" w:themeColor="text1"/>
          <w:sz w:val="24"/>
          <w:vertAlign w:val="superscript"/>
        </w:rPr>
        <w:t>2</w:t>
      </w:r>
    </w:p>
    <w:tbl>
      <w:tblPr>
        <w:tblStyle w:val="23"/>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885"/>
        <w:gridCol w:w="1745"/>
        <w:gridCol w:w="1115"/>
        <w:gridCol w:w="1115"/>
        <w:gridCol w:w="902"/>
        <w:gridCol w:w="888"/>
        <w:gridCol w:w="879"/>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85" w:type="dxa"/>
            <w:tcBorders>
              <w:tl2br w:val="nil"/>
              <w:tr2bl w:val="nil"/>
            </w:tcBorders>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行政区划</w:t>
            </w:r>
          </w:p>
        </w:tc>
        <w:tc>
          <w:tcPr>
            <w:tcW w:w="6644" w:type="dxa"/>
            <w:gridSpan w:val="6"/>
            <w:tcBorders>
              <w:tl2br w:val="nil"/>
              <w:tr2bl w:val="nil"/>
            </w:tcBorders>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侵蚀面积及强度分级</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85" w:type="dxa"/>
            <w:vMerge w:val="restart"/>
            <w:tcBorders>
              <w:tl2br w:val="nil"/>
              <w:tr2bl w:val="nil"/>
            </w:tcBorders>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农安县</w:t>
            </w:r>
          </w:p>
        </w:tc>
        <w:tc>
          <w:tcPr>
            <w:tcW w:w="1745" w:type="dxa"/>
            <w:tcBorders>
              <w:tl2br w:val="nil"/>
              <w:tr2bl w:val="nil"/>
            </w:tcBorders>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水力侵蚀面积</w:t>
            </w:r>
          </w:p>
        </w:tc>
        <w:tc>
          <w:tcPr>
            <w:tcW w:w="1115" w:type="dxa"/>
            <w:tcBorders>
              <w:tl2br w:val="nil"/>
              <w:tr2bl w:val="nil"/>
            </w:tcBorders>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轻度</w:t>
            </w:r>
          </w:p>
        </w:tc>
        <w:tc>
          <w:tcPr>
            <w:tcW w:w="1115" w:type="dxa"/>
            <w:tcBorders>
              <w:tl2br w:val="nil"/>
              <w:tr2bl w:val="nil"/>
            </w:tcBorders>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中度</w:t>
            </w:r>
          </w:p>
        </w:tc>
        <w:tc>
          <w:tcPr>
            <w:tcW w:w="902" w:type="dxa"/>
            <w:tcBorders>
              <w:tl2br w:val="nil"/>
              <w:tr2bl w:val="nil"/>
            </w:tcBorders>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强烈</w:t>
            </w:r>
          </w:p>
        </w:tc>
        <w:tc>
          <w:tcPr>
            <w:tcW w:w="888" w:type="dxa"/>
            <w:tcBorders>
              <w:tl2br w:val="nil"/>
              <w:tr2bl w:val="nil"/>
            </w:tcBorders>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极强烈</w:t>
            </w:r>
          </w:p>
        </w:tc>
        <w:tc>
          <w:tcPr>
            <w:tcW w:w="879" w:type="dxa"/>
            <w:tcBorders>
              <w:tl2br w:val="nil"/>
              <w:tr2bl w:val="nil"/>
            </w:tcBorders>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剧烈</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85" w:type="dxa"/>
            <w:vMerge w:val="continue"/>
            <w:tcBorders>
              <w:tl2br w:val="nil"/>
              <w:tr2bl w:val="nil"/>
            </w:tcBorders>
            <w:vAlign w:val="center"/>
          </w:tcPr>
          <w:p>
            <w:pPr>
              <w:widowControl/>
              <w:spacing w:line="240" w:lineRule="auto"/>
              <w:jc w:val="center"/>
              <w:rPr>
                <w:rFonts w:eastAsia="仿宋_GB2312"/>
                <w:color w:val="000000" w:themeColor="text1"/>
                <w:sz w:val="21"/>
                <w:szCs w:val="21"/>
              </w:rPr>
            </w:pPr>
          </w:p>
        </w:tc>
        <w:tc>
          <w:tcPr>
            <w:tcW w:w="1745" w:type="dxa"/>
            <w:tcBorders>
              <w:tl2br w:val="nil"/>
              <w:tr2bl w:val="nil"/>
            </w:tcBorders>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12</w:t>
            </w:r>
            <w:r>
              <w:rPr>
                <w:rFonts w:hint="eastAsia" w:eastAsia="仿宋_GB2312"/>
                <w:color w:val="000000" w:themeColor="text1"/>
                <w:sz w:val="21"/>
                <w:szCs w:val="21"/>
              </w:rPr>
              <w:t>43.93</w:t>
            </w:r>
          </w:p>
        </w:tc>
        <w:tc>
          <w:tcPr>
            <w:tcW w:w="1115" w:type="dxa"/>
            <w:tcBorders>
              <w:tl2br w:val="nil"/>
              <w:tr2bl w:val="nil"/>
            </w:tcBorders>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120</w:t>
            </w:r>
            <w:r>
              <w:rPr>
                <w:rFonts w:hint="eastAsia" w:eastAsia="仿宋_GB2312"/>
                <w:color w:val="000000" w:themeColor="text1"/>
                <w:sz w:val="21"/>
                <w:szCs w:val="21"/>
              </w:rPr>
              <w:t>3.29</w:t>
            </w:r>
          </w:p>
        </w:tc>
        <w:tc>
          <w:tcPr>
            <w:tcW w:w="1115" w:type="dxa"/>
            <w:tcBorders>
              <w:tl2br w:val="nil"/>
              <w:tr2bl w:val="nil"/>
            </w:tcBorders>
            <w:vAlign w:val="center"/>
          </w:tcPr>
          <w:p>
            <w:pPr>
              <w:widowControl/>
              <w:spacing w:line="240" w:lineRule="auto"/>
              <w:jc w:val="center"/>
              <w:rPr>
                <w:rFonts w:eastAsia="仿宋_GB2312"/>
                <w:color w:val="000000" w:themeColor="text1"/>
                <w:sz w:val="21"/>
                <w:szCs w:val="21"/>
              </w:rPr>
            </w:pPr>
            <w:r>
              <w:rPr>
                <w:rFonts w:hint="eastAsia" w:eastAsia="仿宋_GB2312"/>
                <w:color w:val="000000" w:themeColor="text1"/>
                <w:sz w:val="21"/>
                <w:szCs w:val="21"/>
              </w:rPr>
              <w:t>22.90</w:t>
            </w:r>
          </w:p>
        </w:tc>
        <w:tc>
          <w:tcPr>
            <w:tcW w:w="902" w:type="dxa"/>
            <w:tcBorders>
              <w:tl2br w:val="nil"/>
              <w:tr2bl w:val="nil"/>
            </w:tcBorders>
            <w:vAlign w:val="center"/>
          </w:tcPr>
          <w:p>
            <w:pPr>
              <w:widowControl/>
              <w:spacing w:line="240" w:lineRule="auto"/>
              <w:jc w:val="center"/>
              <w:rPr>
                <w:rFonts w:eastAsia="仿宋_GB2312"/>
                <w:color w:val="000000" w:themeColor="text1"/>
                <w:sz w:val="21"/>
                <w:szCs w:val="21"/>
              </w:rPr>
            </w:pPr>
            <w:r>
              <w:rPr>
                <w:rFonts w:hint="eastAsia" w:eastAsia="仿宋_GB2312"/>
                <w:color w:val="000000" w:themeColor="text1"/>
                <w:sz w:val="21"/>
                <w:szCs w:val="21"/>
              </w:rPr>
              <w:t>8.91</w:t>
            </w:r>
          </w:p>
        </w:tc>
        <w:tc>
          <w:tcPr>
            <w:tcW w:w="888" w:type="dxa"/>
            <w:tcBorders>
              <w:tl2br w:val="nil"/>
              <w:tr2bl w:val="nil"/>
            </w:tcBorders>
            <w:vAlign w:val="center"/>
          </w:tcPr>
          <w:p>
            <w:pPr>
              <w:widowControl/>
              <w:spacing w:line="240" w:lineRule="auto"/>
              <w:jc w:val="center"/>
              <w:rPr>
                <w:rFonts w:eastAsia="仿宋_GB2312"/>
                <w:color w:val="000000" w:themeColor="text1"/>
                <w:sz w:val="21"/>
                <w:szCs w:val="21"/>
              </w:rPr>
            </w:pPr>
            <w:r>
              <w:rPr>
                <w:rFonts w:hint="eastAsia" w:eastAsia="仿宋_GB2312"/>
                <w:color w:val="000000" w:themeColor="text1"/>
                <w:sz w:val="21"/>
                <w:szCs w:val="21"/>
              </w:rPr>
              <w:t>7.54</w:t>
            </w:r>
          </w:p>
        </w:tc>
        <w:tc>
          <w:tcPr>
            <w:tcW w:w="879" w:type="dxa"/>
            <w:tcBorders>
              <w:tl2br w:val="nil"/>
              <w:tr2bl w:val="nil"/>
            </w:tcBorders>
            <w:vAlign w:val="center"/>
          </w:tcPr>
          <w:p>
            <w:pPr>
              <w:widowControl/>
              <w:spacing w:line="240" w:lineRule="auto"/>
              <w:jc w:val="center"/>
              <w:rPr>
                <w:rFonts w:eastAsia="仿宋_GB2312"/>
                <w:color w:val="000000" w:themeColor="text1"/>
                <w:sz w:val="21"/>
                <w:szCs w:val="21"/>
              </w:rPr>
            </w:pPr>
            <w:r>
              <w:rPr>
                <w:rFonts w:hint="eastAsia" w:eastAsia="仿宋_GB2312"/>
                <w:color w:val="000000" w:themeColor="text1"/>
                <w:sz w:val="21"/>
                <w:szCs w:val="21"/>
              </w:rPr>
              <w:t>1.29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85" w:type="dxa"/>
            <w:vMerge w:val="continue"/>
            <w:tcBorders>
              <w:tl2br w:val="nil"/>
              <w:tr2bl w:val="nil"/>
            </w:tcBorders>
            <w:vAlign w:val="center"/>
          </w:tcPr>
          <w:p>
            <w:pPr>
              <w:widowControl/>
              <w:spacing w:line="240" w:lineRule="auto"/>
              <w:jc w:val="center"/>
              <w:rPr>
                <w:rFonts w:eastAsia="仿宋_GB2312"/>
                <w:color w:val="000000" w:themeColor="text1"/>
                <w:sz w:val="21"/>
                <w:szCs w:val="21"/>
              </w:rPr>
            </w:pPr>
          </w:p>
        </w:tc>
        <w:tc>
          <w:tcPr>
            <w:tcW w:w="1745" w:type="dxa"/>
            <w:tcBorders>
              <w:tl2br w:val="nil"/>
              <w:tr2bl w:val="nil"/>
            </w:tcBorders>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风力侵蚀面积</w:t>
            </w:r>
          </w:p>
        </w:tc>
        <w:tc>
          <w:tcPr>
            <w:tcW w:w="1115" w:type="dxa"/>
            <w:tcBorders>
              <w:tl2br w:val="nil"/>
              <w:tr2bl w:val="nil"/>
            </w:tcBorders>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轻度</w:t>
            </w:r>
          </w:p>
        </w:tc>
        <w:tc>
          <w:tcPr>
            <w:tcW w:w="1115" w:type="dxa"/>
            <w:tcBorders>
              <w:tl2br w:val="nil"/>
              <w:tr2bl w:val="nil"/>
            </w:tcBorders>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中度</w:t>
            </w:r>
          </w:p>
        </w:tc>
        <w:tc>
          <w:tcPr>
            <w:tcW w:w="902" w:type="dxa"/>
            <w:tcBorders>
              <w:tl2br w:val="nil"/>
              <w:tr2bl w:val="nil"/>
            </w:tcBorders>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强烈</w:t>
            </w:r>
          </w:p>
        </w:tc>
        <w:tc>
          <w:tcPr>
            <w:tcW w:w="888" w:type="dxa"/>
            <w:tcBorders>
              <w:tl2br w:val="nil"/>
              <w:tr2bl w:val="nil"/>
            </w:tcBorders>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极强烈</w:t>
            </w:r>
          </w:p>
        </w:tc>
        <w:tc>
          <w:tcPr>
            <w:tcW w:w="879" w:type="dxa"/>
            <w:tcBorders>
              <w:tl2br w:val="nil"/>
              <w:tr2bl w:val="nil"/>
            </w:tcBorders>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剧烈</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85" w:type="dxa"/>
            <w:vMerge w:val="continue"/>
            <w:tcBorders>
              <w:tl2br w:val="nil"/>
              <w:tr2bl w:val="nil"/>
            </w:tcBorders>
            <w:vAlign w:val="center"/>
          </w:tcPr>
          <w:p>
            <w:pPr>
              <w:widowControl/>
              <w:spacing w:line="240" w:lineRule="auto"/>
              <w:jc w:val="center"/>
              <w:rPr>
                <w:rFonts w:eastAsia="仿宋_GB2312"/>
                <w:color w:val="000000" w:themeColor="text1"/>
                <w:sz w:val="21"/>
                <w:szCs w:val="21"/>
              </w:rPr>
            </w:pPr>
          </w:p>
        </w:tc>
        <w:tc>
          <w:tcPr>
            <w:tcW w:w="1745" w:type="dxa"/>
            <w:tcBorders>
              <w:tl2br w:val="nil"/>
              <w:tr2bl w:val="nil"/>
            </w:tcBorders>
            <w:vAlign w:val="center"/>
          </w:tcPr>
          <w:p>
            <w:pPr>
              <w:widowControl/>
              <w:spacing w:line="240" w:lineRule="auto"/>
              <w:jc w:val="center"/>
              <w:rPr>
                <w:rFonts w:eastAsia="仿宋_GB2312"/>
                <w:color w:val="000000" w:themeColor="text1"/>
                <w:sz w:val="21"/>
                <w:szCs w:val="21"/>
              </w:rPr>
            </w:pPr>
            <w:r>
              <w:rPr>
                <w:rFonts w:hint="eastAsia" w:eastAsia="仿宋_GB2312"/>
                <w:color w:val="000000" w:themeColor="text1"/>
                <w:sz w:val="21"/>
                <w:szCs w:val="21"/>
              </w:rPr>
              <w:t>29.37</w:t>
            </w:r>
          </w:p>
        </w:tc>
        <w:tc>
          <w:tcPr>
            <w:tcW w:w="1115" w:type="dxa"/>
            <w:tcBorders>
              <w:tl2br w:val="nil"/>
              <w:tr2bl w:val="nil"/>
            </w:tcBorders>
            <w:vAlign w:val="center"/>
          </w:tcPr>
          <w:p>
            <w:pPr>
              <w:widowControl/>
              <w:spacing w:line="240" w:lineRule="auto"/>
              <w:jc w:val="center"/>
              <w:rPr>
                <w:rFonts w:eastAsia="仿宋_GB2312"/>
                <w:color w:val="000000" w:themeColor="text1"/>
                <w:sz w:val="21"/>
                <w:szCs w:val="21"/>
              </w:rPr>
            </w:pPr>
            <w:r>
              <w:rPr>
                <w:rFonts w:hint="eastAsia" w:eastAsia="仿宋_GB2312"/>
                <w:color w:val="000000" w:themeColor="text1"/>
                <w:sz w:val="21"/>
                <w:szCs w:val="21"/>
              </w:rPr>
              <w:t>6.93</w:t>
            </w:r>
          </w:p>
        </w:tc>
        <w:tc>
          <w:tcPr>
            <w:tcW w:w="1115" w:type="dxa"/>
            <w:tcBorders>
              <w:tl2br w:val="nil"/>
              <w:tr2bl w:val="nil"/>
            </w:tcBorders>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2</w:t>
            </w:r>
            <w:r>
              <w:rPr>
                <w:rFonts w:hint="eastAsia" w:eastAsia="仿宋_GB2312"/>
                <w:color w:val="000000" w:themeColor="text1"/>
                <w:sz w:val="21"/>
                <w:szCs w:val="21"/>
              </w:rPr>
              <w:t>2.15</w:t>
            </w:r>
          </w:p>
        </w:tc>
        <w:tc>
          <w:tcPr>
            <w:tcW w:w="902" w:type="dxa"/>
            <w:tcBorders>
              <w:tl2br w:val="nil"/>
              <w:tr2bl w:val="nil"/>
            </w:tcBorders>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0.</w:t>
            </w:r>
            <w:r>
              <w:rPr>
                <w:rFonts w:hint="eastAsia" w:eastAsia="仿宋_GB2312"/>
                <w:color w:val="000000" w:themeColor="text1"/>
                <w:sz w:val="21"/>
                <w:szCs w:val="21"/>
              </w:rPr>
              <w:t>29</w:t>
            </w:r>
          </w:p>
        </w:tc>
        <w:tc>
          <w:tcPr>
            <w:tcW w:w="888" w:type="dxa"/>
            <w:tcBorders>
              <w:tl2br w:val="nil"/>
              <w:tr2bl w:val="nil"/>
            </w:tcBorders>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0.00</w:t>
            </w:r>
          </w:p>
        </w:tc>
        <w:tc>
          <w:tcPr>
            <w:tcW w:w="879" w:type="dxa"/>
            <w:tcBorders>
              <w:tl2br w:val="nil"/>
              <w:tr2bl w:val="nil"/>
            </w:tcBorders>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0.00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885" w:type="dxa"/>
            <w:tcBorders>
              <w:tl2br w:val="nil"/>
              <w:tr2bl w:val="nil"/>
            </w:tcBorders>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合计</w:t>
            </w:r>
          </w:p>
        </w:tc>
        <w:tc>
          <w:tcPr>
            <w:tcW w:w="1745" w:type="dxa"/>
            <w:tcBorders>
              <w:tl2br w:val="nil"/>
              <w:tr2bl w:val="nil"/>
            </w:tcBorders>
            <w:vAlign w:val="center"/>
          </w:tcPr>
          <w:p>
            <w:pPr>
              <w:widowControl/>
              <w:spacing w:line="240" w:lineRule="auto"/>
              <w:jc w:val="center"/>
              <w:rPr>
                <w:rFonts w:eastAsia="仿宋_GB2312"/>
                <w:color w:val="000000" w:themeColor="text1"/>
                <w:sz w:val="21"/>
                <w:szCs w:val="21"/>
              </w:rPr>
            </w:pPr>
            <w:r>
              <w:rPr>
                <w:rFonts w:hint="eastAsia" w:eastAsia="仿宋_GB2312"/>
                <w:color w:val="000000" w:themeColor="text1"/>
                <w:sz w:val="21"/>
                <w:szCs w:val="21"/>
              </w:rPr>
              <w:t>1273.3</w:t>
            </w:r>
          </w:p>
        </w:tc>
        <w:tc>
          <w:tcPr>
            <w:tcW w:w="1115" w:type="dxa"/>
            <w:tcBorders>
              <w:tl2br w:val="nil"/>
              <w:tr2bl w:val="nil"/>
            </w:tcBorders>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121</w:t>
            </w:r>
            <w:r>
              <w:rPr>
                <w:rFonts w:hint="eastAsia" w:eastAsia="仿宋_GB2312"/>
                <w:color w:val="000000" w:themeColor="text1"/>
                <w:sz w:val="21"/>
                <w:szCs w:val="21"/>
              </w:rPr>
              <w:t>0.22</w:t>
            </w:r>
          </w:p>
        </w:tc>
        <w:tc>
          <w:tcPr>
            <w:tcW w:w="1115" w:type="dxa"/>
            <w:tcBorders>
              <w:tl2br w:val="nil"/>
              <w:tr2bl w:val="nil"/>
            </w:tcBorders>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4</w:t>
            </w:r>
            <w:r>
              <w:rPr>
                <w:rFonts w:hint="eastAsia" w:eastAsia="仿宋_GB2312"/>
                <w:color w:val="000000" w:themeColor="text1"/>
                <w:sz w:val="21"/>
                <w:szCs w:val="21"/>
              </w:rPr>
              <w:t>5.05</w:t>
            </w:r>
          </w:p>
        </w:tc>
        <w:tc>
          <w:tcPr>
            <w:tcW w:w="902" w:type="dxa"/>
            <w:tcBorders>
              <w:tl2br w:val="nil"/>
              <w:tr2bl w:val="nil"/>
            </w:tcBorders>
            <w:vAlign w:val="center"/>
          </w:tcPr>
          <w:p>
            <w:pPr>
              <w:widowControl/>
              <w:spacing w:line="240" w:lineRule="auto"/>
              <w:jc w:val="center"/>
              <w:rPr>
                <w:rFonts w:eastAsia="仿宋_GB2312"/>
                <w:color w:val="000000" w:themeColor="text1"/>
                <w:sz w:val="21"/>
                <w:szCs w:val="21"/>
              </w:rPr>
            </w:pPr>
            <w:r>
              <w:rPr>
                <w:rFonts w:hint="eastAsia" w:eastAsia="仿宋_GB2312"/>
                <w:color w:val="000000" w:themeColor="text1"/>
                <w:sz w:val="21"/>
                <w:szCs w:val="21"/>
              </w:rPr>
              <w:t>9.20</w:t>
            </w:r>
          </w:p>
        </w:tc>
        <w:tc>
          <w:tcPr>
            <w:tcW w:w="888" w:type="dxa"/>
            <w:tcBorders>
              <w:tl2br w:val="nil"/>
              <w:tr2bl w:val="nil"/>
            </w:tcBorders>
            <w:vAlign w:val="center"/>
          </w:tcPr>
          <w:p>
            <w:pPr>
              <w:widowControl/>
              <w:spacing w:line="240" w:lineRule="auto"/>
              <w:jc w:val="center"/>
              <w:rPr>
                <w:rFonts w:eastAsia="仿宋_GB2312"/>
                <w:color w:val="000000" w:themeColor="text1"/>
                <w:sz w:val="21"/>
                <w:szCs w:val="21"/>
              </w:rPr>
            </w:pPr>
            <w:r>
              <w:rPr>
                <w:rFonts w:hint="eastAsia" w:eastAsia="仿宋_GB2312"/>
                <w:color w:val="000000" w:themeColor="text1"/>
                <w:sz w:val="21"/>
                <w:szCs w:val="21"/>
              </w:rPr>
              <w:t>7.54</w:t>
            </w:r>
          </w:p>
        </w:tc>
        <w:tc>
          <w:tcPr>
            <w:tcW w:w="879" w:type="dxa"/>
            <w:tcBorders>
              <w:tl2br w:val="nil"/>
              <w:tr2bl w:val="nil"/>
            </w:tcBorders>
            <w:vAlign w:val="center"/>
          </w:tcPr>
          <w:p>
            <w:pPr>
              <w:widowControl/>
              <w:spacing w:line="240" w:lineRule="auto"/>
              <w:jc w:val="center"/>
              <w:rPr>
                <w:rFonts w:eastAsia="仿宋_GB2312"/>
                <w:color w:val="000000" w:themeColor="text1"/>
                <w:sz w:val="21"/>
                <w:szCs w:val="21"/>
              </w:rPr>
            </w:pPr>
            <w:r>
              <w:rPr>
                <w:rFonts w:hint="eastAsia" w:eastAsia="仿宋_GB2312"/>
                <w:color w:val="000000" w:themeColor="text1"/>
                <w:sz w:val="21"/>
                <w:szCs w:val="21"/>
              </w:rPr>
              <w:t>1.29</w:t>
            </w:r>
          </w:p>
        </w:tc>
      </w:tr>
    </w:tbl>
    <w:p>
      <w:pPr>
        <w:pStyle w:val="4"/>
        <w:spacing w:before="0" w:after="0" w:line="360" w:lineRule="auto"/>
        <w:rPr>
          <w:rFonts w:ascii="Times New Roman" w:hAnsi="Times New Roman" w:eastAsia="仿宋_GB2312"/>
          <w:color w:val="000000" w:themeColor="text1"/>
          <w:sz w:val="28"/>
          <w:szCs w:val="28"/>
        </w:rPr>
      </w:pPr>
      <w:r>
        <w:rPr>
          <w:rFonts w:ascii="Times New Roman" w:hAnsi="Times New Roman" w:eastAsia="仿宋_GB2312"/>
          <w:color w:val="000000" w:themeColor="text1"/>
          <w:sz w:val="28"/>
          <w:szCs w:val="28"/>
        </w:rPr>
        <w:t>4.2水土流失自然影响因素分析</w:t>
      </w:r>
      <w:bookmarkEnd w:id="37"/>
    </w:p>
    <w:p>
      <w:pPr>
        <w:snapToGrid w:val="0"/>
        <w:spacing w:line="360" w:lineRule="auto"/>
        <w:rPr>
          <w:rFonts w:eastAsia="仿宋_GB2312"/>
          <w:color w:val="000000" w:themeColor="text1"/>
        </w:rPr>
      </w:pPr>
      <w:r>
        <w:rPr>
          <w:rFonts w:eastAsia="仿宋_GB2312"/>
          <w:b/>
          <w:color w:val="000000" w:themeColor="text1"/>
        </w:rPr>
        <w:t>4.2.1工程建设对水土流失的影响</w:t>
      </w:r>
    </w:p>
    <w:p>
      <w:pPr>
        <w:snapToGrid w:val="0"/>
        <w:spacing w:line="360" w:lineRule="auto"/>
        <w:ind w:firstLine="480" w:firstLineChars="200"/>
        <w:rPr>
          <w:rFonts w:eastAsia="仿宋_GB2312"/>
          <w:color w:val="000000" w:themeColor="text1"/>
          <w:szCs w:val="24"/>
        </w:rPr>
      </w:pPr>
      <w:r>
        <w:rPr>
          <w:rFonts w:eastAsia="仿宋_GB2312"/>
          <w:snapToGrid w:val="0"/>
          <w:color w:val="000000" w:themeColor="text1"/>
          <w:szCs w:val="24"/>
        </w:rPr>
        <w:t>项目建设过程中，工程设施的建设、土石方开挖及回填等各项活动，都会不同程度的扰动地表，损坏地表土体结构，使原有的水土保持功能丧失，加剧水土流失危害。</w:t>
      </w:r>
      <w:r>
        <w:rPr>
          <w:rFonts w:eastAsia="仿宋_GB2312"/>
          <w:color w:val="000000" w:themeColor="text1"/>
        </w:rPr>
        <w:t>尤其是地下建筑开挖期间，地表挖损改变地貌、地表裸露、施工机械碾压、均会造成不同程度的水土流失</w:t>
      </w:r>
      <w:r>
        <w:rPr>
          <w:rFonts w:eastAsia="仿宋_GB2312"/>
          <w:snapToGrid w:val="0"/>
          <w:color w:val="000000" w:themeColor="text1"/>
          <w:szCs w:val="24"/>
        </w:rPr>
        <w:t>。</w:t>
      </w:r>
    </w:p>
    <w:p>
      <w:pPr>
        <w:snapToGrid w:val="0"/>
        <w:spacing w:line="360" w:lineRule="auto"/>
        <w:rPr>
          <w:rFonts w:eastAsia="仿宋_GB2312"/>
          <w:color w:val="000000" w:themeColor="text1"/>
          <w:szCs w:val="24"/>
        </w:rPr>
      </w:pPr>
      <w:r>
        <w:rPr>
          <w:rFonts w:eastAsia="仿宋_GB2312"/>
          <w:b/>
          <w:color w:val="000000" w:themeColor="text1"/>
        </w:rPr>
        <w:t>4.2.2扰动地表面积</w:t>
      </w:r>
    </w:p>
    <w:p>
      <w:pPr>
        <w:spacing w:line="360" w:lineRule="auto"/>
        <w:ind w:firstLine="480" w:firstLineChars="200"/>
        <w:jc w:val="both"/>
        <w:rPr>
          <w:rFonts w:eastAsia="仿宋_GB2312"/>
          <w:b/>
          <w:bCs/>
          <w:color w:val="000000" w:themeColor="text1"/>
        </w:rPr>
      </w:pPr>
      <w:r>
        <w:rPr>
          <w:rFonts w:eastAsia="仿宋_GB2312"/>
          <w:snapToGrid w:val="0"/>
          <w:color w:val="000000" w:themeColor="text1"/>
          <w:szCs w:val="24"/>
        </w:rPr>
        <w:t>通过查阅建设单位提供的项目前期资料和实地调查得知，本项目扰动地表面积</w:t>
      </w:r>
      <w:r>
        <w:rPr>
          <w:rFonts w:hint="eastAsia" w:eastAsia="仿宋_GB2312"/>
          <w:snapToGrid w:val="0"/>
          <w:color w:val="000000" w:themeColor="text1"/>
          <w:szCs w:val="24"/>
          <w:lang w:val="en-US" w:eastAsia="zh-CN"/>
        </w:rPr>
        <w:t>1.30</w:t>
      </w:r>
      <w:r>
        <w:rPr>
          <w:rFonts w:eastAsia="仿宋_GB2312"/>
          <w:snapToGrid w:val="0"/>
          <w:color w:val="000000" w:themeColor="text1"/>
          <w:szCs w:val="24"/>
        </w:rPr>
        <w:t>hm</w:t>
      </w:r>
      <w:r>
        <w:rPr>
          <w:rFonts w:eastAsia="仿宋_GB2312"/>
          <w:snapToGrid w:val="0"/>
          <w:color w:val="000000" w:themeColor="text1"/>
          <w:szCs w:val="24"/>
          <w:vertAlign w:val="superscript"/>
        </w:rPr>
        <w:t>2</w:t>
      </w:r>
      <w:r>
        <w:rPr>
          <w:rFonts w:eastAsia="仿宋_GB2312"/>
          <w:snapToGrid w:val="0"/>
          <w:color w:val="000000" w:themeColor="text1"/>
          <w:szCs w:val="24"/>
        </w:rPr>
        <w:t>。扰动地表面积见表4-2。</w:t>
      </w:r>
    </w:p>
    <w:p>
      <w:pPr>
        <w:snapToGrid w:val="0"/>
        <w:spacing w:line="240" w:lineRule="auto"/>
        <w:jc w:val="center"/>
        <w:rPr>
          <w:rFonts w:eastAsia="仿宋_GB2312"/>
          <w:b/>
          <w:bCs/>
          <w:color w:val="000000" w:themeColor="text1"/>
          <w:szCs w:val="24"/>
        </w:rPr>
      </w:pPr>
      <w:r>
        <w:rPr>
          <w:rFonts w:eastAsia="仿宋_GB2312"/>
          <w:b/>
          <w:bCs/>
          <w:color w:val="000000" w:themeColor="text1"/>
        </w:rPr>
        <w:t xml:space="preserve">表4-2  </w:t>
      </w:r>
      <w:r>
        <w:rPr>
          <w:rFonts w:eastAsia="仿宋_GB2312"/>
          <w:b/>
          <w:bCs/>
          <w:color w:val="000000" w:themeColor="text1"/>
          <w:szCs w:val="24"/>
        </w:rPr>
        <w:t xml:space="preserve">扰动地表面积表  </w:t>
      </w:r>
      <w:r>
        <w:rPr>
          <w:rFonts w:eastAsia="仿宋_GB2312"/>
          <w:b/>
          <w:color w:val="000000" w:themeColor="text1"/>
        </w:rPr>
        <w:t>单位：hm</w:t>
      </w:r>
      <w:r>
        <w:rPr>
          <w:rFonts w:eastAsia="仿宋_GB2312"/>
          <w:b/>
          <w:color w:val="000000" w:themeColor="text1"/>
          <w:vertAlign w:val="superscript"/>
        </w:rPr>
        <w:t>2</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7"/>
        <w:gridCol w:w="1506"/>
        <w:gridCol w:w="1244"/>
        <w:gridCol w:w="1247"/>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7" w:type="pct"/>
            <w:vMerge w:val="restart"/>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项目组成</w:t>
            </w:r>
          </w:p>
        </w:tc>
        <w:tc>
          <w:tcPr>
            <w:tcW w:w="883" w:type="pct"/>
            <w:vMerge w:val="restart"/>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扰动地表面积</w:t>
            </w:r>
          </w:p>
        </w:tc>
        <w:tc>
          <w:tcPr>
            <w:tcW w:w="1460" w:type="pct"/>
            <w:gridSpan w:val="2"/>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用地性质</w:t>
            </w:r>
          </w:p>
        </w:tc>
        <w:tc>
          <w:tcPr>
            <w:tcW w:w="1068" w:type="pct"/>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用地类型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7" w:type="pct"/>
            <w:vMerge w:val="continue"/>
            <w:vAlign w:val="center"/>
          </w:tcPr>
          <w:p>
            <w:pPr>
              <w:widowControl/>
              <w:adjustRightInd/>
              <w:spacing w:line="240" w:lineRule="auto"/>
              <w:textAlignment w:val="auto"/>
              <w:rPr>
                <w:rFonts w:eastAsia="仿宋_GB2312"/>
                <w:color w:val="000000" w:themeColor="text1"/>
                <w:sz w:val="21"/>
                <w:szCs w:val="21"/>
              </w:rPr>
            </w:pPr>
          </w:p>
        </w:tc>
        <w:tc>
          <w:tcPr>
            <w:tcW w:w="883" w:type="pct"/>
            <w:vMerge w:val="continue"/>
            <w:vAlign w:val="center"/>
          </w:tcPr>
          <w:p>
            <w:pPr>
              <w:widowControl/>
              <w:adjustRightInd/>
              <w:spacing w:line="240" w:lineRule="auto"/>
              <w:textAlignment w:val="auto"/>
              <w:rPr>
                <w:rFonts w:eastAsia="仿宋_GB2312"/>
                <w:color w:val="000000" w:themeColor="text1"/>
                <w:sz w:val="21"/>
                <w:szCs w:val="21"/>
              </w:rPr>
            </w:pPr>
          </w:p>
        </w:tc>
        <w:tc>
          <w:tcPr>
            <w:tcW w:w="729" w:type="pct"/>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永久征地</w:t>
            </w:r>
          </w:p>
        </w:tc>
        <w:tc>
          <w:tcPr>
            <w:tcW w:w="730" w:type="pct"/>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临时用地</w:t>
            </w:r>
          </w:p>
        </w:tc>
        <w:tc>
          <w:tcPr>
            <w:tcW w:w="1068" w:type="pct"/>
            <w:vAlign w:val="center"/>
          </w:tcPr>
          <w:p>
            <w:pPr>
              <w:widowControl/>
              <w:adjustRightInd/>
              <w:spacing w:line="240" w:lineRule="auto"/>
              <w:jc w:val="center"/>
              <w:textAlignment w:val="auto"/>
              <w:rPr>
                <w:rFonts w:eastAsia="仿宋_GB2312"/>
                <w:color w:val="000000" w:themeColor="text1"/>
                <w:sz w:val="21"/>
                <w:szCs w:val="21"/>
              </w:rPr>
            </w:pPr>
            <w:r>
              <w:rPr>
                <w:rFonts w:hint="eastAsia" w:eastAsia="仿宋_GB2312"/>
                <w:color w:val="000000" w:themeColor="text1"/>
                <w:sz w:val="21"/>
                <w:szCs w:val="21"/>
              </w:rPr>
              <w:t>居住（商业、住宅）用地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7" w:type="pct"/>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建筑物区域</w:t>
            </w:r>
          </w:p>
        </w:tc>
        <w:tc>
          <w:tcPr>
            <w:tcW w:w="883" w:type="pct"/>
            <w:vAlign w:val="center"/>
          </w:tcPr>
          <w:p>
            <w:pPr>
              <w:widowControl/>
              <w:adjustRightInd/>
              <w:spacing w:line="240" w:lineRule="auto"/>
              <w:jc w:val="center"/>
              <w:textAlignment w:val="auto"/>
              <w:rPr>
                <w:rFonts w:hint="default" w:eastAsia="仿宋_GB2312"/>
                <w:color w:val="000000" w:themeColor="text1"/>
                <w:sz w:val="21"/>
                <w:szCs w:val="21"/>
                <w:lang w:val="en-US" w:eastAsia="zh-CN"/>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80</w:t>
            </w:r>
          </w:p>
        </w:tc>
        <w:tc>
          <w:tcPr>
            <w:tcW w:w="1244" w:type="dxa"/>
            <w:vAlign w:val="center"/>
          </w:tcPr>
          <w:p>
            <w:pPr>
              <w:widowControl/>
              <w:adjustRightInd/>
              <w:spacing w:line="240" w:lineRule="auto"/>
              <w:jc w:val="center"/>
              <w:textAlignment w:val="auto"/>
              <w:rPr>
                <w:rFonts w:hint="default" w:eastAsia="仿宋_GB2312"/>
                <w:color w:val="000000" w:themeColor="text1"/>
                <w:sz w:val="21"/>
                <w:szCs w:val="21"/>
                <w:lang w:val="en-US" w:eastAsia="zh-CN"/>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80</w:t>
            </w:r>
          </w:p>
        </w:tc>
        <w:tc>
          <w:tcPr>
            <w:tcW w:w="730" w:type="pct"/>
            <w:vAlign w:val="center"/>
          </w:tcPr>
          <w:p>
            <w:pPr>
              <w:widowControl/>
              <w:adjustRightInd/>
              <w:spacing w:line="240" w:lineRule="auto"/>
              <w:jc w:val="center"/>
              <w:textAlignment w:val="auto"/>
              <w:rPr>
                <w:rFonts w:eastAsia="仿宋_GB2312"/>
                <w:color w:val="000000" w:themeColor="text1"/>
                <w:sz w:val="21"/>
                <w:szCs w:val="21"/>
              </w:rPr>
            </w:pPr>
          </w:p>
        </w:tc>
        <w:tc>
          <w:tcPr>
            <w:tcW w:w="1822" w:type="dxa"/>
            <w:vAlign w:val="center"/>
          </w:tcPr>
          <w:p>
            <w:pPr>
              <w:widowControl/>
              <w:adjustRightInd/>
              <w:spacing w:line="240" w:lineRule="auto"/>
              <w:jc w:val="center"/>
              <w:textAlignment w:val="auto"/>
              <w:rPr>
                <w:rFonts w:eastAsia="仿宋_GB2312"/>
                <w:color w:val="000000" w:themeColor="text1"/>
                <w:sz w:val="21"/>
                <w:szCs w:val="21"/>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7" w:type="pct"/>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道路及硬化区域</w:t>
            </w:r>
          </w:p>
        </w:tc>
        <w:tc>
          <w:tcPr>
            <w:tcW w:w="883" w:type="pct"/>
            <w:vAlign w:val="center"/>
          </w:tcPr>
          <w:p>
            <w:pPr>
              <w:widowControl/>
              <w:adjustRightInd/>
              <w:spacing w:line="240" w:lineRule="auto"/>
              <w:jc w:val="center"/>
              <w:textAlignment w:val="auto"/>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0.37</w:t>
            </w:r>
          </w:p>
        </w:tc>
        <w:tc>
          <w:tcPr>
            <w:tcW w:w="1244" w:type="dxa"/>
            <w:vAlign w:val="center"/>
          </w:tcPr>
          <w:p>
            <w:pPr>
              <w:widowControl/>
              <w:adjustRightInd/>
              <w:spacing w:line="240" w:lineRule="auto"/>
              <w:jc w:val="center"/>
              <w:textAlignment w:val="auto"/>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0.37</w:t>
            </w:r>
          </w:p>
        </w:tc>
        <w:tc>
          <w:tcPr>
            <w:tcW w:w="730" w:type="pct"/>
            <w:vAlign w:val="center"/>
          </w:tcPr>
          <w:p>
            <w:pPr>
              <w:widowControl/>
              <w:adjustRightInd/>
              <w:spacing w:line="240" w:lineRule="auto"/>
              <w:jc w:val="center"/>
              <w:textAlignment w:val="auto"/>
              <w:rPr>
                <w:rFonts w:eastAsia="仿宋_GB2312"/>
                <w:color w:val="000000" w:themeColor="text1"/>
                <w:sz w:val="21"/>
                <w:szCs w:val="21"/>
              </w:rPr>
            </w:pPr>
          </w:p>
        </w:tc>
        <w:tc>
          <w:tcPr>
            <w:tcW w:w="1822" w:type="dxa"/>
            <w:vAlign w:val="center"/>
          </w:tcPr>
          <w:p>
            <w:pPr>
              <w:widowControl/>
              <w:adjustRightInd/>
              <w:spacing w:line="240" w:lineRule="auto"/>
              <w:jc w:val="center"/>
              <w:textAlignment w:val="auto"/>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7" w:type="pct"/>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绿化区域</w:t>
            </w:r>
          </w:p>
        </w:tc>
        <w:tc>
          <w:tcPr>
            <w:tcW w:w="883" w:type="pct"/>
            <w:vAlign w:val="center"/>
          </w:tcPr>
          <w:p>
            <w:pPr>
              <w:widowControl/>
              <w:adjustRightInd/>
              <w:spacing w:line="240" w:lineRule="auto"/>
              <w:jc w:val="center"/>
              <w:textAlignment w:val="auto"/>
              <w:rPr>
                <w:rFonts w:hint="default" w:eastAsia="仿宋_GB2312"/>
                <w:color w:val="000000" w:themeColor="text1"/>
                <w:sz w:val="21"/>
                <w:szCs w:val="21"/>
                <w:lang w:val="en-US" w:eastAsia="zh-CN"/>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13</w:t>
            </w:r>
          </w:p>
        </w:tc>
        <w:tc>
          <w:tcPr>
            <w:tcW w:w="1244" w:type="dxa"/>
            <w:vAlign w:val="center"/>
          </w:tcPr>
          <w:p>
            <w:pPr>
              <w:widowControl/>
              <w:adjustRightInd/>
              <w:spacing w:line="240" w:lineRule="auto"/>
              <w:jc w:val="center"/>
              <w:textAlignment w:val="auto"/>
              <w:rPr>
                <w:rFonts w:hint="default" w:eastAsia="仿宋_GB2312"/>
                <w:color w:val="000000" w:themeColor="text1"/>
                <w:sz w:val="21"/>
                <w:szCs w:val="21"/>
                <w:lang w:val="en-US" w:eastAsia="zh-CN"/>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13</w:t>
            </w:r>
          </w:p>
        </w:tc>
        <w:tc>
          <w:tcPr>
            <w:tcW w:w="730" w:type="pct"/>
            <w:vAlign w:val="center"/>
          </w:tcPr>
          <w:p>
            <w:pPr>
              <w:widowControl/>
              <w:adjustRightInd/>
              <w:spacing w:line="240" w:lineRule="auto"/>
              <w:jc w:val="center"/>
              <w:textAlignment w:val="auto"/>
              <w:rPr>
                <w:rFonts w:eastAsia="仿宋_GB2312"/>
                <w:color w:val="000000" w:themeColor="text1"/>
                <w:sz w:val="21"/>
                <w:szCs w:val="21"/>
              </w:rPr>
            </w:pPr>
          </w:p>
        </w:tc>
        <w:tc>
          <w:tcPr>
            <w:tcW w:w="1822" w:type="dxa"/>
            <w:vAlign w:val="center"/>
          </w:tcPr>
          <w:p>
            <w:pPr>
              <w:widowControl/>
              <w:adjustRightInd/>
              <w:spacing w:line="240" w:lineRule="auto"/>
              <w:jc w:val="center"/>
              <w:textAlignment w:val="auto"/>
              <w:rPr>
                <w:rFonts w:hint="default" w:eastAsia="仿宋_GB2312"/>
                <w:color w:val="000000" w:themeColor="text1"/>
                <w:sz w:val="21"/>
                <w:szCs w:val="21"/>
                <w:lang w:val="en-US" w:eastAsia="zh-CN"/>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7" w:type="pct"/>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合计</w:t>
            </w:r>
          </w:p>
        </w:tc>
        <w:tc>
          <w:tcPr>
            <w:tcW w:w="883" w:type="pct"/>
            <w:vAlign w:val="center"/>
          </w:tcPr>
          <w:p>
            <w:pPr>
              <w:widowControl/>
              <w:adjustRightInd/>
              <w:spacing w:line="240" w:lineRule="auto"/>
              <w:jc w:val="center"/>
              <w:textAlignment w:val="auto"/>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1.30</w:t>
            </w:r>
          </w:p>
        </w:tc>
        <w:tc>
          <w:tcPr>
            <w:tcW w:w="1244" w:type="dxa"/>
            <w:vAlign w:val="center"/>
          </w:tcPr>
          <w:p>
            <w:pPr>
              <w:widowControl/>
              <w:adjustRightInd/>
              <w:spacing w:line="240" w:lineRule="auto"/>
              <w:jc w:val="center"/>
              <w:textAlignment w:val="auto"/>
              <w:rPr>
                <w:rFonts w:eastAsia="仿宋_GB2312"/>
                <w:color w:val="000000" w:themeColor="text1"/>
                <w:sz w:val="21"/>
                <w:szCs w:val="21"/>
              </w:rPr>
            </w:pPr>
            <w:r>
              <w:rPr>
                <w:rFonts w:hint="eastAsia" w:eastAsia="仿宋_GB2312"/>
                <w:color w:val="000000" w:themeColor="text1"/>
                <w:sz w:val="21"/>
                <w:szCs w:val="21"/>
                <w:lang w:val="en-US" w:eastAsia="zh-CN"/>
              </w:rPr>
              <w:t>1.30</w:t>
            </w:r>
          </w:p>
        </w:tc>
        <w:tc>
          <w:tcPr>
            <w:tcW w:w="730" w:type="pct"/>
            <w:vAlign w:val="center"/>
          </w:tcPr>
          <w:p>
            <w:pPr>
              <w:widowControl/>
              <w:adjustRightInd/>
              <w:spacing w:line="240" w:lineRule="auto"/>
              <w:jc w:val="center"/>
              <w:textAlignment w:val="auto"/>
              <w:rPr>
                <w:rFonts w:eastAsia="仿宋_GB2312"/>
                <w:color w:val="000000" w:themeColor="text1"/>
                <w:sz w:val="21"/>
                <w:szCs w:val="21"/>
              </w:rPr>
            </w:pPr>
          </w:p>
        </w:tc>
        <w:tc>
          <w:tcPr>
            <w:tcW w:w="1822" w:type="dxa"/>
            <w:vAlign w:val="center"/>
          </w:tcPr>
          <w:p>
            <w:pPr>
              <w:widowControl/>
              <w:adjustRightInd/>
              <w:spacing w:line="240" w:lineRule="auto"/>
              <w:jc w:val="center"/>
              <w:textAlignment w:val="auto"/>
              <w:rPr>
                <w:rFonts w:eastAsia="仿宋_GB2312"/>
                <w:color w:val="000000" w:themeColor="text1"/>
                <w:sz w:val="21"/>
                <w:szCs w:val="21"/>
              </w:rPr>
            </w:pPr>
            <w:r>
              <w:rPr>
                <w:rFonts w:hint="eastAsia" w:eastAsia="仿宋_GB2312"/>
                <w:color w:val="000000" w:themeColor="text1"/>
                <w:sz w:val="21"/>
                <w:szCs w:val="21"/>
                <w:lang w:val="en-US" w:eastAsia="zh-CN"/>
              </w:rPr>
              <w:t>1.30</w:t>
            </w:r>
          </w:p>
        </w:tc>
      </w:tr>
    </w:tbl>
    <w:p>
      <w:pPr>
        <w:snapToGrid w:val="0"/>
        <w:spacing w:line="360" w:lineRule="auto"/>
        <w:rPr>
          <w:rFonts w:eastAsia="仿宋_GB2312"/>
          <w:b/>
          <w:color w:val="000000" w:themeColor="text1"/>
          <w:highlight w:val="cyan"/>
        </w:rPr>
      </w:pPr>
    </w:p>
    <w:p>
      <w:pPr>
        <w:snapToGrid w:val="0"/>
        <w:spacing w:line="360" w:lineRule="auto"/>
        <w:rPr>
          <w:rFonts w:eastAsia="仿宋_GB2312"/>
          <w:color w:val="000000" w:themeColor="text1"/>
          <w:szCs w:val="24"/>
        </w:rPr>
      </w:pPr>
      <w:r>
        <w:rPr>
          <w:rFonts w:eastAsia="仿宋_GB2312"/>
          <w:b/>
          <w:color w:val="000000" w:themeColor="text1"/>
        </w:rPr>
        <w:t>4.2.3损毁植被面积</w:t>
      </w:r>
    </w:p>
    <w:p>
      <w:pPr>
        <w:spacing w:line="360" w:lineRule="auto"/>
        <w:ind w:firstLine="480" w:firstLineChars="200"/>
        <w:jc w:val="both"/>
        <w:rPr>
          <w:rFonts w:eastAsia="仿宋_GB2312"/>
          <w:snapToGrid w:val="0"/>
          <w:color w:val="000000" w:themeColor="text1"/>
          <w:szCs w:val="24"/>
        </w:rPr>
      </w:pPr>
      <w:r>
        <w:rPr>
          <w:rFonts w:eastAsia="仿宋_GB2312"/>
          <w:snapToGrid w:val="0"/>
          <w:color w:val="000000" w:themeColor="text1"/>
          <w:szCs w:val="24"/>
        </w:rPr>
        <w:t>通过查阅建设单位提供的项目前期资料和实地调查得知，</w:t>
      </w:r>
      <w:r>
        <w:rPr>
          <w:rFonts w:eastAsia="仿宋_GB2312"/>
          <w:color w:val="000000" w:themeColor="text1"/>
        </w:rPr>
        <w:t>本项目用地范围为政府拆迁后净地，</w:t>
      </w:r>
      <w:r>
        <w:rPr>
          <w:rFonts w:eastAsia="仿宋_GB2312"/>
          <w:snapToGrid w:val="0"/>
          <w:color w:val="000000" w:themeColor="text1"/>
          <w:szCs w:val="24"/>
        </w:rPr>
        <w:t>无损毁植被。</w:t>
      </w:r>
    </w:p>
    <w:p>
      <w:pPr>
        <w:snapToGrid w:val="0"/>
        <w:spacing w:line="360" w:lineRule="auto"/>
        <w:rPr>
          <w:rFonts w:eastAsia="仿宋_GB2312"/>
          <w:color w:val="000000" w:themeColor="text1"/>
          <w:szCs w:val="24"/>
          <w:highlight w:val="cyan"/>
        </w:rPr>
      </w:pPr>
      <w:r>
        <w:rPr>
          <w:rFonts w:eastAsia="仿宋_GB2312"/>
          <w:b/>
          <w:color w:val="000000" w:themeColor="text1"/>
        </w:rPr>
        <w:t>4.2.4废弃土量</w:t>
      </w:r>
    </w:p>
    <w:p>
      <w:pPr>
        <w:snapToGrid w:val="0"/>
        <w:spacing w:line="360" w:lineRule="auto"/>
        <w:ind w:firstLine="480" w:firstLineChars="200"/>
        <w:rPr>
          <w:rFonts w:eastAsia="仿宋_GB2312"/>
          <w:color w:val="000000" w:themeColor="text1"/>
          <w:highlight w:val="cyan"/>
        </w:rPr>
      </w:pPr>
      <w:r>
        <w:rPr>
          <w:rFonts w:eastAsia="仿宋_GB2312"/>
          <w:color w:val="000000" w:themeColor="text1"/>
        </w:rPr>
        <w:t>本项目土石方挖填总量为</w:t>
      </w:r>
      <w:r>
        <w:rPr>
          <w:rFonts w:hint="eastAsia" w:eastAsia="仿宋_GB2312"/>
          <w:color w:val="000000" w:themeColor="text1"/>
          <w:lang w:val="en-US" w:eastAsia="zh-CN"/>
        </w:rPr>
        <w:t>1.02</w:t>
      </w:r>
      <w:r>
        <w:rPr>
          <w:rFonts w:eastAsia="仿宋_GB2312"/>
          <w:color w:val="000000" w:themeColor="text1"/>
        </w:rPr>
        <w:t>万m³，其中挖方量为</w:t>
      </w:r>
      <w:r>
        <w:rPr>
          <w:rFonts w:hint="eastAsia" w:eastAsia="仿宋_GB2312"/>
          <w:color w:val="000000" w:themeColor="text1"/>
        </w:rPr>
        <w:t>0.</w:t>
      </w:r>
      <w:r>
        <w:rPr>
          <w:rFonts w:hint="eastAsia" w:eastAsia="仿宋_GB2312"/>
          <w:color w:val="000000" w:themeColor="text1"/>
          <w:lang w:val="en-US" w:eastAsia="zh-CN"/>
        </w:rPr>
        <w:t>49</w:t>
      </w:r>
      <w:r>
        <w:rPr>
          <w:rFonts w:eastAsia="仿宋_GB2312"/>
          <w:color w:val="000000" w:themeColor="text1"/>
        </w:rPr>
        <w:t>万m³；填方量为</w:t>
      </w:r>
      <w:r>
        <w:rPr>
          <w:rFonts w:hint="eastAsia" w:eastAsia="仿宋_GB2312"/>
          <w:color w:val="000000" w:themeColor="text1"/>
          <w:lang w:val="en-US" w:eastAsia="zh-CN"/>
        </w:rPr>
        <w:t>0.53</w:t>
      </w:r>
      <w:r>
        <w:rPr>
          <w:rFonts w:eastAsia="仿宋_GB2312"/>
          <w:color w:val="000000" w:themeColor="text1"/>
        </w:rPr>
        <w:t>万m³（含绿化用土回覆</w:t>
      </w:r>
      <w:r>
        <w:rPr>
          <w:rFonts w:hint="eastAsia" w:eastAsia="仿宋_GB2312"/>
          <w:color w:val="000000" w:themeColor="text1"/>
        </w:rPr>
        <w:t>0.</w:t>
      </w:r>
      <w:r>
        <w:rPr>
          <w:rFonts w:hint="eastAsia" w:eastAsia="仿宋_GB2312"/>
          <w:color w:val="000000" w:themeColor="text1"/>
          <w:lang w:val="en-US" w:eastAsia="zh-CN"/>
        </w:rPr>
        <w:t>04</w:t>
      </w:r>
      <w:r>
        <w:rPr>
          <w:rFonts w:eastAsia="仿宋_GB2312"/>
          <w:color w:val="000000" w:themeColor="text1"/>
        </w:rPr>
        <w:t>万m³）；借方</w:t>
      </w:r>
      <w:r>
        <w:rPr>
          <w:rFonts w:hint="eastAsia" w:eastAsia="仿宋_GB2312"/>
          <w:color w:val="000000" w:themeColor="text1"/>
        </w:rPr>
        <w:t>0.</w:t>
      </w:r>
      <w:r>
        <w:rPr>
          <w:rFonts w:hint="eastAsia" w:eastAsia="仿宋_GB2312"/>
          <w:color w:val="000000" w:themeColor="text1"/>
          <w:lang w:val="en-US" w:eastAsia="zh-CN"/>
        </w:rPr>
        <w:t>04</w:t>
      </w:r>
      <w:r>
        <w:rPr>
          <w:rFonts w:eastAsia="仿宋_GB2312"/>
          <w:color w:val="000000" w:themeColor="text1"/>
        </w:rPr>
        <w:t>万m³绿化用土由园林绿化公司提供，水土流失防治责任由供应方负责</w:t>
      </w:r>
      <w:r>
        <w:rPr>
          <w:rFonts w:eastAsia="仿宋_GB2312"/>
          <w:color w:val="000000" w:themeColor="text1"/>
          <w:kern w:val="10"/>
        </w:rPr>
        <w:t>；无废弃土。</w:t>
      </w:r>
    </w:p>
    <w:p>
      <w:pPr>
        <w:pStyle w:val="4"/>
        <w:spacing w:before="0" w:after="0" w:line="360" w:lineRule="auto"/>
        <w:rPr>
          <w:rFonts w:ascii="Times New Roman" w:hAnsi="Times New Roman" w:eastAsia="仿宋_GB2312"/>
          <w:color w:val="000000" w:themeColor="text1"/>
          <w:sz w:val="28"/>
          <w:szCs w:val="28"/>
        </w:rPr>
      </w:pPr>
      <w:bookmarkStart w:id="38" w:name="_Toc7530"/>
      <w:r>
        <w:rPr>
          <w:rFonts w:ascii="Times New Roman" w:hAnsi="Times New Roman" w:eastAsia="仿宋_GB2312"/>
          <w:color w:val="000000" w:themeColor="text1"/>
          <w:sz w:val="28"/>
          <w:szCs w:val="28"/>
        </w:rPr>
        <w:t>4.3土壤流失量预测</w:t>
      </w:r>
      <w:bookmarkEnd w:id="38"/>
    </w:p>
    <w:p>
      <w:pPr>
        <w:spacing w:line="360" w:lineRule="auto"/>
        <w:jc w:val="both"/>
        <w:rPr>
          <w:rFonts w:eastAsia="仿宋_GB2312"/>
          <w:b/>
          <w:color w:val="000000" w:themeColor="text1"/>
        </w:rPr>
      </w:pPr>
      <w:r>
        <w:rPr>
          <w:rFonts w:eastAsia="仿宋_GB2312"/>
          <w:b/>
          <w:color w:val="000000" w:themeColor="text1"/>
        </w:rPr>
        <w:t>4.3.1预测单元</w:t>
      </w:r>
    </w:p>
    <w:p>
      <w:pPr>
        <w:spacing w:line="360" w:lineRule="auto"/>
        <w:ind w:firstLine="480" w:firstLineChars="200"/>
        <w:rPr>
          <w:rFonts w:eastAsia="仿宋_GB2312"/>
          <w:b/>
          <w:color w:val="000000" w:themeColor="text1"/>
        </w:rPr>
      </w:pPr>
      <w:r>
        <w:rPr>
          <w:rFonts w:eastAsia="仿宋_GB2312"/>
          <w:color w:val="000000" w:themeColor="text1"/>
        </w:rPr>
        <w:t>根据项目区地形地貌、扰动方式、扰动后地表的物质组成、气象特征等相近的原则结合工程平面布置图，将本项目水土流失的预测范围划分为建筑物区域、道路及硬化区域、绿化区域3个预测单元。</w:t>
      </w:r>
    </w:p>
    <w:p>
      <w:pPr>
        <w:spacing w:line="360" w:lineRule="auto"/>
        <w:jc w:val="both"/>
        <w:rPr>
          <w:rFonts w:eastAsia="仿宋_GB2312"/>
          <w:color w:val="000000" w:themeColor="text1"/>
        </w:rPr>
      </w:pPr>
      <w:r>
        <w:rPr>
          <w:rFonts w:eastAsia="仿宋_GB2312"/>
          <w:b/>
          <w:color w:val="000000" w:themeColor="text1"/>
        </w:rPr>
        <w:t>4.3.2预测时段</w:t>
      </w:r>
    </w:p>
    <w:p>
      <w:pPr>
        <w:pStyle w:val="73"/>
        <w:ind w:right="-57"/>
        <w:rPr>
          <w:rFonts w:eastAsia="仿宋_GB2312"/>
          <w:bCs/>
          <w:color w:val="000000" w:themeColor="text1"/>
        </w:rPr>
      </w:pPr>
      <w:r>
        <w:rPr>
          <w:rFonts w:eastAsia="仿宋_GB2312"/>
          <w:color w:val="000000" w:themeColor="text1"/>
          <w:szCs w:val="24"/>
        </w:rPr>
        <w:t>本期工程可能产生的土壤流失量按施工期（施工准备期）和自然恢复期两个时段进行预测。本项目</w:t>
      </w:r>
      <w:r>
        <w:rPr>
          <w:rFonts w:hint="eastAsia" w:eastAsia="仿宋_GB2312"/>
          <w:color w:val="000000" w:themeColor="text1"/>
          <w:szCs w:val="24"/>
          <w:lang w:val="en-US" w:eastAsia="zh-CN"/>
        </w:rPr>
        <w:t>已于2021年9月开工，计划于2023年8月完工，总工期24个月</w:t>
      </w:r>
      <w:r>
        <w:rPr>
          <w:rFonts w:hint="eastAsia" w:eastAsia="仿宋_GB2312"/>
          <w:color w:val="000000" w:themeColor="text1"/>
          <w:szCs w:val="24"/>
        </w:rPr>
        <w:t>。</w:t>
      </w:r>
      <w:r>
        <w:rPr>
          <w:rFonts w:eastAsia="仿宋_GB2312"/>
          <w:color w:val="000000" w:themeColor="text1"/>
        </w:rPr>
        <w:t>农安县地处半湿润区向亚干旱区的过渡地带，</w:t>
      </w:r>
      <w:r>
        <w:rPr>
          <w:rFonts w:eastAsia="仿宋_GB2312"/>
          <w:color w:val="000000" w:themeColor="text1"/>
          <w:szCs w:val="24"/>
        </w:rPr>
        <w:t>确定本工程自然恢复期为3年。各预测单元具体预测时段见表4-3。</w:t>
      </w:r>
    </w:p>
    <w:p>
      <w:pPr>
        <w:pStyle w:val="71"/>
        <w:spacing w:line="240" w:lineRule="auto"/>
        <w:ind w:firstLine="0" w:firstLineChars="0"/>
        <w:jc w:val="center"/>
        <w:rPr>
          <w:rFonts w:ascii="Times New Roman" w:hAnsi="Times New Roman" w:eastAsia="仿宋_GB2312" w:cs="Times New Roman"/>
          <w:bCs/>
          <w:color w:val="000000" w:themeColor="text1"/>
        </w:rPr>
      </w:pPr>
      <w:r>
        <w:rPr>
          <w:rFonts w:ascii="Times New Roman" w:hAnsi="Times New Roman" w:eastAsia="仿宋_GB2312" w:cs="Times New Roman"/>
          <w:bCs/>
          <w:color w:val="000000" w:themeColor="text1"/>
        </w:rPr>
        <w:t>表4-3  预测时段划分表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70"/>
        <w:gridCol w:w="1886"/>
        <w:gridCol w:w="2943"/>
        <w:gridCol w:w="1123"/>
        <w:gridCol w:w="1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03"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预测时期</w:t>
            </w:r>
          </w:p>
        </w:tc>
        <w:tc>
          <w:tcPr>
            <w:tcW w:w="1133"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预测单元</w:t>
            </w:r>
          </w:p>
        </w:tc>
        <w:tc>
          <w:tcPr>
            <w:tcW w:w="1768"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施工进度</w:t>
            </w:r>
          </w:p>
        </w:tc>
        <w:tc>
          <w:tcPr>
            <w:tcW w:w="675"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预测时段</w:t>
            </w:r>
          </w:p>
          <w:p>
            <w:pPr>
              <w:pStyle w:val="77"/>
              <w:rPr>
                <w:rFonts w:ascii="Times New Roman" w:hAnsi="Times New Roman" w:eastAsia="仿宋_GB2312"/>
                <w:color w:val="000000" w:themeColor="text1"/>
              </w:rPr>
            </w:pPr>
            <w:r>
              <w:rPr>
                <w:rFonts w:ascii="Times New Roman" w:hAnsi="Times New Roman" w:eastAsia="仿宋_GB2312"/>
                <w:color w:val="000000" w:themeColor="text1"/>
              </w:rPr>
              <w:t>（a）</w:t>
            </w:r>
          </w:p>
        </w:tc>
        <w:tc>
          <w:tcPr>
            <w:tcW w:w="719"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预测面积</w:t>
            </w:r>
          </w:p>
          <w:p>
            <w:pPr>
              <w:pStyle w:val="77"/>
              <w:rPr>
                <w:rFonts w:ascii="Times New Roman" w:hAnsi="Times New Roman" w:eastAsia="仿宋_GB2312"/>
                <w:color w:val="000000" w:themeColor="text1"/>
              </w:rPr>
            </w:pPr>
            <w:r>
              <w:rPr>
                <w:rFonts w:ascii="Times New Roman" w:hAnsi="Times New Roman" w:eastAsia="仿宋_GB2312"/>
                <w:color w:val="000000" w:themeColor="text1"/>
              </w:rPr>
              <w:t>（hm</w:t>
            </w:r>
            <w:r>
              <w:rPr>
                <w:rFonts w:ascii="Times New Roman" w:hAnsi="Times New Roman" w:eastAsia="仿宋_GB2312"/>
                <w:color w:val="000000" w:themeColor="text1"/>
                <w:vertAlign w:val="superscript"/>
              </w:rPr>
              <w:t>2</w:t>
            </w:r>
            <w:r>
              <w:rPr>
                <w:rFonts w:ascii="Times New Roman" w:hAnsi="Times New Roman" w:eastAsia="仿宋_GB2312"/>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03" w:type="pct"/>
            <w:vMerge w:val="restar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施工期</w:t>
            </w:r>
          </w:p>
        </w:tc>
        <w:tc>
          <w:tcPr>
            <w:tcW w:w="1133"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建筑物区域</w:t>
            </w:r>
          </w:p>
        </w:tc>
        <w:tc>
          <w:tcPr>
            <w:tcW w:w="1768"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202</w:t>
            </w:r>
            <w:r>
              <w:rPr>
                <w:rFonts w:hint="eastAsia" w:ascii="Times New Roman" w:hAnsi="Times New Roman" w:eastAsia="仿宋_GB2312"/>
                <w:color w:val="000000" w:themeColor="text1"/>
                <w:lang w:val="en-US" w:eastAsia="zh-CN"/>
              </w:rPr>
              <w:t>1</w:t>
            </w:r>
            <w:r>
              <w:rPr>
                <w:rFonts w:ascii="Times New Roman" w:hAnsi="Times New Roman" w:eastAsia="仿宋_GB2312"/>
                <w:color w:val="000000" w:themeColor="text1"/>
              </w:rPr>
              <w:t>年</w:t>
            </w:r>
            <w:r>
              <w:rPr>
                <w:rFonts w:hint="eastAsia" w:ascii="Times New Roman" w:hAnsi="Times New Roman" w:eastAsia="仿宋_GB2312"/>
                <w:color w:val="000000" w:themeColor="text1"/>
                <w:lang w:val="en-US" w:eastAsia="zh-CN"/>
              </w:rPr>
              <w:t>9</w:t>
            </w:r>
            <w:r>
              <w:rPr>
                <w:rFonts w:ascii="Times New Roman" w:hAnsi="Times New Roman" w:eastAsia="仿宋_GB2312"/>
                <w:color w:val="000000" w:themeColor="text1"/>
              </w:rPr>
              <w:t>月～202</w:t>
            </w:r>
            <w:r>
              <w:rPr>
                <w:rFonts w:hint="eastAsia" w:ascii="Times New Roman" w:hAnsi="Times New Roman" w:eastAsia="仿宋_GB2312"/>
                <w:color w:val="000000" w:themeColor="text1"/>
                <w:lang w:val="en-US" w:eastAsia="zh-CN"/>
              </w:rPr>
              <w:t>3</w:t>
            </w:r>
            <w:r>
              <w:rPr>
                <w:rFonts w:ascii="Times New Roman" w:hAnsi="Times New Roman" w:eastAsia="仿宋_GB2312"/>
                <w:color w:val="000000" w:themeColor="text1"/>
              </w:rPr>
              <w:t>年</w:t>
            </w:r>
            <w:r>
              <w:rPr>
                <w:rFonts w:hint="eastAsia" w:ascii="Times New Roman" w:hAnsi="Times New Roman" w:eastAsia="仿宋_GB2312"/>
                <w:color w:val="000000" w:themeColor="text1"/>
                <w:lang w:val="en-US" w:eastAsia="zh-CN"/>
              </w:rPr>
              <w:t>8</w:t>
            </w:r>
            <w:r>
              <w:rPr>
                <w:rFonts w:ascii="Times New Roman" w:hAnsi="Times New Roman" w:eastAsia="仿宋_GB2312"/>
                <w:color w:val="000000" w:themeColor="text1"/>
              </w:rPr>
              <w:t>月</w:t>
            </w:r>
          </w:p>
        </w:tc>
        <w:tc>
          <w:tcPr>
            <w:tcW w:w="675" w:type="pct"/>
            <w:vAlign w:val="center"/>
          </w:tcPr>
          <w:p>
            <w:pPr>
              <w:pStyle w:val="77"/>
              <w:rPr>
                <w:rFonts w:hint="default" w:ascii="Times New Roman" w:hAnsi="Times New Roman" w:eastAsia="仿宋_GB2312"/>
                <w:color w:val="000000" w:themeColor="text1"/>
                <w:lang w:val="en-US" w:eastAsia="zh-CN"/>
              </w:rPr>
            </w:pPr>
            <w:r>
              <w:rPr>
                <w:rFonts w:hint="eastAsia" w:ascii="Times New Roman" w:hAnsi="Times New Roman" w:eastAsia="仿宋_GB2312"/>
                <w:color w:val="000000" w:themeColor="text1"/>
                <w:lang w:val="en-US" w:eastAsia="zh-CN"/>
              </w:rPr>
              <w:t>2.0</w:t>
            </w:r>
          </w:p>
        </w:tc>
        <w:tc>
          <w:tcPr>
            <w:tcW w:w="719" w:type="pct"/>
            <w:vAlign w:val="center"/>
          </w:tcPr>
          <w:p>
            <w:pPr>
              <w:widowControl/>
              <w:adjustRightInd/>
              <w:spacing w:line="240" w:lineRule="auto"/>
              <w:jc w:val="center"/>
              <w:textAlignment w:val="auto"/>
              <w:rPr>
                <w:rFonts w:hint="default" w:eastAsia="仿宋_GB2312"/>
                <w:color w:val="000000" w:themeColor="text1"/>
                <w:sz w:val="21"/>
                <w:szCs w:val="21"/>
                <w:lang w:val="en-US" w:eastAsia="zh-CN"/>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03" w:type="pct"/>
            <w:vMerge w:val="continue"/>
            <w:vAlign w:val="center"/>
          </w:tcPr>
          <w:p>
            <w:pPr>
              <w:pStyle w:val="77"/>
              <w:rPr>
                <w:rFonts w:ascii="Times New Roman" w:hAnsi="Times New Roman" w:eastAsia="仿宋_GB2312"/>
                <w:color w:val="000000" w:themeColor="text1"/>
                <w:highlight w:val="cyan"/>
              </w:rPr>
            </w:pPr>
          </w:p>
        </w:tc>
        <w:tc>
          <w:tcPr>
            <w:tcW w:w="1133"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道路及硬化区域</w:t>
            </w:r>
          </w:p>
        </w:tc>
        <w:tc>
          <w:tcPr>
            <w:tcW w:w="1768"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202</w:t>
            </w:r>
            <w:r>
              <w:rPr>
                <w:rFonts w:hint="eastAsia" w:ascii="Times New Roman" w:hAnsi="Times New Roman" w:eastAsia="仿宋_GB2312"/>
                <w:color w:val="000000" w:themeColor="text1"/>
                <w:lang w:val="en-US" w:eastAsia="zh-CN"/>
              </w:rPr>
              <w:t>2</w:t>
            </w:r>
            <w:r>
              <w:rPr>
                <w:rFonts w:ascii="Times New Roman" w:hAnsi="Times New Roman" w:eastAsia="仿宋_GB2312"/>
                <w:color w:val="000000" w:themeColor="text1"/>
              </w:rPr>
              <w:t>年</w:t>
            </w:r>
            <w:r>
              <w:rPr>
                <w:rFonts w:hint="eastAsia" w:ascii="Times New Roman" w:hAnsi="Times New Roman" w:eastAsia="仿宋_GB2312"/>
                <w:color w:val="000000" w:themeColor="text1"/>
                <w:lang w:val="en-US" w:eastAsia="zh-CN"/>
              </w:rPr>
              <w:t>4</w:t>
            </w:r>
            <w:r>
              <w:rPr>
                <w:rFonts w:ascii="Times New Roman" w:hAnsi="Times New Roman" w:eastAsia="仿宋_GB2312"/>
                <w:color w:val="000000" w:themeColor="text1"/>
              </w:rPr>
              <w:t>月～202</w:t>
            </w:r>
            <w:r>
              <w:rPr>
                <w:rFonts w:hint="eastAsia" w:ascii="Times New Roman" w:hAnsi="Times New Roman" w:eastAsia="仿宋_GB2312"/>
                <w:color w:val="000000" w:themeColor="text1"/>
                <w:lang w:val="en-US" w:eastAsia="zh-CN"/>
              </w:rPr>
              <w:t>2</w:t>
            </w:r>
            <w:r>
              <w:rPr>
                <w:rFonts w:ascii="Times New Roman" w:hAnsi="Times New Roman" w:eastAsia="仿宋_GB2312"/>
                <w:color w:val="000000" w:themeColor="text1"/>
              </w:rPr>
              <w:t>年</w:t>
            </w:r>
            <w:r>
              <w:rPr>
                <w:rFonts w:hint="eastAsia" w:ascii="Times New Roman" w:hAnsi="Times New Roman" w:eastAsia="仿宋_GB2312"/>
                <w:color w:val="000000" w:themeColor="text1"/>
              </w:rPr>
              <w:t>7</w:t>
            </w:r>
            <w:r>
              <w:rPr>
                <w:rFonts w:ascii="Times New Roman" w:hAnsi="Times New Roman" w:eastAsia="仿宋_GB2312"/>
                <w:color w:val="000000" w:themeColor="text1"/>
              </w:rPr>
              <w:t>月</w:t>
            </w:r>
          </w:p>
        </w:tc>
        <w:tc>
          <w:tcPr>
            <w:tcW w:w="675" w:type="pct"/>
            <w:vAlign w:val="center"/>
          </w:tcPr>
          <w:p>
            <w:pPr>
              <w:pStyle w:val="77"/>
              <w:rPr>
                <w:rFonts w:ascii="Times New Roman" w:hAnsi="Times New Roman" w:eastAsia="仿宋_GB2312"/>
                <w:color w:val="000000" w:themeColor="text1"/>
              </w:rPr>
            </w:pPr>
            <w:r>
              <w:rPr>
                <w:rFonts w:hint="eastAsia" w:ascii="Times New Roman" w:hAnsi="Times New Roman" w:eastAsia="仿宋_GB2312"/>
                <w:color w:val="000000" w:themeColor="text1"/>
              </w:rPr>
              <w:t>0.5</w:t>
            </w:r>
          </w:p>
        </w:tc>
        <w:tc>
          <w:tcPr>
            <w:tcW w:w="719" w:type="pct"/>
            <w:vAlign w:val="center"/>
          </w:tcPr>
          <w:p>
            <w:pPr>
              <w:widowControl/>
              <w:adjustRightInd/>
              <w:spacing w:line="240" w:lineRule="auto"/>
              <w:jc w:val="center"/>
              <w:textAlignment w:val="auto"/>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03" w:type="pct"/>
            <w:vMerge w:val="continue"/>
            <w:vAlign w:val="center"/>
          </w:tcPr>
          <w:p>
            <w:pPr>
              <w:pStyle w:val="77"/>
              <w:rPr>
                <w:rFonts w:ascii="Times New Roman" w:hAnsi="Times New Roman" w:eastAsia="仿宋_GB2312"/>
                <w:color w:val="000000" w:themeColor="text1"/>
                <w:highlight w:val="cyan"/>
              </w:rPr>
            </w:pPr>
          </w:p>
        </w:tc>
        <w:tc>
          <w:tcPr>
            <w:tcW w:w="1133"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绿化区域</w:t>
            </w:r>
          </w:p>
        </w:tc>
        <w:tc>
          <w:tcPr>
            <w:tcW w:w="1768"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202</w:t>
            </w:r>
            <w:r>
              <w:rPr>
                <w:rFonts w:hint="eastAsia" w:ascii="Times New Roman" w:hAnsi="Times New Roman" w:eastAsia="仿宋_GB2312"/>
                <w:color w:val="000000" w:themeColor="text1"/>
                <w:lang w:val="en-US" w:eastAsia="zh-CN"/>
              </w:rPr>
              <w:t>3</w:t>
            </w:r>
            <w:r>
              <w:rPr>
                <w:rFonts w:ascii="Times New Roman" w:hAnsi="Times New Roman" w:eastAsia="仿宋_GB2312"/>
                <w:color w:val="000000" w:themeColor="text1"/>
              </w:rPr>
              <w:t>年</w:t>
            </w:r>
            <w:r>
              <w:rPr>
                <w:rFonts w:hint="eastAsia" w:ascii="Times New Roman" w:hAnsi="Times New Roman" w:eastAsia="仿宋_GB2312"/>
                <w:color w:val="000000" w:themeColor="text1"/>
                <w:lang w:val="en-US" w:eastAsia="zh-CN"/>
              </w:rPr>
              <w:t>7</w:t>
            </w:r>
            <w:r>
              <w:rPr>
                <w:rFonts w:ascii="Times New Roman" w:hAnsi="Times New Roman" w:eastAsia="仿宋_GB2312"/>
                <w:color w:val="000000" w:themeColor="text1"/>
              </w:rPr>
              <w:t>月～202</w:t>
            </w:r>
            <w:r>
              <w:rPr>
                <w:rFonts w:hint="eastAsia" w:ascii="Times New Roman" w:hAnsi="Times New Roman" w:eastAsia="仿宋_GB2312"/>
                <w:color w:val="000000" w:themeColor="text1"/>
                <w:lang w:val="en-US" w:eastAsia="zh-CN"/>
              </w:rPr>
              <w:t>3</w:t>
            </w:r>
            <w:r>
              <w:rPr>
                <w:rFonts w:ascii="Times New Roman" w:hAnsi="Times New Roman" w:eastAsia="仿宋_GB2312"/>
                <w:color w:val="000000" w:themeColor="text1"/>
              </w:rPr>
              <w:t>年</w:t>
            </w:r>
            <w:r>
              <w:rPr>
                <w:rFonts w:hint="eastAsia" w:ascii="Times New Roman" w:hAnsi="Times New Roman" w:eastAsia="仿宋_GB2312"/>
                <w:color w:val="000000" w:themeColor="text1"/>
                <w:lang w:val="en-US" w:eastAsia="zh-CN"/>
              </w:rPr>
              <w:t>8</w:t>
            </w:r>
            <w:r>
              <w:rPr>
                <w:rFonts w:ascii="Times New Roman" w:hAnsi="Times New Roman" w:eastAsia="仿宋_GB2312"/>
                <w:color w:val="000000" w:themeColor="text1"/>
              </w:rPr>
              <w:t>月</w:t>
            </w:r>
          </w:p>
        </w:tc>
        <w:tc>
          <w:tcPr>
            <w:tcW w:w="675" w:type="pct"/>
            <w:vAlign w:val="center"/>
          </w:tcPr>
          <w:p>
            <w:pPr>
              <w:pStyle w:val="77"/>
              <w:rPr>
                <w:rFonts w:hint="default" w:ascii="Times New Roman" w:hAnsi="Times New Roman" w:eastAsia="仿宋_GB2312"/>
                <w:color w:val="000000" w:themeColor="text1"/>
                <w:lang w:val="en-US" w:eastAsia="zh-CN"/>
              </w:rPr>
            </w:pPr>
            <w:r>
              <w:rPr>
                <w:rFonts w:hint="eastAsia" w:ascii="Times New Roman" w:hAnsi="Times New Roman" w:eastAsia="仿宋_GB2312"/>
                <w:color w:val="000000" w:themeColor="text1"/>
                <w:lang w:val="en-US" w:eastAsia="zh-CN"/>
              </w:rPr>
              <w:t>0.5</w:t>
            </w:r>
          </w:p>
        </w:tc>
        <w:tc>
          <w:tcPr>
            <w:tcW w:w="719" w:type="pct"/>
            <w:vAlign w:val="center"/>
          </w:tcPr>
          <w:p>
            <w:pPr>
              <w:widowControl/>
              <w:adjustRightInd/>
              <w:spacing w:line="240" w:lineRule="auto"/>
              <w:jc w:val="center"/>
              <w:textAlignment w:val="auto"/>
              <w:rPr>
                <w:rFonts w:hint="default" w:eastAsia="仿宋_GB2312"/>
                <w:color w:val="000000" w:themeColor="text1"/>
                <w:sz w:val="21"/>
                <w:szCs w:val="21"/>
                <w:lang w:val="en-US" w:eastAsia="zh-CN"/>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03"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自然恢复期</w:t>
            </w:r>
          </w:p>
        </w:tc>
        <w:tc>
          <w:tcPr>
            <w:tcW w:w="1133"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绿化区域</w:t>
            </w:r>
          </w:p>
        </w:tc>
        <w:tc>
          <w:tcPr>
            <w:tcW w:w="1768" w:type="pct"/>
            <w:vAlign w:val="center"/>
          </w:tcPr>
          <w:p>
            <w:pPr>
              <w:pStyle w:val="77"/>
              <w:jc w:val="both"/>
              <w:rPr>
                <w:rFonts w:ascii="Times New Roman" w:hAnsi="Times New Roman" w:eastAsia="仿宋_GB2312"/>
                <w:color w:val="000000" w:themeColor="text1"/>
              </w:rPr>
            </w:pPr>
          </w:p>
        </w:tc>
        <w:tc>
          <w:tcPr>
            <w:tcW w:w="675"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3.0</w:t>
            </w:r>
          </w:p>
        </w:tc>
        <w:tc>
          <w:tcPr>
            <w:tcW w:w="719" w:type="pct"/>
            <w:vAlign w:val="center"/>
          </w:tcPr>
          <w:p>
            <w:pPr>
              <w:widowControl/>
              <w:adjustRightInd/>
              <w:spacing w:line="240" w:lineRule="auto"/>
              <w:jc w:val="center"/>
              <w:textAlignment w:val="auto"/>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1.30</w:t>
            </w:r>
          </w:p>
        </w:tc>
      </w:tr>
    </w:tbl>
    <w:p>
      <w:pPr>
        <w:spacing w:line="360" w:lineRule="auto"/>
        <w:jc w:val="both"/>
        <w:rPr>
          <w:rFonts w:eastAsia="仿宋_GB2312"/>
          <w:color w:val="000000" w:themeColor="text1"/>
        </w:rPr>
      </w:pPr>
      <w:r>
        <w:rPr>
          <w:rFonts w:eastAsia="仿宋_GB2312"/>
          <w:b/>
          <w:color w:val="000000" w:themeColor="text1"/>
        </w:rPr>
        <w:t>4.3.3土壤侵蚀模数</w:t>
      </w:r>
    </w:p>
    <w:p>
      <w:pPr>
        <w:spacing w:line="360" w:lineRule="auto"/>
        <w:ind w:firstLine="470" w:firstLineChars="196"/>
        <w:jc w:val="both"/>
        <w:rPr>
          <w:rFonts w:eastAsia="仿宋_GB2312"/>
          <w:bCs/>
          <w:color w:val="000000" w:themeColor="text1"/>
        </w:rPr>
      </w:pPr>
      <w:r>
        <w:rPr>
          <w:rFonts w:eastAsia="仿宋_GB2312"/>
          <w:color w:val="000000" w:themeColor="text1"/>
        </w:rPr>
        <w:t>原地貌土壤侵蚀模数根据土壤侵蚀模数等值线图结合现场实地调查综合分析，确定本工程建设扰动前原地貌土壤侵蚀模数。扰动后土壤侵蚀模数采用参照市区内同类项目选取扰动后土壤侵蚀模数。土壤侵蚀模数预测数据见表4-4。</w:t>
      </w:r>
    </w:p>
    <w:p>
      <w:pPr>
        <w:pStyle w:val="71"/>
        <w:spacing w:line="240" w:lineRule="auto"/>
        <w:ind w:firstLine="0" w:firstLineChars="0"/>
        <w:jc w:val="center"/>
        <w:rPr>
          <w:rFonts w:ascii="Times New Roman" w:hAnsi="Times New Roman" w:eastAsia="仿宋_GB2312" w:cs="Times New Roman"/>
          <w:b w:val="0"/>
          <w:color w:val="000000" w:themeColor="text1"/>
        </w:rPr>
      </w:pPr>
      <w:r>
        <w:rPr>
          <w:rFonts w:ascii="Times New Roman" w:hAnsi="Times New Roman" w:eastAsia="仿宋_GB2312" w:cs="Times New Roman"/>
          <w:bCs/>
          <w:color w:val="000000" w:themeColor="text1"/>
        </w:rPr>
        <w:t xml:space="preserve">表4-4  </w:t>
      </w:r>
      <w:r>
        <w:rPr>
          <w:rFonts w:ascii="Times New Roman" w:hAnsi="Times New Roman" w:eastAsia="仿宋_GB2312" w:cs="Times New Roman"/>
          <w:bCs/>
          <w:color w:val="000000" w:themeColor="text1"/>
          <w:kern w:val="0"/>
          <w:szCs w:val="28"/>
        </w:rPr>
        <w:t>各分区扰动地貌土壤侵蚀模数表</w:t>
      </w:r>
    </w:p>
    <w:tbl>
      <w:tblPr>
        <w:tblStyle w:val="23"/>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99"/>
        <w:gridCol w:w="1064"/>
        <w:gridCol w:w="1192"/>
        <w:gridCol w:w="1615"/>
        <w:gridCol w:w="1433"/>
        <w:gridCol w:w="14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055"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预测单元</w:t>
            </w:r>
          </w:p>
        </w:tc>
        <w:tc>
          <w:tcPr>
            <w:tcW w:w="624"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土壤侵蚀</w:t>
            </w:r>
          </w:p>
          <w:p>
            <w:pPr>
              <w:pStyle w:val="77"/>
              <w:rPr>
                <w:rFonts w:ascii="Times New Roman" w:hAnsi="Times New Roman" w:eastAsia="仿宋_GB2312"/>
                <w:color w:val="000000" w:themeColor="text1"/>
              </w:rPr>
            </w:pPr>
            <w:r>
              <w:rPr>
                <w:rFonts w:ascii="Times New Roman" w:hAnsi="Times New Roman" w:eastAsia="仿宋_GB2312"/>
                <w:color w:val="000000" w:themeColor="text1"/>
              </w:rPr>
              <w:t>背景值</w:t>
            </w:r>
          </w:p>
        </w:tc>
        <w:tc>
          <w:tcPr>
            <w:tcW w:w="699"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施工期土壤侵蚀模数</w:t>
            </w:r>
          </w:p>
        </w:tc>
        <w:tc>
          <w:tcPr>
            <w:tcW w:w="947"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自然恢复期</w:t>
            </w:r>
          </w:p>
          <w:p>
            <w:pPr>
              <w:pStyle w:val="77"/>
              <w:rPr>
                <w:rFonts w:ascii="Times New Roman" w:hAnsi="Times New Roman" w:eastAsia="仿宋_GB2312"/>
                <w:color w:val="000000" w:themeColor="text1"/>
              </w:rPr>
            </w:pPr>
            <w:r>
              <w:rPr>
                <w:rFonts w:ascii="Times New Roman" w:hAnsi="Times New Roman" w:eastAsia="仿宋_GB2312"/>
                <w:color w:val="000000" w:themeColor="text1"/>
              </w:rPr>
              <w:t>（第1年）</w:t>
            </w:r>
          </w:p>
          <w:p>
            <w:pPr>
              <w:pStyle w:val="77"/>
              <w:rPr>
                <w:rFonts w:ascii="Times New Roman" w:hAnsi="Times New Roman" w:eastAsia="仿宋_GB2312"/>
                <w:color w:val="000000" w:themeColor="text1"/>
              </w:rPr>
            </w:pPr>
            <w:r>
              <w:rPr>
                <w:rFonts w:ascii="Times New Roman" w:hAnsi="Times New Roman" w:eastAsia="仿宋_GB2312"/>
                <w:color w:val="000000" w:themeColor="text1"/>
              </w:rPr>
              <w:t>土壤侵蚀模数</w:t>
            </w:r>
          </w:p>
        </w:tc>
        <w:tc>
          <w:tcPr>
            <w:tcW w:w="840"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自然恢复期</w:t>
            </w:r>
          </w:p>
          <w:p>
            <w:pPr>
              <w:pStyle w:val="77"/>
              <w:rPr>
                <w:rFonts w:ascii="Times New Roman" w:hAnsi="Times New Roman" w:eastAsia="仿宋_GB2312"/>
                <w:color w:val="000000" w:themeColor="text1"/>
              </w:rPr>
            </w:pPr>
            <w:r>
              <w:rPr>
                <w:rFonts w:ascii="Times New Roman" w:hAnsi="Times New Roman" w:eastAsia="仿宋_GB2312"/>
                <w:color w:val="000000" w:themeColor="text1"/>
              </w:rPr>
              <w:t>（第2年）</w:t>
            </w:r>
          </w:p>
          <w:p>
            <w:pPr>
              <w:pStyle w:val="77"/>
              <w:rPr>
                <w:rFonts w:ascii="Times New Roman" w:hAnsi="Times New Roman" w:eastAsia="仿宋_GB2312"/>
                <w:color w:val="000000" w:themeColor="text1"/>
              </w:rPr>
            </w:pPr>
            <w:r>
              <w:rPr>
                <w:rFonts w:ascii="Times New Roman" w:hAnsi="Times New Roman" w:eastAsia="仿宋_GB2312"/>
                <w:color w:val="000000" w:themeColor="text1"/>
              </w:rPr>
              <w:t>土壤侵蚀模数</w:t>
            </w:r>
          </w:p>
        </w:tc>
        <w:tc>
          <w:tcPr>
            <w:tcW w:w="832"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自然恢复期</w:t>
            </w:r>
          </w:p>
          <w:p>
            <w:pPr>
              <w:pStyle w:val="77"/>
              <w:rPr>
                <w:rFonts w:ascii="Times New Roman" w:hAnsi="Times New Roman" w:eastAsia="仿宋_GB2312"/>
                <w:color w:val="000000" w:themeColor="text1"/>
              </w:rPr>
            </w:pPr>
            <w:r>
              <w:rPr>
                <w:rFonts w:ascii="Times New Roman" w:hAnsi="Times New Roman" w:eastAsia="仿宋_GB2312"/>
                <w:color w:val="000000" w:themeColor="text1"/>
              </w:rPr>
              <w:t>（第3年）</w:t>
            </w:r>
          </w:p>
          <w:p>
            <w:pPr>
              <w:pStyle w:val="77"/>
              <w:rPr>
                <w:rFonts w:ascii="Times New Roman" w:hAnsi="Times New Roman" w:eastAsia="仿宋_GB2312"/>
                <w:color w:val="000000" w:themeColor="text1"/>
              </w:rPr>
            </w:pPr>
            <w:r>
              <w:rPr>
                <w:rFonts w:ascii="Times New Roman" w:hAnsi="Times New Roman" w:eastAsia="仿宋_GB2312"/>
                <w:color w:val="000000" w:themeColor="text1"/>
              </w:rPr>
              <w:t>土壤侵蚀模数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055"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建筑物区域</w:t>
            </w:r>
          </w:p>
        </w:tc>
        <w:tc>
          <w:tcPr>
            <w:tcW w:w="624" w:type="pct"/>
            <w:vAlign w:val="center"/>
          </w:tcPr>
          <w:p>
            <w:pPr>
              <w:spacing w:line="240" w:lineRule="auto"/>
              <w:jc w:val="center"/>
              <w:rPr>
                <w:rFonts w:eastAsia="仿宋_GB2312"/>
                <w:color w:val="000000" w:themeColor="text1"/>
                <w:sz w:val="21"/>
                <w:szCs w:val="21"/>
              </w:rPr>
            </w:pPr>
            <w:r>
              <w:rPr>
                <w:rFonts w:eastAsia="仿宋_GB2312"/>
                <w:bCs/>
                <w:color w:val="000000" w:themeColor="text1"/>
                <w:kern w:val="2"/>
                <w:sz w:val="21"/>
                <w:szCs w:val="21"/>
              </w:rPr>
              <w:t>400</w:t>
            </w:r>
          </w:p>
        </w:tc>
        <w:tc>
          <w:tcPr>
            <w:tcW w:w="699" w:type="pct"/>
            <w:vAlign w:val="center"/>
          </w:tcPr>
          <w:p>
            <w:pPr>
              <w:spacing w:line="240" w:lineRule="auto"/>
              <w:jc w:val="center"/>
              <w:rPr>
                <w:rFonts w:eastAsia="仿宋_GB2312"/>
                <w:color w:val="000000" w:themeColor="text1"/>
                <w:sz w:val="21"/>
                <w:szCs w:val="21"/>
              </w:rPr>
            </w:pPr>
            <w:r>
              <w:rPr>
                <w:rFonts w:eastAsia="仿宋_GB2312"/>
                <w:bCs/>
                <w:color w:val="000000" w:themeColor="text1"/>
                <w:kern w:val="2"/>
                <w:sz w:val="21"/>
                <w:szCs w:val="21"/>
              </w:rPr>
              <w:t>4200</w:t>
            </w:r>
          </w:p>
        </w:tc>
        <w:tc>
          <w:tcPr>
            <w:tcW w:w="947" w:type="pct"/>
            <w:vAlign w:val="center"/>
          </w:tcPr>
          <w:p>
            <w:pPr>
              <w:spacing w:line="240" w:lineRule="auto"/>
              <w:jc w:val="center"/>
              <w:rPr>
                <w:rFonts w:eastAsia="仿宋_GB2312"/>
                <w:color w:val="000000" w:themeColor="text1"/>
                <w:sz w:val="21"/>
                <w:szCs w:val="21"/>
              </w:rPr>
            </w:pPr>
          </w:p>
        </w:tc>
        <w:tc>
          <w:tcPr>
            <w:tcW w:w="840" w:type="pct"/>
            <w:vAlign w:val="center"/>
          </w:tcPr>
          <w:p>
            <w:pPr>
              <w:spacing w:line="240" w:lineRule="auto"/>
              <w:jc w:val="center"/>
              <w:rPr>
                <w:rFonts w:eastAsia="仿宋_GB2312"/>
                <w:color w:val="000000" w:themeColor="text1"/>
                <w:sz w:val="21"/>
                <w:szCs w:val="21"/>
              </w:rPr>
            </w:pPr>
          </w:p>
        </w:tc>
        <w:tc>
          <w:tcPr>
            <w:tcW w:w="832" w:type="pct"/>
            <w:vAlign w:val="center"/>
          </w:tcPr>
          <w:p>
            <w:pPr>
              <w:spacing w:line="240" w:lineRule="auto"/>
              <w:jc w:val="center"/>
              <w:rPr>
                <w:rFonts w:eastAsia="仿宋_GB2312"/>
                <w:color w:val="000000" w:themeColor="text1"/>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055"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道路及硬化区域</w:t>
            </w:r>
          </w:p>
        </w:tc>
        <w:tc>
          <w:tcPr>
            <w:tcW w:w="624" w:type="pct"/>
            <w:vAlign w:val="center"/>
          </w:tcPr>
          <w:p>
            <w:pPr>
              <w:spacing w:line="240" w:lineRule="auto"/>
              <w:jc w:val="center"/>
              <w:rPr>
                <w:rFonts w:eastAsia="仿宋_GB2312"/>
                <w:color w:val="000000" w:themeColor="text1"/>
                <w:sz w:val="21"/>
                <w:szCs w:val="21"/>
              </w:rPr>
            </w:pPr>
            <w:r>
              <w:rPr>
                <w:rFonts w:eastAsia="仿宋_GB2312"/>
                <w:bCs/>
                <w:color w:val="000000" w:themeColor="text1"/>
                <w:kern w:val="2"/>
                <w:sz w:val="21"/>
                <w:szCs w:val="21"/>
              </w:rPr>
              <w:t>400</w:t>
            </w:r>
          </w:p>
        </w:tc>
        <w:tc>
          <w:tcPr>
            <w:tcW w:w="699" w:type="pct"/>
            <w:vAlign w:val="center"/>
          </w:tcPr>
          <w:p>
            <w:pPr>
              <w:pStyle w:val="77"/>
              <w:rPr>
                <w:rFonts w:ascii="Times New Roman" w:hAnsi="Times New Roman" w:eastAsia="仿宋_GB2312"/>
                <w:color w:val="000000" w:themeColor="text1"/>
              </w:rPr>
            </w:pPr>
            <w:r>
              <w:rPr>
                <w:rFonts w:ascii="Times New Roman" w:hAnsi="Times New Roman" w:eastAsia="仿宋_GB2312"/>
                <w:bCs/>
                <w:color w:val="000000" w:themeColor="text1"/>
              </w:rPr>
              <w:t>4000</w:t>
            </w:r>
          </w:p>
        </w:tc>
        <w:tc>
          <w:tcPr>
            <w:tcW w:w="947" w:type="pct"/>
            <w:vAlign w:val="center"/>
          </w:tcPr>
          <w:p>
            <w:pPr>
              <w:pStyle w:val="61"/>
              <w:rPr>
                <w:rFonts w:ascii="Times New Roman" w:hAnsi="Times New Roman" w:eastAsia="仿宋_GB2312"/>
                <w:color w:val="000000" w:themeColor="text1"/>
              </w:rPr>
            </w:pPr>
          </w:p>
        </w:tc>
        <w:tc>
          <w:tcPr>
            <w:tcW w:w="840" w:type="pct"/>
            <w:vAlign w:val="center"/>
          </w:tcPr>
          <w:p>
            <w:pPr>
              <w:pStyle w:val="61"/>
              <w:rPr>
                <w:rFonts w:ascii="Times New Roman" w:hAnsi="Times New Roman" w:eastAsia="仿宋_GB2312"/>
                <w:color w:val="000000" w:themeColor="text1"/>
              </w:rPr>
            </w:pPr>
          </w:p>
        </w:tc>
        <w:tc>
          <w:tcPr>
            <w:tcW w:w="832" w:type="pct"/>
            <w:vAlign w:val="center"/>
          </w:tcPr>
          <w:p>
            <w:pPr>
              <w:pStyle w:val="61"/>
              <w:rPr>
                <w:rFonts w:ascii="Times New Roman" w:hAnsi="Times New Roman" w:eastAsia="仿宋_GB2312"/>
                <w:color w:val="000000" w:themeColor="text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055"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绿化区域</w:t>
            </w:r>
          </w:p>
        </w:tc>
        <w:tc>
          <w:tcPr>
            <w:tcW w:w="624" w:type="pct"/>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400</w:t>
            </w:r>
          </w:p>
        </w:tc>
        <w:tc>
          <w:tcPr>
            <w:tcW w:w="699" w:type="pct"/>
            <w:vAlign w:val="center"/>
          </w:tcPr>
          <w:p>
            <w:pPr>
              <w:pStyle w:val="77"/>
              <w:rPr>
                <w:rFonts w:ascii="Times New Roman" w:hAnsi="Times New Roman" w:eastAsia="仿宋_GB2312"/>
                <w:color w:val="000000" w:themeColor="text1"/>
              </w:rPr>
            </w:pPr>
            <w:r>
              <w:rPr>
                <w:rFonts w:ascii="Times New Roman" w:hAnsi="Times New Roman" w:eastAsia="仿宋_GB2312"/>
                <w:bCs/>
                <w:color w:val="000000" w:themeColor="text1"/>
              </w:rPr>
              <w:t>3800</w:t>
            </w:r>
          </w:p>
        </w:tc>
        <w:tc>
          <w:tcPr>
            <w:tcW w:w="947" w:type="pct"/>
            <w:vAlign w:val="center"/>
          </w:tcPr>
          <w:p>
            <w:pPr>
              <w:pStyle w:val="61"/>
              <w:rPr>
                <w:rFonts w:ascii="Times New Roman" w:hAnsi="Times New Roman" w:eastAsia="仿宋_GB2312"/>
                <w:color w:val="000000" w:themeColor="text1"/>
              </w:rPr>
            </w:pPr>
            <w:r>
              <w:rPr>
                <w:rFonts w:ascii="Times New Roman" w:hAnsi="Times New Roman" w:eastAsia="仿宋_GB2312"/>
                <w:bCs/>
                <w:color w:val="000000" w:themeColor="text1"/>
                <w:kern w:val="2"/>
              </w:rPr>
              <w:t>2200</w:t>
            </w:r>
          </w:p>
        </w:tc>
        <w:tc>
          <w:tcPr>
            <w:tcW w:w="840" w:type="pct"/>
            <w:vAlign w:val="center"/>
          </w:tcPr>
          <w:p>
            <w:pPr>
              <w:pStyle w:val="61"/>
              <w:rPr>
                <w:rFonts w:ascii="Times New Roman" w:hAnsi="Times New Roman" w:eastAsia="仿宋_GB2312"/>
                <w:color w:val="000000" w:themeColor="text1"/>
              </w:rPr>
            </w:pPr>
            <w:r>
              <w:rPr>
                <w:rFonts w:ascii="Times New Roman" w:hAnsi="Times New Roman" w:eastAsia="仿宋_GB2312"/>
                <w:bCs/>
                <w:color w:val="000000" w:themeColor="text1"/>
                <w:kern w:val="2"/>
              </w:rPr>
              <w:t>1200</w:t>
            </w:r>
          </w:p>
        </w:tc>
        <w:tc>
          <w:tcPr>
            <w:tcW w:w="832" w:type="pct"/>
            <w:vAlign w:val="center"/>
          </w:tcPr>
          <w:p>
            <w:pPr>
              <w:pStyle w:val="61"/>
              <w:rPr>
                <w:rFonts w:ascii="Times New Roman" w:hAnsi="Times New Roman" w:eastAsia="仿宋_GB2312"/>
                <w:color w:val="000000" w:themeColor="text1"/>
              </w:rPr>
            </w:pPr>
            <w:r>
              <w:rPr>
                <w:rFonts w:ascii="Times New Roman" w:hAnsi="Times New Roman" w:eastAsia="仿宋_GB2312"/>
                <w:bCs/>
                <w:color w:val="000000" w:themeColor="text1"/>
                <w:kern w:val="2"/>
              </w:rPr>
              <w:t>500</w:t>
            </w:r>
          </w:p>
        </w:tc>
      </w:tr>
    </w:tbl>
    <w:p>
      <w:pPr>
        <w:spacing w:line="360" w:lineRule="auto"/>
        <w:jc w:val="both"/>
        <w:rPr>
          <w:rStyle w:val="34"/>
          <w:color w:val="000000" w:themeColor="text1"/>
        </w:rPr>
      </w:pPr>
      <w:r>
        <w:rPr>
          <w:rFonts w:eastAsia="仿宋_GB2312"/>
          <w:b/>
          <w:color w:val="000000" w:themeColor="text1"/>
        </w:rPr>
        <w:t>4.3.4预测结果</w:t>
      </w:r>
    </w:p>
    <w:p>
      <w:pPr>
        <w:spacing w:line="360" w:lineRule="auto"/>
        <w:jc w:val="both"/>
        <w:rPr>
          <w:rStyle w:val="34"/>
          <w:rFonts w:eastAsia="仿宋_GB2312"/>
          <w:b/>
          <w:bCs/>
          <w:color w:val="000000" w:themeColor="text1"/>
          <w:sz w:val="24"/>
          <w:szCs w:val="24"/>
        </w:rPr>
      </w:pPr>
      <w:r>
        <w:rPr>
          <w:rStyle w:val="34"/>
          <w:rFonts w:eastAsia="仿宋_GB2312"/>
          <w:b/>
          <w:bCs/>
          <w:color w:val="000000" w:themeColor="text1"/>
          <w:sz w:val="24"/>
          <w:szCs w:val="24"/>
        </w:rPr>
        <w:t>4.3.4.1 预测方法</w:t>
      </w:r>
    </w:p>
    <w:p>
      <w:pPr>
        <w:pStyle w:val="54"/>
        <w:ind w:firstLine="480"/>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土壤侵蚀主要指在自然营力和人类活动作用下，土壤或其他地面组成物质被破坏、剥蚀、搬运和沉积的过程。对于该项工程来说，主要指施工过程中产生的地貌形态、土壤机构及地表植被破坏后造成的加速侵蚀量。利用下面的公式计算出本项目各个预测单元在施工期和自然恢复期的新增土壤流失量。土壤流失量计算公式如下：</w:t>
      </w:r>
    </w:p>
    <w:p>
      <w:pPr>
        <w:snapToGrid w:val="0"/>
        <w:spacing w:line="360" w:lineRule="auto"/>
        <w:ind w:firstLine="480" w:firstLineChars="200"/>
        <w:rPr>
          <w:rFonts w:eastAsia="仿宋_GB2312"/>
          <w:color w:val="000000" w:themeColor="text1"/>
        </w:rPr>
      </w:pPr>
      <w:r>
        <w:rPr>
          <w:rFonts w:eastAsia="仿宋_GB2312"/>
          <w:color w:val="000000" w:themeColor="text1"/>
        </w:rPr>
        <w:t>项目区土壤流失量预测采取侵蚀模数法。公式为：</w:t>
      </w:r>
    </w:p>
    <w:p>
      <w:pPr>
        <w:snapToGrid w:val="0"/>
        <w:spacing w:line="360" w:lineRule="auto"/>
        <w:ind w:firstLine="480" w:firstLineChars="200"/>
        <w:rPr>
          <w:rFonts w:eastAsia="仿宋_GB2312"/>
          <w:color w:val="000000" w:themeColor="text1"/>
        </w:rPr>
      </w:pPr>
      <w:r>
        <w:rPr>
          <w:rFonts w:eastAsia="仿宋_GB2312"/>
          <w:color w:val="000000" w:themeColor="text1"/>
          <w:position w:val="-30"/>
        </w:rPr>
        <w:object>
          <v:shape id="_x0000_i1025" o:spt="75" type="#_x0000_t75" style="height:35.05pt;width:131.8pt;" o:ole="t" filled="f" o:preferrelative="t" stroked="f" coordsize="21600,21600">
            <v:path/>
            <v:fill on="f" focussize="0,0"/>
            <v:stroke on="f" joinstyle="miter"/>
            <v:imagedata r:id="rId36" o:title=""/>
            <o:lock v:ext="edit" aspectratio="t"/>
            <w10:wrap type="none"/>
            <w10:anchorlock/>
          </v:shape>
          <o:OLEObject Type="Embed" ProgID="Equation.3" ShapeID="_x0000_i1025" DrawAspect="Content" ObjectID="_1468075725" r:id="rId35">
            <o:LockedField>false</o:LockedField>
          </o:OLEObject>
        </w:object>
      </w:r>
    </w:p>
    <w:p>
      <w:pPr>
        <w:snapToGrid w:val="0"/>
        <w:spacing w:line="360" w:lineRule="auto"/>
        <w:ind w:firstLine="480" w:firstLineChars="200"/>
        <w:rPr>
          <w:rFonts w:eastAsia="仿宋_GB2312"/>
          <w:color w:val="000000" w:themeColor="text1"/>
        </w:rPr>
      </w:pPr>
      <w:r>
        <w:rPr>
          <w:rFonts w:eastAsia="仿宋_GB2312"/>
          <w:color w:val="000000" w:themeColor="text1"/>
        </w:rPr>
        <w:t>式中：</w:t>
      </w:r>
      <w:r>
        <w:rPr>
          <w:rFonts w:eastAsia="仿宋_GB2312"/>
          <w:color w:val="000000" w:themeColor="text1"/>
          <w:position w:val="-6"/>
        </w:rPr>
        <w:object>
          <v:shape id="_x0000_i1026" o:spt="75" type="#_x0000_t75" style="height:13.45pt;width:13.45pt;" o:ole="t" filled="f" o:preferrelative="t" stroked="f" coordsize="21600,21600">
            <v:path/>
            <v:fill on="f" focussize="0,0"/>
            <v:stroke on="f" joinstyle="miter"/>
            <v:imagedata r:id="rId38" o:title=""/>
            <o:lock v:ext="edit" aspectratio="t"/>
            <w10:wrap type="none"/>
            <w10:anchorlock/>
          </v:shape>
          <o:OLEObject Type="Embed" ProgID="Equation.3" ShapeID="_x0000_i1026" DrawAspect="Content" ObjectID="_1468075726" r:id="rId37">
            <o:LockedField>false</o:LockedField>
          </o:OLEObject>
        </w:object>
      </w:r>
      <w:r>
        <w:rPr>
          <w:rFonts w:eastAsia="仿宋_GB2312"/>
          <w:color w:val="000000" w:themeColor="text1"/>
        </w:rPr>
        <w:t>——土壤流失量，t；</w:t>
      </w:r>
    </w:p>
    <w:p>
      <w:pPr>
        <w:snapToGrid w:val="0"/>
        <w:spacing w:line="360" w:lineRule="auto"/>
        <w:ind w:firstLine="480" w:firstLineChars="200"/>
        <w:rPr>
          <w:rFonts w:eastAsia="仿宋_GB2312"/>
          <w:color w:val="000000" w:themeColor="text1"/>
        </w:rPr>
      </w:pPr>
      <w:r>
        <w:rPr>
          <w:rFonts w:eastAsia="仿宋_GB2312"/>
          <w:color w:val="000000" w:themeColor="text1"/>
        </w:rPr>
        <w:t>F</w:t>
      </w:r>
      <w:r>
        <w:rPr>
          <w:rFonts w:eastAsia="仿宋_GB2312"/>
          <w:color w:val="000000" w:themeColor="text1"/>
          <w:vertAlign w:val="subscript"/>
        </w:rPr>
        <w:t>ji</w:t>
      </w:r>
      <w:r>
        <w:rPr>
          <w:rFonts w:eastAsia="仿宋_GB2312"/>
          <w:color w:val="000000" w:themeColor="text1"/>
        </w:rPr>
        <w:t>——第j预测时段、第i预测单元的面积，km</w:t>
      </w:r>
      <w:r>
        <w:rPr>
          <w:rFonts w:eastAsia="仿宋_GB2312"/>
          <w:color w:val="000000" w:themeColor="text1"/>
          <w:vertAlign w:val="superscript"/>
        </w:rPr>
        <w:t>2</w:t>
      </w:r>
      <w:r>
        <w:rPr>
          <w:rFonts w:eastAsia="仿宋_GB2312"/>
          <w:color w:val="000000" w:themeColor="text1"/>
        </w:rPr>
        <w:t>；</w:t>
      </w:r>
    </w:p>
    <w:p>
      <w:pPr>
        <w:snapToGrid w:val="0"/>
        <w:spacing w:line="360" w:lineRule="auto"/>
        <w:ind w:firstLine="480" w:firstLineChars="200"/>
        <w:rPr>
          <w:rFonts w:eastAsia="仿宋_GB2312"/>
          <w:color w:val="000000" w:themeColor="text1"/>
        </w:rPr>
      </w:pPr>
      <w:r>
        <w:rPr>
          <w:rFonts w:eastAsia="仿宋_GB2312"/>
          <w:color w:val="000000" w:themeColor="text1"/>
        </w:rPr>
        <w:t>M</w:t>
      </w:r>
      <w:r>
        <w:rPr>
          <w:rFonts w:eastAsia="仿宋_GB2312"/>
          <w:color w:val="000000" w:themeColor="text1"/>
          <w:vertAlign w:val="subscript"/>
        </w:rPr>
        <w:t>ji—</w:t>
      </w:r>
      <w:r>
        <w:rPr>
          <w:rFonts w:eastAsia="仿宋_GB2312"/>
          <w:color w:val="000000" w:themeColor="text1"/>
        </w:rPr>
        <w:t>——第j预测时段、第i预测单元的土壤侵蚀模数，t/km</w:t>
      </w:r>
      <w:r>
        <w:rPr>
          <w:rFonts w:eastAsia="仿宋_GB2312"/>
          <w:color w:val="000000" w:themeColor="text1"/>
          <w:vertAlign w:val="superscript"/>
        </w:rPr>
        <w:t>2</w:t>
      </w:r>
      <w:r>
        <w:rPr>
          <w:rFonts w:eastAsia="仿宋_GB2312"/>
          <w:color w:val="000000" w:themeColor="text1"/>
        </w:rPr>
        <w:t>·a；</w:t>
      </w:r>
    </w:p>
    <w:p>
      <w:pPr>
        <w:snapToGrid w:val="0"/>
        <w:spacing w:line="360" w:lineRule="auto"/>
        <w:ind w:firstLine="480" w:firstLineChars="200"/>
        <w:rPr>
          <w:rFonts w:eastAsia="仿宋_GB2312"/>
          <w:color w:val="000000" w:themeColor="text1"/>
        </w:rPr>
      </w:pPr>
      <w:r>
        <w:rPr>
          <w:rFonts w:eastAsia="仿宋_GB2312"/>
          <w:color w:val="000000" w:themeColor="text1"/>
        </w:rPr>
        <w:t>T</w:t>
      </w:r>
      <w:r>
        <w:rPr>
          <w:rFonts w:eastAsia="仿宋_GB2312"/>
          <w:color w:val="000000" w:themeColor="text1"/>
          <w:vertAlign w:val="subscript"/>
        </w:rPr>
        <w:t>ji</w:t>
      </w:r>
      <w:r>
        <w:rPr>
          <w:rFonts w:eastAsia="仿宋_GB2312"/>
          <w:color w:val="000000" w:themeColor="text1"/>
        </w:rPr>
        <w:t>——第j预测时段、第i预测单元的预测时段，a。</w:t>
      </w:r>
    </w:p>
    <w:p>
      <w:pPr>
        <w:snapToGrid w:val="0"/>
        <w:spacing w:line="360" w:lineRule="auto"/>
        <w:ind w:firstLine="480" w:firstLineChars="200"/>
        <w:rPr>
          <w:rFonts w:eastAsia="仿宋_GB2312"/>
          <w:color w:val="000000" w:themeColor="text1"/>
        </w:rPr>
      </w:pPr>
      <w:r>
        <w:rPr>
          <w:rFonts w:eastAsia="仿宋_GB2312"/>
          <w:color w:val="000000" w:themeColor="text1"/>
        </w:rPr>
        <w:t>i——预测单元，i=3，指建筑物区域、道路及硬化区域、绿化区域；</w:t>
      </w:r>
    </w:p>
    <w:p>
      <w:pPr>
        <w:adjustRightInd/>
        <w:spacing w:line="360" w:lineRule="auto"/>
        <w:ind w:firstLine="480" w:firstLineChars="200"/>
        <w:textAlignment w:val="auto"/>
        <w:rPr>
          <w:rFonts w:eastAsia="仿宋_GB2312"/>
          <w:color w:val="000000" w:themeColor="text1"/>
          <w:szCs w:val="24"/>
        </w:rPr>
      </w:pPr>
      <w:r>
        <w:rPr>
          <w:rFonts w:eastAsia="仿宋_GB2312"/>
          <w:color w:val="000000" w:themeColor="text1"/>
        </w:rPr>
        <w:t>j——预测时段，j=1、2，指施工期（含施工准备期）和自然恢复期</w:t>
      </w:r>
      <w:r>
        <w:rPr>
          <w:rFonts w:eastAsia="仿宋_GB2312"/>
          <w:color w:val="000000" w:themeColor="text1"/>
          <w:szCs w:val="24"/>
        </w:rPr>
        <w:t>。</w:t>
      </w:r>
    </w:p>
    <w:p>
      <w:pPr>
        <w:adjustRightInd/>
        <w:spacing w:line="360" w:lineRule="auto"/>
        <w:textAlignment w:val="auto"/>
        <w:rPr>
          <w:rFonts w:eastAsia="仿宋_GB2312"/>
          <w:color w:val="000000" w:themeColor="text1"/>
          <w:szCs w:val="24"/>
        </w:rPr>
      </w:pPr>
      <w:r>
        <w:rPr>
          <w:rStyle w:val="34"/>
          <w:rFonts w:eastAsia="仿宋_GB2312"/>
          <w:b/>
          <w:bCs/>
          <w:color w:val="000000" w:themeColor="text1"/>
          <w:sz w:val="24"/>
          <w:szCs w:val="24"/>
        </w:rPr>
        <w:t>4.3.4.2 施工期及自然恢复期土壤流失量预测</w:t>
      </w:r>
    </w:p>
    <w:p>
      <w:pPr>
        <w:spacing w:line="360" w:lineRule="auto"/>
        <w:ind w:firstLine="470" w:firstLineChars="196"/>
        <w:jc w:val="both"/>
        <w:rPr>
          <w:rFonts w:eastAsia="仿宋_GB2312"/>
          <w:b/>
          <w:color w:val="000000" w:themeColor="text1"/>
        </w:rPr>
      </w:pPr>
      <w:r>
        <w:rPr>
          <w:rFonts w:eastAsia="仿宋_GB2312"/>
          <w:color w:val="000000" w:themeColor="text1"/>
        </w:rPr>
        <w:t>工程建设可能造成的土壤流失量见表4-5。</w:t>
      </w:r>
    </w:p>
    <w:p>
      <w:pPr>
        <w:jc w:val="center"/>
        <w:rPr>
          <w:rFonts w:eastAsia="仿宋_GB2312"/>
          <w:bCs/>
          <w:color w:val="000000" w:themeColor="text1"/>
        </w:rPr>
      </w:pPr>
      <w:r>
        <w:rPr>
          <w:rFonts w:eastAsia="仿宋_GB2312"/>
          <w:b/>
          <w:color w:val="000000" w:themeColor="text1"/>
        </w:rPr>
        <w:t>表4-5  工程建设可能造成的土壤流失量表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813"/>
        <w:gridCol w:w="1180"/>
        <w:gridCol w:w="1112"/>
        <w:gridCol w:w="973"/>
        <w:gridCol w:w="730"/>
        <w:gridCol w:w="751"/>
        <w:gridCol w:w="824"/>
        <w:gridCol w:w="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30" w:type="pct"/>
            <w:vMerge w:val="restart"/>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预测</w:t>
            </w:r>
          </w:p>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单元</w:t>
            </w:r>
          </w:p>
        </w:tc>
        <w:tc>
          <w:tcPr>
            <w:tcW w:w="1079" w:type="pct"/>
            <w:vMerge w:val="restart"/>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预测时段</w:t>
            </w:r>
          </w:p>
        </w:tc>
        <w:tc>
          <w:tcPr>
            <w:tcW w:w="708" w:type="pct"/>
            <w:vMerge w:val="restart"/>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土壤侵蚀背景值[t/(km</w:t>
            </w:r>
            <w:r>
              <w:rPr>
                <w:rFonts w:eastAsia="仿宋_GB2312"/>
                <w:color w:val="000000" w:themeColor="text1"/>
                <w:sz w:val="21"/>
                <w:szCs w:val="21"/>
                <w:vertAlign w:val="superscript"/>
              </w:rPr>
              <w:t>2</w:t>
            </w:r>
            <w:r>
              <w:rPr>
                <w:rFonts w:eastAsia="仿宋_GB2312"/>
                <w:color w:val="000000" w:themeColor="text1"/>
                <w:sz w:val="21"/>
                <w:szCs w:val="21"/>
              </w:rPr>
              <w:t>·a)]</w:t>
            </w:r>
          </w:p>
        </w:tc>
        <w:tc>
          <w:tcPr>
            <w:tcW w:w="659" w:type="pct"/>
            <w:vMerge w:val="restart"/>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扰动侵蚀模数[t/(km</w:t>
            </w:r>
            <w:r>
              <w:rPr>
                <w:rFonts w:eastAsia="仿宋_GB2312"/>
                <w:color w:val="000000" w:themeColor="text1"/>
                <w:sz w:val="21"/>
                <w:szCs w:val="21"/>
                <w:vertAlign w:val="superscript"/>
              </w:rPr>
              <w:t>2</w:t>
            </w:r>
            <w:r>
              <w:rPr>
                <w:rFonts w:eastAsia="仿宋_GB2312"/>
                <w:color w:val="000000" w:themeColor="text1"/>
                <w:sz w:val="21"/>
                <w:szCs w:val="21"/>
              </w:rPr>
              <w:t>·a)]</w:t>
            </w:r>
          </w:p>
        </w:tc>
        <w:tc>
          <w:tcPr>
            <w:tcW w:w="527" w:type="pct"/>
            <w:vMerge w:val="restart"/>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侵蚀</w:t>
            </w:r>
          </w:p>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面积</w:t>
            </w:r>
          </w:p>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（hm</w:t>
            </w:r>
            <w:r>
              <w:rPr>
                <w:rFonts w:eastAsia="仿宋_GB2312"/>
                <w:color w:val="000000" w:themeColor="text1"/>
                <w:sz w:val="21"/>
                <w:szCs w:val="21"/>
                <w:vertAlign w:val="superscript"/>
              </w:rPr>
              <w:t>2</w:t>
            </w:r>
            <w:r>
              <w:rPr>
                <w:rFonts w:eastAsia="仿宋_GB2312"/>
                <w:color w:val="000000" w:themeColor="text1"/>
                <w:sz w:val="21"/>
                <w:szCs w:val="21"/>
              </w:rPr>
              <w:t>）</w:t>
            </w:r>
          </w:p>
        </w:tc>
        <w:tc>
          <w:tcPr>
            <w:tcW w:w="394" w:type="pct"/>
            <w:vMerge w:val="restart"/>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侵蚀时间（a）</w:t>
            </w:r>
          </w:p>
        </w:tc>
        <w:tc>
          <w:tcPr>
            <w:tcW w:w="465" w:type="pct"/>
            <w:vMerge w:val="restart"/>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背景流失量(t)</w:t>
            </w:r>
          </w:p>
        </w:tc>
        <w:tc>
          <w:tcPr>
            <w:tcW w:w="499" w:type="pct"/>
            <w:vMerge w:val="restart"/>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预测流失量（t）</w:t>
            </w:r>
          </w:p>
        </w:tc>
        <w:tc>
          <w:tcPr>
            <w:tcW w:w="434" w:type="pct"/>
            <w:vMerge w:val="restart"/>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新增流失量（t）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30" w:type="pct"/>
            <w:vMerge w:val="continue"/>
            <w:vAlign w:val="center"/>
          </w:tcPr>
          <w:p>
            <w:pPr>
              <w:widowControl/>
              <w:spacing w:line="240" w:lineRule="auto"/>
              <w:jc w:val="center"/>
              <w:rPr>
                <w:rFonts w:eastAsia="仿宋_GB2312"/>
                <w:color w:val="000000" w:themeColor="text1"/>
                <w:sz w:val="21"/>
                <w:szCs w:val="21"/>
              </w:rPr>
            </w:pPr>
          </w:p>
        </w:tc>
        <w:tc>
          <w:tcPr>
            <w:tcW w:w="1079" w:type="pct"/>
            <w:vMerge w:val="continue"/>
            <w:vAlign w:val="center"/>
          </w:tcPr>
          <w:p>
            <w:pPr>
              <w:widowControl/>
              <w:spacing w:line="240" w:lineRule="auto"/>
              <w:jc w:val="center"/>
              <w:rPr>
                <w:rFonts w:eastAsia="仿宋_GB2312"/>
                <w:color w:val="000000" w:themeColor="text1"/>
                <w:sz w:val="21"/>
                <w:szCs w:val="21"/>
              </w:rPr>
            </w:pPr>
          </w:p>
        </w:tc>
        <w:tc>
          <w:tcPr>
            <w:tcW w:w="708" w:type="pct"/>
            <w:vMerge w:val="continue"/>
            <w:vAlign w:val="center"/>
          </w:tcPr>
          <w:p>
            <w:pPr>
              <w:widowControl/>
              <w:spacing w:line="240" w:lineRule="auto"/>
              <w:jc w:val="center"/>
              <w:rPr>
                <w:rFonts w:eastAsia="仿宋_GB2312"/>
                <w:color w:val="000000" w:themeColor="text1"/>
                <w:sz w:val="21"/>
                <w:szCs w:val="21"/>
              </w:rPr>
            </w:pPr>
          </w:p>
        </w:tc>
        <w:tc>
          <w:tcPr>
            <w:tcW w:w="659" w:type="pct"/>
            <w:vMerge w:val="continue"/>
            <w:vAlign w:val="center"/>
          </w:tcPr>
          <w:p>
            <w:pPr>
              <w:widowControl/>
              <w:spacing w:line="240" w:lineRule="auto"/>
              <w:jc w:val="center"/>
              <w:rPr>
                <w:rFonts w:eastAsia="仿宋_GB2312"/>
                <w:color w:val="000000" w:themeColor="text1"/>
                <w:sz w:val="21"/>
                <w:szCs w:val="21"/>
              </w:rPr>
            </w:pPr>
          </w:p>
        </w:tc>
        <w:tc>
          <w:tcPr>
            <w:tcW w:w="527" w:type="pct"/>
            <w:vMerge w:val="continue"/>
            <w:vAlign w:val="center"/>
          </w:tcPr>
          <w:p>
            <w:pPr>
              <w:widowControl/>
              <w:spacing w:line="240" w:lineRule="auto"/>
              <w:jc w:val="center"/>
              <w:rPr>
                <w:rFonts w:eastAsia="仿宋_GB2312"/>
                <w:color w:val="000000" w:themeColor="text1"/>
                <w:sz w:val="21"/>
                <w:szCs w:val="21"/>
              </w:rPr>
            </w:pPr>
          </w:p>
        </w:tc>
        <w:tc>
          <w:tcPr>
            <w:tcW w:w="394" w:type="pct"/>
            <w:vMerge w:val="continue"/>
            <w:vAlign w:val="center"/>
          </w:tcPr>
          <w:p>
            <w:pPr>
              <w:widowControl/>
              <w:spacing w:line="240" w:lineRule="auto"/>
              <w:jc w:val="center"/>
              <w:rPr>
                <w:rFonts w:eastAsia="仿宋_GB2312"/>
                <w:color w:val="000000" w:themeColor="text1"/>
                <w:sz w:val="21"/>
                <w:szCs w:val="21"/>
              </w:rPr>
            </w:pPr>
          </w:p>
        </w:tc>
        <w:tc>
          <w:tcPr>
            <w:tcW w:w="465" w:type="pct"/>
            <w:vMerge w:val="continue"/>
            <w:vAlign w:val="center"/>
          </w:tcPr>
          <w:p>
            <w:pPr>
              <w:widowControl/>
              <w:spacing w:line="240" w:lineRule="auto"/>
              <w:jc w:val="center"/>
              <w:rPr>
                <w:rFonts w:eastAsia="仿宋_GB2312"/>
                <w:color w:val="000000" w:themeColor="text1"/>
                <w:sz w:val="21"/>
                <w:szCs w:val="21"/>
              </w:rPr>
            </w:pPr>
          </w:p>
        </w:tc>
        <w:tc>
          <w:tcPr>
            <w:tcW w:w="499" w:type="pct"/>
            <w:vMerge w:val="continue"/>
            <w:vAlign w:val="center"/>
          </w:tcPr>
          <w:p>
            <w:pPr>
              <w:widowControl/>
              <w:spacing w:line="240" w:lineRule="auto"/>
              <w:jc w:val="center"/>
              <w:rPr>
                <w:rFonts w:eastAsia="仿宋_GB2312"/>
                <w:color w:val="000000" w:themeColor="text1"/>
                <w:sz w:val="21"/>
                <w:szCs w:val="21"/>
              </w:rPr>
            </w:pPr>
          </w:p>
        </w:tc>
        <w:tc>
          <w:tcPr>
            <w:tcW w:w="434" w:type="pct"/>
            <w:vMerge w:val="continue"/>
            <w:vAlign w:val="center"/>
          </w:tcPr>
          <w:p>
            <w:pPr>
              <w:widowControl/>
              <w:spacing w:line="240" w:lineRule="auto"/>
              <w:jc w:val="center"/>
              <w:rPr>
                <w:rFonts w:eastAsia="仿宋_GB2312"/>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30" w:type="pct"/>
            <w:vMerge w:val="continue"/>
            <w:vAlign w:val="center"/>
          </w:tcPr>
          <w:p>
            <w:pPr>
              <w:widowControl/>
              <w:spacing w:line="240" w:lineRule="auto"/>
              <w:jc w:val="center"/>
              <w:rPr>
                <w:rFonts w:eastAsia="仿宋_GB2312"/>
                <w:color w:val="000000" w:themeColor="text1"/>
                <w:sz w:val="21"/>
                <w:szCs w:val="21"/>
              </w:rPr>
            </w:pPr>
          </w:p>
        </w:tc>
        <w:tc>
          <w:tcPr>
            <w:tcW w:w="1079" w:type="pct"/>
            <w:vMerge w:val="continue"/>
            <w:vAlign w:val="center"/>
          </w:tcPr>
          <w:p>
            <w:pPr>
              <w:widowControl/>
              <w:spacing w:line="240" w:lineRule="auto"/>
              <w:jc w:val="center"/>
              <w:rPr>
                <w:rFonts w:eastAsia="仿宋_GB2312"/>
                <w:color w:val="000000" w:themeColor="text1"/>
                <w:sz w:val="21"/>
                <w:szCs w:val="21"/>
              </w:rPr>
            </w:pPr>
          </w:p>
        </w:tc>
        <w:tc>
          <w:tcPr>
            <w:tcW w:w="708" w:type="pct"/>
            <w:vMerge w:val="continue"/>
            <w:vAlign w:val="center"/>
          </w:tcPr>
          <w:p>
            <w:pPr>
              <w:widowControl/>
              <w:spacing w:line="240" w:lineRule="auto"/>
              <w:jc w:val="center"/>
              <w:rPr>
                <w:rFonts w:eastAsia="仿宋_GB2312"/>
                <w:color w:val="000000" w:themeColor="text1"/>
                <w:sz w:val="21"/>
                <w:szCs w:val="21"/>
              </w:rPr>
            </w:pPr>
          </w:p>
        </w:tc>
        <w:tc>
          <w:tcPr>
            <w:tcW w:w="659" w:type="pct"/>
            <w:vMerge w:val="continue"/>
            <w:vAlign w:val="center"/>
          </w:tcPr>
          <w:p>
            <w:pPr>
              <w:widowControl/>
              <w:spacing w:line="240" w:lineRule="auto"/>
              <w:jc w:val="center"/>
              <w:rPr>
                <w:rFonts w:eastAsia="仿宋_GB2312"/>
                <w:color w:val="000000" w:themeColor="text1"/>
                <w:sz w:val="21"/>
                <w:szCs w:val="21"/>
              </w:rPr>
            </w:pPr>
          </w:p>
        </w:tc>
        <w:tc>
          <w:tcPr>
            <w:tcW w:w="527" w:type="pct"/>
            <w:vMerge w:val="continue"/>
            <w:vAlign w:val="center"/>
          </w:tcPr>
          <w:p>
            <w:pPr>
              <w:widowControl/>
              <w:spacing w:line="240" w:lineRule="auto"/>
              <w:jc w:val="center"/>
              <w:rPr>
                <w:rFonts w:eastAsia="仿宋_GB2312"/>
                <w:color w:val="000000" w:themeColor="text1"/>
                <w:sz w:val="21"/>
                <w:szCs w:val="21"/>
              </w:rPr>
            </w:pPr>
          </w:p>
        </w:tc>
        <w:tc>
          <w:tcPr>
            <w:tcW w:w="394" w:type="pct"/>
            <w:vMerge w:val="continue"/>
            <w:vAlign w:val="center"/>
          </w:tcPr>
          <w:p>
            <w:pPr>
              <w:widowControl/>
              <w:spacing w:line="240" w:lineRule="auto"/>
              <w:jc w:val="center"/>
              <w:rPr>
                <w:rFonts w:eastAsia="仿宋_GB2312"/>
                <w:color w:val="000000" w:themeColor="text1"/>
                <w:sz w:val="21"/>
                <w:szCs w:val="21"/>
              </w:rPr>
            </w:pPr>
          </w:p>
        </w:tc>
        <w:tc>
          <w:tcPr>
            <w:tcW w:w="465" w:type="pct"/>
            <w:vMerge w:val="continue"/>
            <w:vAlign w:val="center"/>
          </w:tcPr>
          <w:p>
            <w:pPr>
              <w:widowControl/>
              <w:spacing w:line="240" w:lineRule="auto"/>
              <w:jc w:val="center"/>
              <w:rPr>
                <w:rFonts w:eastAsia="仿宋_GB2312"/>
                <w:color w:val="000000" w:themeColor="text1"/>
                <w:sz w:val="21"/>
                <w:szCs w:val="21"/>
              </w:rPr>
            </w:pPr>
          </w:p>
        </w:tc>
        <w:tc>
          <w:tcPr>
            <w:tcW w:w="499" w:type="pct"/>
            <w:vMerge w:val="continue"/>
            <w:vAlign w:val="center"/>
          </w:tcPr>
          <w:p>
            <w:pPr>
              <w:widowControl/>
              <w:spacing w:line="240" w:lineRule="auto"/>
              <w:jc w:val="center"/>
              <w:rPr>
                <w:rFonts w:eastAsia="仿宋_GB2312"/>
                <w:color w:val="000000" w:themeColor="text1"/>
                <w:sz w:val="21"/>
                <w:szCs w:val="21"/>
              </w:rPr>
            </w:pPr>
          </w:p>
        </w:tc>
        <w:tc>
          <w:tcPr>
            <w:tcW w:w="434" w:type="pct"/>
            <w:vMerge w:val="continue"/>
            <w:vAlign w:val="center"/>
          </w:tcPr>
          <w:p>
            <w:pPr>
              <w:widowControl/>
              <w:spacing w:line="240" w:lineRule="auto"/>
              <w:jc w:val="center"/>
              <w:rPr>
                <w:rFonts w:eastAsia="仿宋_GB2312"/>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0" w:type="pct"/>
            <w:vMerge w:val="restart"/>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工程</w:t>
            </w:r>
          </w:p>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建设</w:t>
            </w:r>
          </w:p>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区</w:t>
            </w:r>
          </w:p>
        </w:tc>
        <w:tc>
          <w:tcPr>
            <w:tcW w:w="1079"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建筑物区域施工期</w:t>
            </w:r>
          </w:p>
        </w:tc>
        <w:tc>
          <w:tcPr>
            <w:tcW w:w="708" w:type="pct"/>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400</w:t>
            </w:r>
          </w:p>
        </w:tc>
        <w:tc>
          <w:tcPr>
            <w:tcW w:w="659" w:type="pct"/>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4200</w:t>
            </w:r>
          </w:p>
        </w:tc>
        <w:tc>
          <w:tcPr>
            <w:tcW w:w="973" w:type="dxa"/>
            <w:vAlign w:val="center"/>
          </w:tcPr>
          <w:p>
            <w:pPr>
              <w:widowControl/>
              <w:adjustRightInd/>
              <w:spacing w:line="240" w:lineRule="auto"/>
              <w:jc w:val="center"/>
              <w:textAlignment w:val="auto"/>
              <w:rPr>
                <w:rFonts w:hint="default" w:eastAsia="仿宋_GB2312"/>
                <w:color w:val="000000" w:themeColor="text1"/>
                <w:sz w:val="21"/>
                <w:szCs w:val="21"/>
                <w:lang w:val="en-US" w:eastAsia="zh-CN"/>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80</w:t>
            </w:r>
          </w:p>
        </w:tc>
        <w:tc>
          <w:tcPr>
            <w:tcW w:w="730" w:type="dxa"/>
            <w:vAlign w:val="center"/>
          </w:tcPr>
          <w:p>
            <w:pPr>
              <w:pStyle w:val="77"/>
              <w:rPr>
                <w:rFonts w:hint="eastAsia" w:ascii="Times New Roman" w:hAnsi="Times New Roman" w:eastAsia="仿宋_GB2312"/>
                <w:color w:val="000000" w:themeColor="text1"/>
                <w:lang w:eastAsia="zh-CN"/>
              </w:rPr>
            </w:pPr>
            <w:r>
              <w:rPr>
                <w:rFonts w:hint="eastAsia" w:ascii="Times New Roman" w:hAnsi="Times New Roman" w:eastAsia="仿宋_GB2312"/>
                <w:color w:val="000000" w:themeColor="text1"/>
                <w:lang w:val="en-US" w:eastAsia="zh-CN"/>
              </w:rPr>
              <w:t>2.0</w:t>
            </w:r>
          </w:p>
        </w:tc>
        <w:tc>
          <w:tcPr>
            <w:tcW w:w="465" w:type="pct"/>
            <w:vAlign w:val="center"/>
          </w:tcPr>
          <w:p>
            <w:pPr>
              <w:pStyle w:val="77"/>
              <w:rPr>
                <w:rFonts w:hint="default" w:ascii="Times New Roman" w:hAnsi="Times New Roman" w:eastAsia="仿宋_GB2312"/>
                <w:color w:val="000000" w:themeColor="text1"/>
                <w:highlight w:val="red"/>
                <w:lang w:val="en-US" w:eastAsia="zh-CN"/>
              </w:rPr>
            </w:pPr>
            <w:r>
              <w:rPr>
                <w:rFonts w:hint="eastAsia" w:ascii="Times New Roman" w:hAnsi="Times New Roman" w:eastAsia="仿宋_GB2312"/>
                <w:color w:val="000000" w:themeColor="text1"/>
                <w:highlight w:val="none"/>
                <w:lang w:val="en-US" w:eastAsia="zh-CN"/>
              </w:rPr>
              <w:t>6.4</w:t>
            </w:r>
          </w:p>
        </w:tc>
        <w:tc>
          <w:tcPr>
            <w:tcW w:w="499" w:type="pct"/>
            <w:vAlign w:val="center"/>
          </w:tcPr>
          <w:p>
            <w:pPr>
              <w:widowControl/>
              <w:spacing w:line="240" w:lineRule="auto"/>
              <w:jc w:val="center"/>
              <w:textAlignment w:val="bottom"/>
              <w:rPr>
                <w:rFonts w:hint="default" w:eastAsia="仿宋_GB2312"/>
                <w:color w:val="000000" w:themeColor="text1"/>
                <w:sz w:val="21"/>
                <w:szCs w:val="21"/>
                <w:highlight w:val="red"/>
                <w:lang w:val="en-US" w:eastAsia="zh-CN"/>
              </w:rPr>
            </w:pPr>
            <w:r>
              <w:rPr>
                <w:rFonts w:hint="eastAsia" w:eastAsia="仿宋_GB2312"/>
                <w:color w:val="000000" w:themeColor="text1"/>
                <w:sz w:val="21"/>
                <w:szCs w:val="21"/>
                <w:highlight w:val="none"/>
                <w:lang w:val="en-US" w:eastAsia="zh-CN"/>
              </w:rPr>
              <w:t>67.2</w:t>
            </w:r>
          </w:p>
        </w:tc>
        <w:tc>
          <w:tcPr>
            <w:tcW w:w="434" w:type="pct"/>
            <w:vAlign w:val="center"/>
          </w:tcPr>
          <w:p>
            <w:pPr>
              <w:widowControl/>
              <w:spacing w:line="240" w:lineRule="auto"/>
              <w:jc w:val="center"/>
              <w:textAlignment w:val="bottom"/>
              <w:rPr>
                <w:rFonts w:hint="default" w:eastAsia="仿宋_GB2312"/>
                <w:color w:val="000000" w:themeColor="text1"/>
                <w:sz w:val="21"/>
                <w:szCs w:val="21"/>
                <w:highlight w:val="red"/>
                <w:lang w:val="en-US" w:eastAsia="zh-CN"/>
              </w:rPr>
            </w:pPr>
            <w:r>
              <w:rPr>
                <w:rFonts w:hint="eastAsia" w:eastAsia="仿宋_GB2312"/>
                <w:color w:val="000000" w:themeColor="text1"/>
                <w:sz w:val="21"/>
                <w:szCs w:val="21"/>
                <w:highlight w:val="none"/>
                <w:lang w:val="en-US" w:eastAsia="zh-CN"/>
              </w:rPr>
              <w:t>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0" w:type="pct"/>
            <w:vMerge w:val="continue"/>
            <w:vAlign w:val="center"/>
          </w:tcPr>
          <w:p>
            <w:pPr>
              <w:widowControl/>
              <w:spacing w:line="240" w:lineRule="auto"/>
              <w:jc w:val="center"/>
              <w:rPr>
                <w:rFonts w:eastAsia="仿宋_GB2312"/>
                <w:color w:val="000000" w:themeColor="text1"/>
                <w:sz w:val="21"/>
                <w:szCs w:val="21"/>
                <w:highlight w:val="cyan"/>
              </w:rPr>
            </w:pPr>
          </w:p>
        </w:tc>
        <w:tc>
          <w:tcPr>
            <w:tcW w:w="1079"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道路及硬化区域施工期</w:t>
            </w:r>
          </w:p>
        </w:tc>
        <w:tc>
          <w:tcPr>
            <w:tcW w:w="708" w:type="pct"/>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400</w:t>
            </w:r>
          </w:p>
        </w:tc>
        <w:tc>
          <w:tcPr>
            <w:tcW w:w="659" w:type="pct"/>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4000</w:t>
            </w:r>
          </w:p>
        </w:tc>
        <w:tc>
          <w:tcPr>
            <w:tcW w:w="973" w:type="dxa"/>
            <w:vAlign w:val="center"/>
          </w:tcPr>
          <w:p>
            <w:pPr>
              <w:widowControl/>
              <w:adjustRightInd/>
              <w:spacing w:line="240" w:lineRule="auto"/>
              <w:jc w:val="center"/>
              <w:textAlignment w:val="auto"/>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0.37</w:t>
            </w:r>
          </w:p>
        </w:tc>
        <w:tc>
          <w:tcPr>
            <w:tcW w:w="730" w:type="dxa"/>
            <w:vAlign w:val="center"/>
          </w:tcPr>
          <w:p>
            <w:pPr>
              <w:pStyle w:val="77"/>
              <w:rPr>
                <w:rFonts w:ascii="Times New Roman" w:hAnsi="Times New Roman" w:eastAsia="仿宋_GB2312"/>
                <w:color w:val="000000" w:themeColor="text1"/>
              </w:rPr>
            </w:pPr>
            <w:r>
              <w:rPr>
                <w:rFonts w:hint="eastAsia" w:ascii="Times New Roman" w:hAnsi="Times New Roman" w:eastAsia="仿宋_GB2312"/>
                <w:color w:val="000000" w:themeColor="text1"/>
              </w:rPr>
              <w:t>0.5</w:t>
            </w:r>
          </w:p>
        </w:tc>
        <w:tc>
          <w:tcPr>
            <w:tcW w:w="465" w:type="pct"/>
            <w:vAlign w:val="center"/>
          </w:tcPr>
          <w:p>
            <w:pPr>
              <w:pStyle w:val="77"/>
              <w:rPr>
                <w:rFonts w:hint="default" w:ascii="Times New Roman" w:hAnsi="Times New Roman" w:eastAsia="仿宋_GB2312"/>
                <w:color w:val="000000" w:themeColor="text1"/>
                <w:lang w:val="en-US" w:eastAsia="zh-CN"/>
              </w:rPr>
            </w:pPr>
            <w:r>
              <w:rPr>
                <w:rFonts w:hint="eastAsia" w:ascii="Times New Roman" w:hAnsi="Times New Roman" w:eastAsia="仿宋_GB2312"/>
                <w:color w:val="000000" w:themeColor="text1"/>
                <w:lang w:val="en-US" w:eastAsia="zh-CN"/>
              </w:rPr>
              <w:t>0.74</w:t>
            </w:r>
          </w:p>
        </w:tc>
        <w:tc>
          <w:tcPr>
            <w:tcW w:w="499" w:type="pct"/>
            <w:vAlign w:val="center"/>
          </w:tcPr>
          <w:p>
            <w:pPr>
              <w:widowControl/>
              <w:spacing w:line="240" w:lineRule="auto"/>
              <w:jc w:val="center"/>
              <w:textAlignment w:val="bottom"/>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7.4</w:t>
            </w:r>
          </w:p>
        </w:tc>
        <w:tc>
          <w:tcPr>
            <w:tcW w:w="434" w:type="pct"/>
            <w:vAlign w:val="center"/>
          </w:tcPr>
          <w:p>
            <w:pPr>
              <w:widowControl/>
              <w:spacing w:line="240" w:lineRule="auto"/>
              <w:jc w:val="center"/>
              <w:textAlignment w:val="bottom"/>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230" w:type="pct"/>
            <w:vMerge w:val="continue"/>
            <w:vAlign w:val="center"/>
          </w:tcPr>
          <w:p>
            <w:pPr>
              <w:widowControl/>
              <w:spacing w:line="240" w:lineRule="auto"/>
              <w:jc w:val="center"/>
              <w:rPr>
                <w:rFonts w:eastAsia="仿宋_GB2312"/>
                <w:color w:val="000000" w:themeColor="text1"/>
                <w:sz w:val="21"/>
                <w:szCs w:val="21"/>
                <w:highlight w:val="cyan"/>
              </w:rPr>
            </w:pPr>
          </w:p>
        </w:tc>
        <w:tc>
          <w:tcPr>
            <w:tcW w:w="1079"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绿化区域施工期</w:t>
            </w:r>
          </w:p>
        </w:tc>
        <w:tc>
          <w:tcPr>
            <w:tcW w:w="708" w:type="pct"/>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400</w:t>
            </w:r>
          </w:p>
        </w:tc>
        <w:tc>
          <w:tcPr>
            <w:tcW w:w="659" w:type="pct"/>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3800</w:t>
            </w:r>
          </w:p>
        </w:tc>
        <w:tc>
          <w:tcPr>
            <w:tcW w:w="973" w:type="dxa"/>
            <w:vAlign w:val="center"/>
          </w:tcPr>
          <w:p>
            <w:pPr>
              <w:widowControl/>
              <w:adjustRightInd/>
              <w:spacing w:line="240" w:lineRule="auto"/>
              <w:jc w:val="center"/>
              <w:textAlignment w:val="auto"/>
              <w:rPr>
                <w:rFonts w:hint="default" w:eastAsia="仿宋_GB2312"/>
                <w:color w:val="000000" w:themeColor="text1"/>
                <w:sz w:val="21"/>
                <w:szCs w:val="21"/>
                <w:lang w:val="en-US" w:eastAsia="zh-CN"/>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13</w:t>
            </w:r>
          </w:p>
        </w:tc>
        <w:tc>
          <w:tcPr>
            <w:tcW w:w="730" w:type="dxa"/>
            <w:vAlign w:val="center"/>
          </w:tcPr>
          <w:p>
            <w:pPr>
              <w:pStyle w:val="77"/>
              <w:rPr>
                <w:rFonts w:hint="default" w:ascii="Times New Roman" w:hAnsi="Times New Roman" w:eastAsia="仿宋_GB2312"/>
                <w:color w:val="000000" w:themeColor="text1"/>
                <w:lang w:val="en-US" w:eastAsia="zh-CN"/>
              </w:rPr>
            </w:pPr>
            <w:r>
              <w:rPr>
                <w:rFonts w:hint="eastAsia" w:ascii="Times New Roman" w:hAnsi="Times New Roman" w:eastAsia="仿宋_GB2312"/>
                <w:color w:val="000000" w:themeColor="text1"/>
                <w:lang w:val="en-US" w:eastAsia="zh-CN"/>
              </w:rPr>
              <w:t>0.5</w:t>
            </w:r>
          </w:p>
        </w:tc>
        <w:tc>
          <w:tcPr>
            <w:tcW w:w="465" w:type="pct"/>
            <w:vAlign w:val="center"/>
          </w:tcPr>
          <w:p>
            <w:pPr>
              <w:pStyle w:val="77"/>
              <w:rPr>
                <w:rFonts w:hint="default" w:ascii="Times New Roman" w:hAnsi="Times New Roman" w:eastAsia="仿宋_GB2312"/>
                <w:color w:val="000000" w:themeColor="text1"/>
                <w:lang w:val="en-US" w:eastAsia="zh-CN"/>
              </w:rPr>
            </w:pPr>
            <w:r>
              <w:rPr>
                <w:rFonts w:hint="eastAsia" w:ascii="Times New Roman" w:hAnsi="Times New Roman" w:eastAsia="仿宋_GB2312"/>
                <w:color w:val="000000" w:themeColor="text1"/>
                <w:lang w:val="en-US" w:eastAsia="zh-CN"/>
              </w:rPr>
              <w:t>0.26</w:t>
            </w:r>
          </w:p>
        </w:tc>
        <w:tc>
          <w:tcPr>
            <w:tcW w:w="499" w:type="pct"/>
            <w:vAlign w:val="center"/>
          </w:tcPr>
          <w:p>
            <w:pPr>
              <w:widowControl/>
              <w:spacing w:line="240" w:lineRule="auto"/>
              <w:jc w:val="center"/>
              <w:textAlignment w:val="bottom"/>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2.47</w:t>
            </w:r>
          </w:p>
        </w:tc>
        <w:tc>
          <w:tcPr>
            <w:tcW w:w="434" w:type="pct"/>
            <w:vAlign w:val="center"/>
          </w:tcPr>
          <w:p>
            <w:pPr>
              <w:widowControl/>
              <w:spacing w:line="240" w:lineRule="auto"/>
              <w:jc w:val="center"/>
              <w:textAlignment w:val="bottom"/>
              <w:rPr>
                <w:rFonts w:hint="default" w:eastAsia="仿宋_GB2312"/>
                <w:color w:val="000000" w:themeColor="text1"/>
                <w:sz w:val="21"/>
                <w:szCs w:val="21"/>
                <w:lang w:val="en-US" w:eastAsia="zh-CN"/>
              </w:rPr>
            </w:pPr>
            <w:r>
              <w:rPr>
                <w:rFonts w:hint="eastAsia" w:eastAsia="仿宋_GB2312"/>
                <w:color w:val="000000" w:themeColor="text1"/>
                <w:sz w:val="21"/>
                <w:szCs w:val="21"/>
              </w:rPr>
              <w:t>2</w:t>
            </w:r>
            <w:r>
              <w:rPr>
                <w:rFonts w:hint="eastAsia" w:eastAsia="仿宋_GB2312"/>
                <w:color w:val="000000" w:themeColor="text1"/>
                <w:sz w:val="21"/>
                <w:szCs w:val="21"/>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230" w:type="pct"/>
            <w:vMerge w:val="continue"/>
            <w:vAlign w:val="center"/>
          </w:tcPr>
          <w:p>
            <w:pPr>
              <w:widowControl/>
              <w:spacing w:line="240" w:lineRule="auto"/>
              <w:jc w:val="center"/>
              <w:rPr>
                <w:rFonts w:eastAsia="仿宋_GB2312"/>
                <w:color w:val="000000" w:themeColor="text1"/>
                <w:sz w:val="21"/>
                <w:szCs w:val="21"/>
                <w:highlight w:val="cyan"/>
              </w:rPr>
            </w:pPr>
          </w:p>
        </w:tc>
        <w:tc>
          <w:tcPr>
            <w:tcW w:w="1079" w:type="pct"/>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小计</w:t>
            </w:r>
          </w:p>
        </w:tc>
        <w:tc>
          <w:tcPr>
            <w:tcW w:w="708" w:type="pct"/>
            <w:vAlign w:val="center"/>
          </w:tcPr>
          <w:p>
            <w:pPr>
              <w:widowControl/>
              <w:adjustRightInd/>
              <w:spacing w:line="240" w:lineRule="auto"/>
              <w:jc w:val="center"/>
              <w:textAlignment w:val="auto"/>
              <w:rPr>
                <w:rFonts w:eastAsia="仿宋_GB2312"/>
                <w:color w:val="000000" w:themeColor="text1"/>
                <w:sz w:val="21"/>
                <w:szCs w:val="21"/>
              </w:rPr>
            </w:pPr>
          </w:p>
        </w:tc>
        <w:tc>
          <w:tcPr>
            <w:tcW w:w="659" w:type="pct"/>
            <w:vAlign w:val="center"/>
          </w:tcPr>
          <w:p>
            <w:pPr>
              <w:widowControl/>
              <w:adjustRightInd/>
              <w:spacing w:line="240" w:lineRule="auto"/>
              <w:jc w:val="center"/>
              <w:textAlignment w:val="auto"/>
              <w:rPr>
                <w:rFonts w:eastAsia="仿宋_GB2312"/>
                <w:color w:val="000000" w:themeColor="text1"/>
                <w:sz w:val="21"/>
                <w:szCs w:val="21"/>
              </w:rPr>
            </w:pPr>
          </w:p>
        </w:tc>
        <w:tc>
          <w:tcPr>
            <w:tcW w:w="527" w:type="pct"/>
            <w:vAlign w:val="center"/>
          </w:tcPr>
          <w:p>
            <w:pPr>
              <w:widowControl/>
              <w:adjustRightInd/>
              <w:spacing w:line="240" w:lineRule="auto"/>
              <w:jc w:val="center"/>
              <w:textAlignment w:val="auto"/>
              <w:rPr>
                <w:rFonts w:eastAsia="仿宋_GB2312"/>
                <w:color w:val="000000" w:themeColor="text1"/>
                <w:sz w:val="21"/>
                <w:szCs w:val="21"/>
              </w:rPr>
            </w:pPr>
          </w:p>
        </w:tc>
        <w:tc>
          <w:tcPr>
            <w:tcW w:w="394" w:type="pct"/>
            <w:vAlign w:val="center"/>
          </w:tcPr>
          <w:p>
            <w:pPr>
              <w:pStyle w:val="77"/>
              <w:rPr>
                <w:rFonts w:ascii="Times New Roman" w:hAnsi="Times New Roman" w:eastAsia="仿宋_GB2312"/>
                <w:color w:val="000000" w:themeColor="text1"/>
              </w:rPr>
            </w:pPr>
          </w:p>
        </w:tc>
        <w:tc>
          <w:tcPr>
            <w:tcW w:w="465" w:type="pct"/>
            <w:vAlign w:val="center"/>
          </w:tcPr>
          <w:p>
            <w:pPr>
              <w:pStyle w:val="77"/>
              <w:rPr>
                <w:rFonts w:hint="default" w:ascii="Times New Roman" w:hAnsi="Times New Roman" w:eastAsia="仿宋_GB2312"/>
                <w:color w:val="000000" w:themeColor="text1"/>
                <w:lang w:val="en-US" w:eastAsia="zh-CN"/>
              </w:rPr>
            </w:pPr>
            <w:r>
              <w:rPr>
                <w:rFonts w:hint="eastAsia" w:ascii="Times New Roman" w:hAnsi="Times New Roman" w:eastAsia="仿宋_GB2312"/>
                <w:color w:val="000000" w:themeColor="text1"/>
                <w:lang w:val="en-US" w:eastAsia="zh-CN"/>
              </w:rPr>
              <w:t>7.4</w:t>
            </w:r>
          </w:p>
        </w:tc>
        <w:tc>
          <w:tcPr>
            <w:tcW w:w="499" w:type="pct"/>
            <w:vAlign w:val="center"/>
          </w:tcPr>
          <w:p>
            <w:pPr>
              <w:widowControl/>
              <w:spacing w:line="240" w:lineRule="auto"/>
              <w:jc w:val="center"/>
              <w:textAlignment w:val="bottom"/>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77.07</w:t>
            </w:r>
          </w:p>
        </w:tc>
        <w:tc>
          <w:tcPr>
            <w:tcW w:w="434" w:type="pct"/>
            <w:vAlign w:val="center"/>
          </w:tcPr>
          <w:p>
            <w:pPr>
              <w:widowControl/>
              <w:spacing w:line="240" w:lineRule="auto"/>
              <w:jc w:val="center"/>
              <w:textAlignment w:val="bottom"/>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69.67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0" w:type="pct"/>
            <w:vMerge w:val="continue"/>
            <w:vAlign w:val="center"/>
          </w:tcPr>
          <w:p>
            <w:pPr>
              <w:widowControl/>
              <w:spacing w:line="240" w:lineRule="auto"/>
              <w:jc w:val="center"/>
              <w:rPr>
                <w:rFonts w:eastAsia="仿宋_GB2312"/>
                <w:color w:val="000000" w:themeColor="text1"/>
                <w:sz w:val="21"/>
                <w:szCs w:val="21"/>
                <w:highlight w:val="cyan"/>
              </w:rPr>
            </w:pPr>
          </w:p>
        </w:tc>
        <w:tc>
          <w:tcPr>
            <w:tcW w:w="1079" w:type="pct"/>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自然恢复期第1年</w:t>
            </w:r>
          </w:p>
        </w:tc>
        <w:tc>
          <w:tcPr>
            <w:tcW w:w="708" w:type="pct"/>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400</w:t>
            </w:r>
          </w:p>
        </w:tc>
        <w:tc>
          <w:tcPr>
            <w:tcW w:w="659" w:type="pct"/>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2200</w:t>
            </w:r>
          </w:p>
        </w:tc>
        <w:tc>
          <w:tcPr>
            <w:tcW w:w="527" w:type="pct"/>
            <w:vAlign w:val="center"/>
          </w:tcPr>
          <w:p>
            <w:pPr>
              <w:widowControl/>
              <w:spacing w:line="240" w:lineRule="auto"/>
              <w:jc w:val="center"/>
              <w:rPr>
                <w:rFonts w:eastAsia="仿宋_GB2312"/>
                <w:color w:val="000000" w:themeColor="text1"/>
                <w:sz w:val="21"/>
                <w:szCs w:val="21"/>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13</w:t>
            </w:r>
          </w:p>
        </w:tc>
        <w:tc>
          <w:tcPr>
            <w:tcW w:w="394" w:type="pct"/>
            <w:vAlign w:val="center"/>
          </w:tcPr>
          <w:p>
            <w:pPr>
              <w:widowControl/>
              <w:spacing w:line="240" w:lineRule="auto"/>
              <w:jc w:val="center"/>
              <w:textAlignment w:val="bottom"/>
              <w:rPr>
                <w:rFonts w:eastAsia="仿宋_GB2312"/>
                <w:color w:val="000000" w:themeColor="text1"/>
                <w:sz w:val="21"/>
                <w:szCs w:val="21"/>
              </w:rPr>
            </w:pPr>
            <w:r>
              <w:rPr>
                <w:rFonts w:eastAsia="仿宋_GB2312"/>
                <w:color w:val="000000" w:themeColor="text1"/>
                <w:sz w:val="21"/>
                <w:szCs w:val="21"/>
              </w:rPr>
              <w:t>1.0</w:t>
            </w:r>
          </w:p>
        </w:tc>
        <w:tc>
          <w:tcPr>
            <w:tcW w:w="465" w:type="pct"/>
            <w:vAlign w:val="center"/>
          </w:tcPr>
          <w:p>
            <w:pPr>
              <w:pStyle w:val="77"/>
              <w:rPr>
                <w:rFonts w:hint="default" w:ascii="Times New Roman" w:hAnsi="Times New Roman" w:eastAsia="仿宋_GB2312"/>
                <w:color w:val="000000" w:themeColor="text1"/>
                <w:lang w:val="en-US" w:eastAsia="zh-CN"/>
              </w:rPr>
            </w:pPr>
            <w:r>
              <w:rPr>
                <w:rFonts w:hint="eastAsia" w:ascii="Times New Roman" w:hAnsi="Times New Roman" w:eastAsia="仿宋_GB2312"/>
                <w:color w:val="000000" w:themeColor="text1"/>
                <w:lang w:val="en-US" w:eastAsia="zh-CN"/>
              </w:rPr>
              <w:t>0.52</w:t>
            </w:r>
          </w:p>
        </w:tc>
        <w:tc>
          <w:tcPr>
            <w:tcW w:w="499" w:type="pct"/>
            <w:vAlign w:val="center"/>
          </w:tcPr>
          <w:p>
            <w:pPr>
              <w:widowControl/>
              <w:spacing w:line="240" w:lineRule="auto"/>
              <w:jc w:val="center"/>
              <w:textAlignment w:val="bottom"/>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2.86</w:t>
            </w:r>
          </w:p>
        </w:tc>
        <w:tc>
          <w:tcPr>
            <w:tcW w:w="434" w:type="pct"/>
            <w:vAlign w:val="center"/>
          </w:tcPr>
          <w:p>
            <w:pPr>
              <w:widowControl/>
              <w:spacing w:line="240" w:lineRule="auto"/>
              <w:jc w:val="center"/>
              <w:textAlignment w:val="bottom"/>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0" w:type="pct"/>
            <w:vMerge w:val="continue"/>
            <w:vAlign w:val="center"/>
          </w:tcPr>
          <w:p>
            <w:pPr>
              <w:widowControl/>
              <w:spacing w:line="240" w:lineRule="auto"/>
              <w:jc w:val="center"/>
              <w:rPr>
                <w:rFonts w:eastAsia="仿宋_GB2312"/>
                <w:color w:val="000000" w:themeColor="text1"/>
                <w:sz w:val="21"/>
                <w:szCs w:val="21"/>
                <w:highlight w:val="cyan"/>
              </w:rPr>
            </w:pPr>
          </w:p>
        </w:tc>
        <w:tc>
          <w:tcPr>
            <w:tcW w:w="1079" w:type="pct"/>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自然恢复期第2年</w:t>
            </w:r>
          </w:p>
        </w:tc>
        <w:tc>
          <w:tcPr>
            <w:tcW w:w="708" w:type="pct"/>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400</w:t>
            </w:r>
          </w:p>
        </w:tc>
        <w:tc>
          <w:tcPr>
            <w:tcW w:w="659" w:type="pct"/>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1200</w:t>
            </w:r>
          </w:p>
        </w:tc>
        <w:tc>
          <w:tcPr>
            <w:tcW w:w="527" w:type="pct"/>
            <w:vAlign w:val="center"/>
          </w:tcPr>
          <w:p>
            <w:pPr>
              <w:widowControl/>
              <w:spacing w:line="240" w:lineRule="auto"/>
              <w:jc w:val="center"/>
              <w:textAlignment w:val="bottom"/>
              <w:rPr>
                <w:rFonts w:eastAsia="仿宋_GB2312"/>
                <w:color w:val="000000" w:themeColor="text1"/>
                <w:sz w:val="21"/>
                <w:szCs w:val="21"/>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13</w:t>
            </w:r>
          </w:p>
        </w:tc>
        <w:tc>
          <w:tcPr>
            <w:tcW w:w="394" w:type="pct"/>
            <w:vAlign w:val="center"/>
          </w:tcPr>
          <w:p>
            <w:pPr>
              <w:widowControl/>
              <w:spacing w:line="240" w:lineRule="auto"/>
              <w:jc w:val="center"/>
              <w:textAlignment w:val="bottom"/>
              <w:rPr>
                <w:rFonts w:eastAsia="仿宋_GB2312"/>
                <w:color w:val="000000" w:themeColor="text1"/>
                <w:sz w:val="21"/>
                <w:szCs w:val="21"/>
              </w:rPr>
            </w:pPr>
            <w:r>
              <w:rPr>
                <w:rFonts w:eastAsia="仿宋_GB2312"/>
                <w:color w:val="000000" w:themeColor="text1"/>
                <w:sz w:val="21"/>
                <w:szCs w:val="21"/>
              </w:rPr>
              <w:t>1.0</w:t>
            </w:r>
          </w:p>
        </w:tc>
        <w:tc>
          <w:tcPr>
            <w:tcW w:w="465" w:type="pct"/>
            <w:vAlign w:val="center"/>
          </w:tcPr>
          <w:p>
            <w:pPr>
              <w:pStyle w:val="77"/>
              <w:rPr>
                <w:rFonts w:hint="default" w:ascii="Times New Roman" w:hAnsi="Times New Roman" w:eastAsia="仿宋_GB2312"/>
                <w:color w:val="000000" w:themeColor="text1"/>
                <w:lang w:val="en-US" w:eastAsia="zh-CN"/>
              </w:rPr>
            </w:pPr>
            <w:r>
              <w:rPr>
                <w:rFonts w:hint="eastAsia" w:ascii="Times New Roman" w:hAnsi="Times New Roman" w:eastAsia="仿宋_GB2312"/>
                <w:color w:val="000000" w:themeColor="text1"/>
                <w:lang w:val="en-US" w:eastAsia="zh-CN"/>
              </w:rPr>
              <w:t>0.52</w:t>
            </w:r>
          </w:p>
        </w:tc>
        <w:tc>
          <w:tcPr>
            <w:tcW w:w="499" w:type="pct"/>
            <w:vAlign w:val="center"/>
          </w:tcPr>
          <w:p>
            <w:pPr>
              <w:widowControl/>
              <w:spacing w:line="240" w:lineRule="auto"/>
              <w:jc w:val="center"/>
              <w:textAlignment w:val="bottom"/>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1.56</w:t>
            </w:r>
          </w:p>
        </w:tc>
        <w:tc>
          <w:tcPr>
            <w:tcW w:w="434" w:type="pct"/>
            <w:vAlign w:val="center"/>
          </w:tcPr>
          <w:p>
            <w:pPr>
              <w:widowControl/>
              <w:spacing w:line="240" w:lineRule="auto"/>
              <w:jc w:val="center"/>
              <w:textAlignment w:val="bottom"/>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230" w:type="pct"/>
            <w:vMerge w:val="continue"/>
            <w:vAlign w:val="center"/>
          </w:tcPr>
          <w:p>
            <w:pPr>
              <w:widowControl/>
              <w:spacing w:line="240" w:lineRule="auto"/>
              <w:jc w:val="center"/>
              <w:rPr>
                <w:rFonts w:eastAsia="仿宋_GB2312"/>
                <w:color w:val="000000" w:themeColor="text1"/>
                <w:sz w:val="21"/>
                <w:szCs w:val="21"/>
                <w:highlight w:val="cyan"/>
              </w:rPr>
            </w:pPr>
          </w:p>
        </w:tc>
        <w:tc>
          <w:tcPr>
            <w:tcW w:w="1079" w:type="pct"/>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自然恢复期第3年</w:t>
            </w:r>
          </w:p>
        </w:tc>
        <w:tc>
          <w:tcPr>
            <w:tcW w:w="708" w:type="pct"/>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400</w:t>
            </w:r>
          </w:p>
        </w:tc>
        <w:tc>
          <w:tcPr>
            <w:tcW w:w="659" w:type="pct"/>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500</w:t>
            </w:r>
          </w:p>
        </w:tc>
        <w:tc>
          <w:tcPr>
            <w:tcW w:w="527" w:type="pct"/>
            <w:vAlign w:val="center"/>
          </w:tcPr>
          <w:p>
            <w:pPr>
              <w:widowControl/>
              <w:spacing w:line="240" w:lineRule="auto"/>
              <w:jc w:val="center"/>
              <w:textAlignment w:val="bottom"/>
              <w:rPr>
                <w:rFonts w:eastAsia="仿宋_GB2312"/>
                <w:color w:val="000000" w:themeColor="text1"/>
                <w:sz w:val="21"/>
                <w:szCs w:val="21"/>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13</w:t>
            </w:r>
          </w:p>
        </w:tc>
        <w:tc>
          <w:tcPr>
            <w:tcW w:w="394" w:type="pct"/>
            <w:vAlign w:val="center"/>
          </w:tcPr>
          <w:p>
            <w:pPr>
              <w:widowControl/>
              <w:spacing w:line="240" w:lineRule="auto"/>
              <w:jc w:val="center"/>
              <w:textAlignment w:val="bottom"/>
              <w:rPr>
                <w:rFonts w:eastAsia="仿宋_GB2312"/>
                <w:color w:val="000000" w:themeColor="text1"/>
                <w:sz w:val="21"/>
                <w:szCs w:val="21"/>
              </w:rPr>
            </w:pPr>
            <w:r>
              <w:rPr>
                <w:rFonts w:eastAsia="仿宋_GB2312"/>
                <w:color w:val="000000" w:themeColor="text1"/>
                <w:sz w:val="21"/>
                <w:szCs w:val="21"/>
              </w:rPr>
              <w:t>1.0</w:t>
            </w:r>
          </w:p>
        </w:tc>
        <w:tc>
          <w:tcPr>
            <w:tcW w:w="465" w:type="pct"/>
            <w:vAlign w:val="center"/>
          </w:tcPr>
          <w:p>
            <w:pPr>
              <w:pStyle w:val="77"/>
              <w:rPr>
                <w:rFonts w:hint="default" w:ascii="Times New Roman" w:hAnsi="Times New Roman" w:eastAsia="仿宋_GB2312"/>
                <w:color w:val="000000" w:themeColor="text1"/>
                <w:lang w:val="en-US" w:eastAsia="zh-CN"/>
              </w:rPr>
            </w:pPr>
            <w:r>
              <w:rPr>
                <w:rFonts w:hint="eastAsia" w:ascii="Times New Roman" w:hAnsi="Times New Roman" w:eastAsia="仿宋_GB2312"/>
                <w:color w:val="000000" w:themeColor="text1"/>
                <w:lang w:val="en-US" w:eastAsia="zh-CN"/>
              </w:rPr>
              <w:t>0.52</w:t>
            </w:r>
          </w:p>
        </w:tc>
        <w:tc>
          <w:tcPr>
            <w:tcW w:w="499" w:type="pct"/>
            <w:vAlign w:val="center"/>
          </w:tcPr>
          <w:p>
            <w:pPr>
              <w:widowControl/>
              <w:spacing w:line="240" w:lineRule="auto"/>
              <w:jc w:val="center"/>
              <w:textAlignment w:val="bottom"/>
              <w:rPr>
                <w:rFonts w:eastAsia="仿宋_GB2312"/>
                <w:color w:val="000000" w:themeColor="text1"/>
                <w:sz w:val="21"/>
                <w:szCs w:val="21"/>
              </w:rPr>
            </w:pPr>
            <w:r>
              <w:rPr>
                <w:rFonts w:hint="eastAsia" w:eastAsia="仿宋_GB2312"/>
                <w:color w:val="000000" w:themeColor="text1"/>
                <w:sz w:val="21"/>
                <w:szCs w:val="21"/>
              </w:rPr>
              <w:t>3.05</w:t>
            </w:r>
          </w:p>
        </w:tc>
        <w:tc>
          <w:tcPr>
            <w:tcW w:w="434" w:type="pct"/>
            <w:vAlign w:val="center"/>
          </w:tcPr>
          <w:p>
            <w:pPr>
              <w:widowControl/>
              <w:spacing w:line="240" w:lineRule="auto"/>
              <w:jc w:val="center"/>
              <w:textAlignment w:val="bottom"/>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230" w:type="pct"/>
            <w:vMerge w:val="continue"/>
            <w:vAlign w:val="center"/>
          </w:tcPr>
          <w:p>
            <w:pPr>
              <w:widowControl/>
              <w:spacing w:line="240" w:lineRule="auto"/>
              <w:jc w:val="center"/>
              <w:rPr>
                <w:rFonts w:eastAsia="仿宋_GB2312"/>
                <w:color w:val="000000" w:themeColor="text1"/>
                <w:sz w:val="21"/>
                <w:szCs w:val="21"/>
                <w:highlight w:val="cyan"/>
              </w:rPr>
            </w:pPr>
          </w:p>
        </w:tc>
        <w:tc>
          <w:tcPr>
            <w:tcW w:w="1079" w:type="pct"/>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小计</w:t>
            </w:r>
          </w:p>
        </w:tc>
        <w:tc>
          <w:tcPr>
            <w:tcW w:w="708" w:type="pct"/>
            <w:vAlign w:val="center"/>
          </w:tcPr>
          <w:p>
            <w:pPr>
              <w:widowControl/>
              <w:spacing w:line="240" w:lineRule="auto"/>
              <w:jc w:val="center"/>
              <w:textAlignment w:val="bottom"/>
              <w:rPr>
                <w:rFonts w:eastAsia="仿宋_GB2312"/>
                <w:color w:val="000000" w:themeColor="text1"/>
                <w:sz w:val="21"/>
                <w:szCs w:val="21"/>
              </w:rPr>
            </w:pPr>
          </w:p>
        </w:tc>
        <w:tc>
          <w:tcPr>
            <w:tcW w:w="659" w:type="pct"/>
            <w:vAlign w:val="center"/>
          </w:tcPr>
          <w:p>
            <w:pPr>
              <w:widowControl/>
              <w:spacing w:line="240" w:lineRule="auto"/>
              <w:jc w:val="center"/>
              <w:textAlignment w:val="bottom"/>
              <w:rPr>
                <w:rFonts w:eastAsia="仿宋_GB2312"/>
                <w:color w:val="000000" w:themeColor="text1"/>
                <w:sz w:val="21"/>
                <w:szCs w:val="21"/>
              </w:rPr>
            </w:pPr>
          </w:p>
        </w:tc>
        <w:tc>
          <w:tcPr>
            <w:tcW w:w="527" w:type="pct"/>
            <w:vAlign w:val="center"/>
          </w:tcPr>
          <w:p>
            <w:pPr>
              <w:widowControl/>
              <w:spacing w:line="240" w:lineRule="auto"/>
              <w:jc w:val="center"/>
              <w:textAlignment w:val="bottom"/>
              <w:rPr>
                <w:rFonts w:eastAsia="仿宋_GB2312"/>
                <w:color w:val="000000" w:themeColor="text1"/>
                <w:sz w:val="21"/>
                <w:szCs w:val="21"/>
              </w:rPr>
            </w:pPr>
          </w:p>
        </w:tc>
        <w:tc>
          <w:tcPr>
            <w:tcW w:w="394" w:type="pct"/>
            <w:vAlign w:val="center"/>
          </w:tcPr>
          <w:p>
            <w:pPr>
              <w:widowControl/>
              <w:spacing w:line="240" w:lineRule="auto"/>
              <w:jc w:val="center"/>
              <w:textAlignment w:val="bottom"/>
              <w:rPr>
                <w:rFonts w:eastAsia="仿宋_GB2312"/>
                <w:color w:val="000000" w:themeColor="text1"/>
                <w:sz w:val="21"/>
                <w:szCs w:val="21"/>
              </w:rPr>
            </w:pPr>
          </w:p>
        </w:tc>
        <w:tc>
          <w:tcPr>
            <w:tcW w:w="465" w:type="pct"/>
            <w:vAlign w:val="center"/>
          </w:tcPr>
          <w:p>
            <w:pPr>
              <w:widowControl/>
              <w:spacing w:line="240" w:lineRule="auto"/>
              <w:jc w:val="center"/>
              <w:textAlignment w:val="bottom"/>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1.56</w:t>
            </w:r>
          </w:p>
        </w:tc>
        <w:tc>
          <w:tcPr>
            <w:tcW w:w="499" w:type="pct"/>
            <w:vAlign w:val="center"/>
          </w:tcPr>
          <w:p>
            <w:pPr>
              <w:widowControl/>
              <w:spacing w:line="240" w:lineRule="auto"/>
              <w:jc w:val="center"/>
              <w:textAlignment w:val="bottom"/>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7.47</w:t>
            </w:r>
          </w:p>
        </w:tc>
        <w:tc>
          <w:tcPr>
            <w:tcW w:w="434" w:type="pct"/>
            <w:vAlign w:val="center"/>
          </w:tcPr>
          <w:p>
            <w:pPr>
              <w:widowControl/>
              <w:spacing w:line="240" w:lineRule="auto"/>
              <w:jc w:val="center"/>
              <w:textAlignment w:val="bottom"/>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30" w:type="pct"/>
            <w:vAlign w:val="center"/>
          </w:tcPr>
          <w:p>
            <w:pPr>
              <w:widowControl/>
              <w:spacing w:line="240" w:lineRule="auto"/>
              <w:jc w:val="center"/>
              <w:rPr>
                <w:rFonts w:eastAsia="仿宋_GB2312"/>
                <w:color w:val="000000" w:themeColor="text1"/>
                <w:sz w:val="21"/>
                <w:szCs w:val="21"/>
                <w:highlight w:val="cyan"/>
              </w:rPr>
            </w:pPr>
          </w:p>
        </w:tc>
        <w:tc>
          <w:tcPr>
            <w:tcW w:w="1079" w:type="pct"/>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合计</w:t>
            </w:r>
          </w:p>
        </w:tc>
        <w:tc>
          <w:tcPr>
            <w:tcW w:w="708" w:type="pct"/>
            <w:vAlign w:val="center"/>
          </w:tcPr>
          <w:p>
            <w:pPr>
              <w:widowControl/>
              <w:spacing w:line="240" w:lineRule="auto"/>
              <w:jc w:val="center"/>
              <w:textAlignment w:val="bottom"/>
              <w:rPr>
                <w:rFonts w:eastAsia="仿宋_GB2312"/>
                <w:color w:val="000000" w:themeColor="text1"/>
                <w:sz w:val="21"/>
                <w:szCs w:val="21"/>
              </w:rPr>
            </w:pPr>
          </w:p>
        </w:tc>
        <w:tc>
          <w:tcPr>
            <w:tcW w:w="659" w:type="pct"/>
            <w:vAlign w:val="center"/>
          </w:tcPr>
          <w:p>
            <w:pPr>
              <w:spacing w:line="240" w:lineRule="auto"/>
              <w:jc w:val="center"/>
              <w:rPr>
                <w:rFonts w:eastAsia="仿宋_GB2312"/>
                <w:color w:val="000000" w:themeColor="text1"/>
                <w:sz w:val="21"/>
                <w:szCs w:val="21"/>
              </w:rPr>
            </w:pPr>
          </w:p>
        </w:tc>
        <w:tc>
          <w:tcPr>
            <w:tcW w:w="527" w:type="pct"/>
            <w:vAlign w:val="center"/>
          </w:tcPr>
          <w:p>
            <w:pPr>
              <w:spacing w:line="240" w:lineRule="auto"/>
              <w:jc w:val="center"/>
              <w:rPr>
                <w:rFonts w:eastAsia="仿宋_GB2312"/>
                <w:color w:val="000000" w:themeColor="text1"/>
                <w:sz w:val="21"/>
                <w:szCs w:val="21"/>
              </w:rPr>
            </w:pPr>
          </w:p>
        </w:tc>
        <w:tc>
          <w:tcPr>
            <w:tcW w:w="394" w:type="pct"/>
            <w:vAlign w:val="center"/>
          </w:tcPr>
          <w:p>
            <w:pPr>
              <w:spacing w:line="240" w:lineRule="auto"/>
              <w:jc w:val="center"/>
              <w:rPr>
                <w:rFonts w:eastAsia="仿宋_GB2312"/>
                <w:color w:val="000000" w:themeColor="text1"/>
                <w:sz w:val="21"/>
                <w:szCs w:val="21"/>
              </w:rPr>
            </w:pPr>
          </w:p>
        </w:tc>
        <w:tc>
          <w:tcPr>
            <w:tcW w:w="465" w:type="pct"/>
            <w:vAlign w:val="center"/>
          </w:tcPr>
          <w:p>
            <w:pPr>
              <w:widowControl/>
              <w:spacing w:line="240" w:lineRule="auto"/>
              <w:jc w:val="center"/>
              <w:textAlignment w:val="bottom"/>
              <w:rPr>
                <w:rFonts w:hint="default" w:eastAsia="仿宋_GB2312"/>
                <w:color w:val="000000" w:themeColor="text1"/>
                <w:sz w:val="21"/>
                <w:szCs w:val="21"/>
                <w:highlight w:val="red"/>
                <w:lang w:val="en-US" w:eastAsia="zh-CN"/>
              </w:rPr>
            </w:pPr>
            <w:r>
              <w:rPr>
                <w:rFonts w:hint="eastAsia" w:eastAsia="仿宋_GB2312"/>
                <w:color w:val="000000" w:themeColor="text1"/>
                <w:sz w:val="21"/>
                <w:szCs w:val="21"/>
                <w:highlight w:val="none"/>
                <w:lang w:val="en-US" w:eastAsia="zh-CN"/>
              </w:rPr>
              <w:t>8.96</w:t>
            </w:r>
          </w:p>
        </w:tc>
        <w:tc>
          <w:tcPr>
            <w:tcW w:w="499" w:type="pct"/>
            <w:vAlign w:val="center"/>
          </w:tcPr>
          <w:p>
            <w:pPr>
              <w:widowControl/>
              <w:spacing w:line="240" w:lineRule="auto"/>
              <w:jc w:val="center"/>
              <w:textAlignment w:val="bottom"/>
              <w:rPr>
                <w:rFonts w:hint="eastAsia" w:eastAsia="仿宋_GB2312"/>
                <w:color w:val="000000" w:themeColor="text1"/>
                <w:sz w:val="21"/>
                <w:szCs w:val="21"/>
                <w:highlight w:val="red"/>
                <w:lang w:eastAsia="zh-CN"/>
              </w:rPr>
            </w:pPr>
            <w:r>
              <w:rPr>
                <w:rFonts w:hint="eastAsia" w:eastAsia="仿宋_GB2312"/>
                <w:color w:val="000000" w:themeColor="text1"/>
                <w:sz w:val="21"/>
                <w:szCs w:val="21"/>
                <w:highlight w:val="none"/>
                <w:lang w:val="en-US" w:eastAsia="zh-CN"/>
              </w:rPr>
              <w:t>84.5</w:t>
            </w:r>
            <w:r>
              <w:rPr>
                <w:rFonts w:hint="eastAsia" w:eastAsia="仿宋_GB2312"/>
                <w:color w:val="000000" w:themeColor="text1"/>
                <w:sz w:val="21"/>
                <w:szCs w:val="21"/>
                <w:highlight w:val="none"/>
                <w:lang w:eastAsia="zh-CN"/>
              </w:rPr>
              <w:t>4</w:t>
            </w:r>
          </w:p>
        </w:tc>
        <w:tc>
          <w:tcPr>
            <w:tcW w:w="434" w:type="pct"/>
            <w:vAlign w:val="center"/>
          </w:tcPr>
          <w:p>
            <w:pPr>
              <w:widowControl/>
              <w:spacing w:line="240" w:lineRule="auto"/>
              <w:jc w:val="center"/>
              <w:textAlignment w:val="bottom"/>
              <w:rPr>
                <w:rFonts w:hint="eastAsia" w:eastAsia="仿宋_GB2312"/>
                <w:color w:val="000000" w:themeColor="text1"/>
                <w:sz w:val="21"/>
                <w:szCs w:val="21"/>
                <w:highlight w:val="red"/>
                <w:lang w:eastAsia="zh-CN"/>
              </w:rPr>
            </w:pPr>
            <w:r>
              <w:rPr>
                <w:rFonts w:hint="eastAsia" w:eastAsia="仿宋_GB2312"/>
                <w:color w:val="000000" w:themeColor="text1"/>
                <w:sz w:val="21"/>
                <w:szCs w:val="21"/>
                <w:highlight w:val="none"/>
                <w:lang w:eastAsia="zh-CN"/>
              </w:rPr>
              <w:t>75.58</w:t>
            </w:r>
          </w:p>
        </w:tc>
      </w:tr>
    </w:tbl>
    <w:p>
      <w:pPr>
        <w:spacing w:line="360" w:lineRule="auto"/>
        <w:ind w:firstLine="480" w:firstLineChars="200"/>
        <w:rPr>
          <w:rFonts w:eastAsia="仿宋_GB2312"/>
          <w:color w:val="000000" w:themeColor="text1"/>
          <w:highlight w:val="cyan"/>
        </w:rPr>
      </w:pPr>
      <w:r>
        <w:rPr>
          <w:rFonts w:eastAsia="仿宋_GB2312"/>
          <w:color w:val="000000" w:themeColor="text1"/>
          <w:szCs w:val="24"/>
        </w:rPr>
        <w:t>经计算</w:t>
      </w:r>
      <w:r>
        <w:rPr>
          <w:rFonts w:hint="eastAsia" w:eastAsia="仿宋_GB2312"/>
          <w:color w:val="000000" w:themeColor="text1"/>
          <w:szCs w:val="24"/>
        </w:rPr>
        <w:t>预测</w:t>
      </w:r>
      <w:r>
        <w:rPr>
          <w:rFonts w:eastAsia="仿宋_GB2312"/>
          <w:color w:val="000000" w:themeColor="text1"/>
          <w:szCs w:val="24"/>
        </w:rPr>
        <w:t>，本项目建设过程中共可能产生土壤流失量</w:t>
      </w:r>
      <w:r>
        <w:rPr>
          <w:rFonts w:hint="eastAsia" w:eastAsia="仿宋_GB2312"/>
          <w:color w:val="000000" w:themeColor="text1"/>
          <w:szCs w:val="24"/>
          <w:lang w:eastAsia="zh-CN"/>
        </w:rPr>
        <w:t>84.54</w:t>
      </w:r>
      <w:r>
        <w:rPr>
          <w:rFonts w:eastAsia="仿宋_GB2312"/>
          <w:color w:val="000000" w:themeColor="text1"/>
          <w:szCs w:val="24"/>
        </w:rPr>
        <w:t>t，新增水土流失</w:t>
      </w:r>
      <w:r>
        <w:rPr>
          <w:rFonts w:hint="eastAsia" w:eastAsia="仿宋_GB2312"/>
          <w:color w:val="000000" w:themeColor="text1"/>
          <w:szCs w:val="24"/>
          <w:lang w:eastAsia="zh-CN"/>
        </w:rPr>
        <w:t>75.58</w:t>
      </w:r>
      <w:r>
        <w:rPr>
          <w:rFonts w:eastAsia="仿宋_GB2312"/>
          <w:color w:val="000000" w:themeColor="text1"/>
          <w:szCs w:val="24"/>
        </w:rPr>
        <w:t>t，其中施工期新增水土流失总量</w:t>
      </w:r>
      <w:r>
        <w:rPr>
          <w:rFonts w:hint="eastAsia" w:eastAsia="仿宋_GB2312"/>
          <w:color w:val="000000" w:themeColor="text1"/>
          <w:szCs w:val="24"/>
          <w:lang w:eastAsia="zh-CN"/>
        </w:rPr>
        <w:t>69.67</w:t>
      </w:r>
      <w:r>
        <w:rPr>
          <w:rFonts w:eastAsia="仿宋_GB2312"/>
          <w:color w:val="000000" w:themeColor="text1"/>
          <w:szCs w:val="24"/>
        </w:rPr>
        <w:t>t、自然恢复期新增水土流失量</w:t>
      </w:r>
      <w:r>
        <w:rPr>
          <w:rFonts w:hint="eastAsia" w:eastAsia="仿宋_GB2312"/>
          <w:color w:val="000000" w:themeColor="text1"/>
          <w:szCs w:val="24"/>
          <w:lang w:eastAsia="zh-CN"/>
        </w:rPr>
        <w:t>5.91</w:t>
      </w:r>
      <w:r>
        <w:rPr>
          <w:rFonts w:eastAsia="仿宋_GB2312"/>
          <w:color w:val="000000" w:themeColor="text1"/>
          <w:szCs w:val="24"/>
        </w:rPr>
        <w:t>t。</w:t>
      </w:r>
    </w:p>
    <w:p>
      <w:pPr>
        <w:pStyle w:val="4"/>
        <w:spacing w:before="0" w:after="0" w:line="360" w:lineRule="auto"/>
        <w:rPr>
          <w:rFonts w:ascii="Times New Roman" w:hAnsi="Times New Roman" w:eastAsia="仿宋_GB2312"/>
          <w:color w:val="000000" w:themeColor="text1"/>
          <w:sz w:val="24"/>
          <w:szCs w:val="24"/>
        </w:rPr>
      </w:pPr>
      <w:bookmarkStart w:id="39" w:name="_Toc31653"/>
      <w:r>
        <w:rPr>
          <w:rFonts w:ascii="Times New Roman" w:hAnsi="Times New Roman" w:eastAsia="仿宋_GB2312"/>
          <w:color w:val="000000" w:themeColor="text1"/>
          <w:sz w:val="28"/>
          <w:szCs w:val="28"/>
        </w:rPr>
        <w:t>4.4水土流失危害分析</w:t>
      </w:r>
      <w:bookmarkEnd w:id="39"/>
    </w:p>
    <w:p>
      <w:pPr>
        <w:spacing w:line="360" w:lineRule="auto"/>
        <w:ind w:firstLine="480" w:firstLineChars="200"/>
        <w:jc w:val="both"/>
        <w:rPr>
          <w:rFonts w:eastAsia="仿宋_GB2312"/>
          <w:color w:val="000000" w:themeColor="text1"/>
        </w:rPr>
      </w:pPr>
      <w:r>
        <w:rPr>
          <w:rFonts w:eastAsia="仿宋_GB2312"/>
          <w:color w:val="000000" w:themeColor="text1"/>
        </w:rPr>
        <w:t>工程建设造成的水土流失主要表现在场地平整、基础开挖等人为活动改变了原地貌，破坏了表层土壤结构，加剧了项目区水土流失。根据项目区地形地貌、气象条件和施工建设特点，工程建设不会引发泥石流、滑坡等地质灾害。但必然加剧项目区水土流失，如不采取必要的水土流失防治措施，可能造成以下几方面的危害：</w:t>
      </w:r>
    </w:p>
    <w:p>
      <w:pPr>
        <w:spacing w:line="360" w:lineRule="auto"/>
        <w:ind w:firstLine="480" w:firstLineChars="200"/>
        <w:jc w:val="both"/>
        <w:rPr>
          <w:rFonts w:eastAsia="仿宋_GB2312"/>
          <w:color w:val="000000" w:themeColor="text1"/>
        </w:rPr>
      </w:pPr>
      <w:r>
        <w:rPr>
          <w:rFonts w:hint="eastAsia" w:eastAsia="仿宋_GB2312"/>
          <w:color w:val="000000" w:themeColor="text1"/>
        </w:rPr>
        <w:t>（1）</w:t>
      </w:r>
      <w:r>
        <w:rPr>
          <w:rFonts w:eastAsia="仿宋_GB2312"/>
          <w:color w:val="000000" w:themeColor="text1"/>
        </w:rPr>
        <w:t>现状水土流失危害</w:t>
      </w:r>
    </w:p>
    <w:p>
      <w:pPr>
        <w:spacing w:line="360" w:lineRule="auto"/>
        <w:ind w:firstLine="480" w:firstLineChars="200"/>
        <w:jc w:val="both"/>
        <w:rPr>
          <w:rFonts w:eastAsia="仿宋_GB2312"/>
          <w:color w:val="000000" w:themeColor="text1"/>
        </w:rPr>
      </w:pPr>
      <w:r>
        <w:rPr>
          <w:rFonts w:eastAsia="仿宋_GB2312"/>
          <w:color w:val="000000" w:themeColor="text1"/>
        </w:rPr>
        <w:t>本项目</w:t>
      </w:r>
      <w:r>
        <w:rPr>
          <w:rFonts w:hint="eastAsia" w:eastAsia="仿宋_GB2312"/>
          <w:color w:val="000000" w:themeColor="text1"/>
          <w:lang w:val="en-US" w:eastAsia="zh-CN"/>
        </w:rPr>
        <w:t>已</w:t>
      </w:r>
      <w:r>
        <w:rPr>
          <w:rFonts w:eastAsia="仿宋_GB2312"/>
          <w:color w:val="000000" w:themeColor="text1"/>
        </w:rPr>
        <w:t>于202</w:t>
      </w:r>
      <w:r>
        <w:rPr>
          <w:rFonts w:hint="eastAsia" w:eastAsia="仿宋_GB2312"/>
          <w:color w:val="000000" w:themeColor="text1"/>
          <w:lang w:val="en-US" w:eastAsia="zh-CN"/>
        </w:rPr>
        <w:t>1</w:t>
      </w:r>
      <w:r>
        <w:rPr>
          <w:rFonts w:eastAsia="仿宋_GB2312"/>
          <w:color w:val="000000" w:themeColor="text1"/>
        </w:rPr>
        <w:t>年</w:t>
      </w:r>
      <w:r>
        <w:rPr>
          <w:rFonts w:hint="eastAsia" w:eastAsia="仿宋_GB2312"/>
          <w:color w:val="000000" w:themeColor="text1"/>
          <w:lang w:val="en-US" w:eastAsia="zh-CN"/>
        </w:rPr>
        <w:t>9</w:t>
      </w:r>
      <w:r>
        <w:rPr>
          <w:rFonts w:eastAsia="仿宋_GB2312"/>
          <w:color w:val="000000" w:themeColor="text1"/>
        </w:rPr>
        <w:t>月开工，经现场调查，截至目前，本项目</w:t>
      </w:r>
      <w:r>
        <w:rPr>
          <w:rFonts w:hint="eastAsia" w:eastAsia="仿宋_GB2312"/>
          <w:color w:val="000000" w:themeColor="text1"/>
        </w:rPr>
        <w:t>暂</w:t>
      </w:r>
      <w:r>
        <w:rPr>
          <w:rFonts w:eastAsia="仿宋_GB2312"/>
          <w:color w:val="000000" w:themeColor="text1"/>
        </w:rPr>
        <w:t>无重大水土流失危害。</w:t>
      </w:r>
    </w:p>
    <w:p>
      <w:pPr>
        <w:spacing w:line="360" w:lineRule="auto"/>
        <w:ind w:firstLine="480" w:firstLineChars="200"/>
        <w:jc w:val="both"/>
        <w:rPr>
          <w:rFonts w:eastAsia="仿宋_GB2312"/>
          <w:color w:val="000000" w:themeColor="text1"/>
        </w:rPr>
      </w:pPr>
      <w:r>
        <w:rPr>
          <w:rFonts w:eastAsia="仿宋_GB2312"/>
          <w:color w:val="000000" w:themeColor="text1"/>
        </w:rPr>
        <w:t>（</w:t>
      </w:r>
      <w:r>
        <w:rPr>
          <w:rFonts w:hint="eastAsia" w:eastAsia="仿宋_GB2312"/>
          <w:color w:val="000000" w:themeColor="text1"/>
        </w:rPr>
        <w:t>2</w:t>
      </w:r>
      <w:r>
        <w:rPr>
          <w:rFonts w:eastAsia="仿宋_GB2312"/>
          <w:color w:val="000000" w:themeColor="text1"/>
        </w:rPr>
        <w:t>）对当地的水土流失危害</w:t>
      </w:r>
    </w:p>
    <w:p>
      <w:pPr>
        <w:spacing w:line="360" w:lineRule="auto"/>
        <w:ind w:firstLine="480" w:firstLineChars="200"/>
        <w:jc w:val="both"/>
        <w:rPr>
          <w:rFonts w:eastAsia="仿宋_GB2312"/>
          <w:color w:val="000000" w:themeColor="text1"/>
        </w:rPr>
      </w:pPr>
      <w:r>
        <w:rPr>
          <w:rFonts w:eastAsia="仿宋_GB2312"/>
          <w:color w:val="000000" w:themeColor="text1"/>
        </w:rPr>
        <w:t>本工程建设扰动地表面积共计</w:t>
      </w:r>
      <w:r>
        <w:rPr>
          <w:rFonts w:hint="eastAsia" w:eastAsia="仿宋_GB2312"/>
          <w:color w:val="000000" w:themeColor="text1"/>
          <w:lang w:val="en-US" w:eastAsia="zh-CN"/>
        </w:rPr>
        <w:t>1.30</w:t>
      </w:r>
      <w:r>
        <w:rPr>
          <w:rFonts w:eastAsia="仿宋_GB2312"/>
          <w:color w:val="000000" w:themeColor="text1"/>
        </w:rPr>
        <w:t>hm</w:t>
      </w:r>
      <w:r>
        <w:rPr>
          <w:rFonts w:eastAsia="仿宋_GB2312"/>
          <w:color w:val="000000" w:themeColor="text1"/>
          <w:vertAlign w:val="superscript"/>
        </w:rPr>
        <w:t>2</w:t>
      </w:r>
      <w:r>
        <w:rPr>
          <w:rFonts w:eastAsia="仿宋_GB2312"/>
          <w:color w:val="000000" w:themeColor="text1"/>
        </w:rPr>
        <w:t>，建设初期地表结构破坏，造成地表裸露土质疏松，必然加剧项目区水土流失，造成局部的生态环境恶化。</w:t>
      </w:r>
    </w:p>
    <w:p>
      <w:pPr>
        <w:spacing w:line="360" w:lineRule="auto"/>
        <w:ind w:firstLine="480" w:firstLineChars="200"/>
        <w:jc w:val="both"/>
        <w:rPr>
          <w:rFonts w:eastAsia="仿宋_GB2312"/>
          <w:color w:val="000000" w:themeColor="text1"/>
          <w:highlight w:val="cyan"/>
        </w:rPr>
      </w:pPr>
      <w:r>
        <w:rPr>
          <w:rFonts w:eastAsia="仿宋_GB2312"/>
          <w:color w:val="000000" w:themeColor="text1"/>
        </w:rPr>
        <w:t>（</w:t>
      </w:r>
      <w:r>
        <w:rPr>
          <w:rFonts w:hint="eastAsia" w:eastAsia="仿宋_GB2312"/>
          <w:color w:val="000000" w:themeColor="text1"/>
        </w:rPr>
        <w:t>3</w:t>
      </w:r>
      <w:r>
        <w:rPr>
          <w:rFonts w:eastAsia="仿宋_GB2312"/>
          <w:color w:val="000000" w:themeColor="text1"/>
        </w:rPr>
        <w:t>）对周边的水土流失危害</w:t>
      </w:r>
    </w:p>
    <w:p>
      <w:pPr>
        <w:spacing w:line="360" w:lineRule="auto"/>
        <w:ind w:firstLine="480" w:firstLineChars="200"/>
        <w:jc w:val="both"/>
        <w:rPr>
          <w:rFonts w:eastAsia="仿宋_GB2312"/>
          <w:color w:val="000000" w:themeColor="text1"/>
        </w:rPr>
      </w:pPr>
      <w:r>
        <w:rPr>
          <w:rFonts w:eastAsia="仿宋_GB2312"/>
          <w:color w:val="000000" w:themeColor="text1"/>
        </w:rPr>
        <w:t>本工程建设期间，地表裸露，如不采取水土保持措施，遇大风天气极易形成扬尘，影响当地空气质量；施工期间临时堆土易产生水土流失，降雨产流后加剧城市排洪系统的负担，容易引发城市内涝。</w:t>
      </w:r>
    </w:p>
    <w:p>
      <w:pPr>
        <w:spacing w:line="360" w:lineRule="auto"/>
        <w:ind w:firstLine="480" w:firstLineChars="200"/>
        <w:jc w:val="both"/>
        <w:rPr>
          <w:rFonts w:eastAsia="仿宋_GB2312"/>
          <w:color w:val="000000" w:themeColor="text1"/>
          <w:highlight w:val="cyan"/>
        </w:rPr>
      </w:pPr>
      <w:r>
        <w:rPr>
          <w:rFonts w:eastAsia="仿宋_GB2312"/>
          <w:color w:val="000000" w:themeColor="text1"/>
        </w:rPr>
        <w:t>（</w:t>
      </w:r>
      <w:r>
        <w:rPr>
          <w:rFonts w:hint="eastAsia" w:eastAsia="仿宋_GB2312"/>
          <w:color w:val="000000" w:themeColor="text1"/>
        </w:rPr>
        <w:t>4</w:t>
      </w:r>
      <w:r>
        <w:rPr>
          <w:rFonts w:eastAsia="仿宋_GB2312"/>
          <w:color w:val="000000" w:themeColor="text1"/>
        </w:rPr>
        <w:t>）对下游地区的水土流失危害</w:t>
      </w:r>
    </w:p>
    <w:p>
      <w:pPr>
        <w:spacing w:line="360" w:lineRule="auto"/>
        <w:ind w:firstLine="480" w:firstLineChars="200"/>
        <w:jc w:val="both"/>
        <w:rPr>
          <w:rFonts w:eastAsia="仿宋_GB2312"/>
          <w:color w:val="000000" w:themeColor="text1"/>
        </w:rPr>
      </w:pPr>
      <w:r>
        <w:rPr>
          <w:rFonts w:eastAsia="仿宋_GB2312"/>
          <w:color w:val="000000" w:themeColor="text1"/>
        </w:rPr>
        <w:t>降雨作用下形成的径流携带泥沙流入下游排洪管道及河道，造成城市排洪系统堵塞，河道淤积。</w:t>
      </w:r>
    </w:p>
    <w:p>
      <w:pPr>
        <w:spacing w:line="360" w:lineRule="auto"/>
        <w:ind w:firstLine="480" w:firstLineChars="200"/>
        <w:jc w:val="both"/>
        <w:rPr>
          <w:rFonts w:eastAsia="仿宋_GB2312"/>
          <w:color w:val="000000" w:themeColor="text1"/>
        </w:rPr>
      </w:pPr>
      <w:r>
        <w:rPr>
          <w:rFonts w:eastAsia="仿宋_GB2312"/>
          <w:color w:val="000000" w:themeColor="text1"/>
        </w:rPr>
        <w:t>（</w:t>
      </w:r>
      <w:r>
        <w:rPr>
          <w:rFonts w:hint="eastAsia" w:eastAsia="仿宋_GB2312"/>
          <w:color w:val="000000" w:themeColor="text1"/>
          <w:lang w:val="en-US" w:eastAsia="zh-CN"/>
        </w:rPr>
        <w:t>5</w:t>
      </w:r>
      <w:r>
        <w:rPr>
          <w:rFonts w:eastAsia="仿宋_GB2312"/>
          <w:color w:val="000000" w:themeColor="text1"/>
        </w:rPr>
        <w:t>）对工程本身的水土流失危害</w:t>
      </w:r>
    </w:p>
    <w:p>
      <w:pPr>
        <w:pStyle w:val="86"/>
        <w:spacing w:line="360" w:lineRule="auto"/>
        <w:ind w:firstLine="480"/>
        <w:rPr>
          <w:rFonts w:ascii="Times New Roman" w:hAnsi="Times New Roman" w:cs="Times New Roman"/>
          <w:color w:val="000000" w:themeColor="text1"/>
          <w:highlight w:val="cyan"/>
        </w:rPr>
      </w:pPr>
      <w:r>
        <w:rPr>
          <w:rFonts w:ascii="Times New Roman" w:hAnsi="Times New Roman" w:eastAsia="仿宋_GB2312" w:cs="Times New Roman"/>
          <w:color w:val="000000" w:themeColor="text1"/>
          <w:sz w:val="24"/>
          <w:szCs w:val="24"/>
        </w:rPr>
        <w:t>基础开挖、机械碾压后的地表降雨入渗能力降低，坡面极易形成径流，对建筑物基础开挖形成的边坡稳定造成影响，易产生安全事故。</w:t>
      </w:r>
    </w:p>
    <w:p>
      <w:pPr>
        <w:pStyle w:val="4"/>
        <w:spacing w:before="0" w:after="0" w:line="360" w:lineRule="auto"/>
        <w:rPr>
          <w:rFonts w:ascii="Times New Roman" w:hAnsi="Times New Roman" w:eastAsia="仿宋_GB2312"/>
          <w:b w:val="0"/>
          <w:color w:val="000000" w:themeColor="text1"/>
          <w:szCs w:val="24"/>
        </w:rPr>
      </w:pPr>
      <w:bookmarkStart w:id="40" w:name="_Toc22426"/>
      <w:r>
        <w:rPr>
          <w:rFonts w:ascii="Times New Roman" w:hAnsi="Times New Roman" w:eastAsia="仿宋_GB2312"/>
          <w:color w:val="000000" w:themeColor="text1"/>
          <w:sz w:val="28"/>
          <w:szCs w:val="28"/>
        </w:rPr>
        <w:t>4.5指导性意见</w:t>
      </w:r>
      <w:bookmarkEnd w:id="40"/>
    </w:p>
    <w:p>
      <w:pPr>
        <w:spacing w:line="360" w:lineRule="auto"/>
        <w:ind w:firstLine="480" w:firstLineChars="200"/>
        <w:jc w:val="both"/>
        <w:rPr>
          <w:rFonts w:eastAsia="仿宋_GB2312"/>
          <w:color w:val="000000" w:themeColor="text1"/>
          <w:szCs w:val="24"/>
          <w:highlight w:val="cyan"/>
        </w:rPr>
      </w:pPr>
      <w:r>
        <w:rPr>
          <w:rFonts w:eastAsia="仿宋_GB2312"/>
          <w:color w:val="000000" w:themeColor="text1"/>
          <w:szCs w:val="24"/>
        </w:rPr>
        <w:t>本期工程建设过程中共可能产生土壤流失量</w:t>
      </w:r>
      <w:r>
        <w:rPr>
          <w:rFonts w:hint="eastAsia" w:eastAsia="仿宋_GB2312"/>
          <w:color w:val="000000" w:themeColor="text1"/>
          <w:szCs w:val="24"/>
          <w:lang w:eastAsia="zh-CN"/>
        </w:rPr>
        <w:t>84.54</w:t>
      </w:r>
      <w:r>
        <w:rPr>
          <w:rFonts w:eastAsia="仿宋_GB2312"/>
          <w:color w:val="000000" w:themeColor="text1"/>
          <w:szCs w:val="24"/>
        </w:rPr>
        <w:t>t，新增土壤流失量</w:t>
      </w:r>
      <w:r>
        <w:rPr>
          <w:rFonts w:hint="eastAsia" w:eastAsia="仿宋_GB2312"/>
          <w:color w:val="000000" w:themeColor="text1"/>
          <w:szCs w:val="24"/>
          <w:lang w:eastAsia="zh-CN"/>
        </w:rPr>
        <w:t>75.58</w:t>
      </w:r>
      <w:r>
        <w:rPr>
          <w:rFonts w:eastAsia="仿宋_GB2312"/>
          <w:color w:val="000000" w:themeColor="text1"/>
          <w:szCs w:val="24"/>
        </w:rPr>
        <w:t>t。其中施工期新增土壤流失量</w:t>
      </w:r>
      <w:r>
        <w:rPr>
          <w:rFonts w:hint="eastAsia" w:eastAsia="仿宋_GB2312"/>
          <w:color w:val="000000" w:themeColor="text1"/>
          <w:szCs w:val="24"/>
          <w:lang w:eastAsia="zh-CN"/>
        </w:rPr>
        <w:t>69.67</w:t>
      </w:r>
      <w:r>
        <w:rPr>
          <w:rFonts w:eastAsia="仿宋_GB2312"/>
          <w:color w:val="000000" w:themeColor="text1"/>
          <w:szCs w:val="24"/>
        </w:rPr>
        <w:t>t、自然恢复期新增土壤流失量</w:t>
      </w:r>
      <w:r>
        <w:rPr>
          <w:rFonts w:hint="eastAsia" w:eastAsia="仿宋_GB2312"/>
          <w:color w:val="000000" w:themeColor="text1"/>
          <w:szCs w:val="24"/>
          <w:lang w:eastAsia="zh-CN"/>
        </w:rPr>
        <w:t>5.91</w:t>
      </w:r>
      <w:r>
        <w:rPr>
          <w:rFonts w:eastAsia="仿宋_GB2312"/>
          <w:color w:val="000000" w:themeColor="text1"/>
          <w:szCs w:val="24"/>
        </w:rPr>
        <w:t>t。施工期新增土壤流失量所占比重最大为</w:t>
      </w:r>
      <w:r>
        <w:rPr>
          <w:rFonts w:hint="eastAsia" w:eastAsia="仿宋_GB2312"/>
          <w:color w:val="000000" w:themeColor="text1"/>
          <w:szCs w:val="24"/>
          <w:lang w:val="en-US" w:eastAsia="zh-CN"/>
        </w:rPr>
        <w:t>92</w:t>
      </w:r>
      <w:r>
        <w:rPr>
          <w:rFonts w:eastAsia="仿宋_GB2312"/>
          <w:color w:val="000000" w:themeColor="text1"/>
          <w:szCs w:val="24"/>
        </w:rPr>
        <w:t>％。所以将施工期作为水土流失防治和水土保持监测的重点时段；将绿化区域作为水土流失防治和水土保持监测的重点部位。</w:t>
      </w:r>
    </w:p>
    <w:p>
      <w:pPr>
        <w:pStyle w:val="2"/>
        <w:ind w:left="0" w:leftChars="0"/>
        <w:jc w:val="center"/>
        <w:rPr>
          <w:color w:val="000000" w:themeColor="text1"/>
        </w:rPr>
      </w:pPr>
      <w:r>
        <w:rPr>
          <w:rFonts w:hint="eastAsia"/>
          <w:color w:val="000000" w:themeColor="text1"/>
        </w:rPr>
        <w:drawing>
          <wp:inline distT="0" distB="0" distL="114300" distR="114300">
            <wp:extent cx="5080000" cy="3810000"/>
            <wp:effectExtent l="4445" t="4445" r="20955" b="1460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spacing w:line="360" w:lineRule="auto"/>
        <w:jc w:val="center"/>
        <w:rPr>
          <w:rFonts w:eastAsia="仿宋_GB2312"/>
          <w:color w:val="000000" w:themeColor="text1"/>
        </w:rPr>
      </w:pPr>
      <w:r>
        <w:rPr>
          <w:rFonts w:eastAsia="仿宋_GB2312"/>
          <w:b/>
          <w:bCs/>
          <w:color w:val="000000" w:themeColor="text1"/>
        </w:rPr>
        <w:t>图4-1   不同时段新增土壤流失量饼状图</w:t>
      </w:r>
    </w:p>
    <w:p>
      <w:pPr>
        <w:pStyle w:val="54"/>
        <w:ind w:firstLine="0" w:firstLineChars="0"/>
        <w:rPr>
          <w:rFonts w:ascii="Times New Roman" w:hAnsi="Times New Roman" w:eastAsia="仿宋_GB2312" w:cs="Times New Roman"/>
          <w:b/>
          <w:bCs/>
          <w:color w:val="000000" w:themeColor="text1"/>
          <w:kern w:val="0"/>
          <w:sz w:val="24"/>
          <w:szCs w:val="24"/>
        </w:rPr>
      </w:pPr>
      <w:r>
        <w:rPr>
          <w:rFonts w:hint="eastAsia" w:ascii="Times New Roman" w:hAnsi="Times New Roman" w:eastAsia="仿宋_GB2312" w:cs="Times New Roman"/>
          <w:b/>
          <w:bCs/>
          <w:color w:val="000000" w:themeColor="text1"/>
          <w:kern w:val="0"/>
          <w:sz w:val="24"/>
          <w:szCs w:val="24"/>
        </w:rPr>
        <w:drawing>
          <wp:inline distT="0" distB="0" distL="114300" distR="114300">
            <wp:extent cx="5080000" cy="3704590"/>
            <wp:effectExtent l="4445" t="4445" r="20955" b="571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54"/>
        <w:ind w:firstLine="0" w:firstLineChars="0"/>
        <w:jc w:val="center"/>
        <w:rPr>
          <w:rFonts w:ascii="Times New Roman" w:hAnsi="Times New Roman" w:eastAsia="仿宋_GB2312" w:cs="Times New Roman"/>
          <w:b/>
          <w:bCs/>
          <w:color w:val="000000" w:themeColor="text1"/>
          <w:kern w:val="0"/>
          <w:sz w:val="24"/>
          <w:szCs w:val="24"/>
        </w:rPr>
      </w:pPr>
      <w:r>
        <w:rPr>
          <w:rFonts w:ascii="Times New Roman" w:hAnsi="Times New Roman" w:eastAsia="仿宋_GB2312" w:cs="Times New Roman"/>
          <w:b/>
          <w:bCs/>
          <w:color w:val="000000" w:themeColor="text1"/>
          <w:kern w:val="0"/>
          <w:sz w:val="24"/>
          <w:szCs w:val="24"/>
        </w:rPr>
        <w:t>图4-2   不同部位新增土壤流失量柱状图</w:t>
      </w:r>
    </w:p>
    <w:p>
      <w:pPr>
        <w:pStyle w:val="54"/>
        <w:ind w:firstLine="480"/>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根据水土流失预测结果，提出以下意见：</w:t>
      </w:r>
    </w:p>
    <w:p>
      <w:pPr>
        <w:pStyle w:val="54"/>
        <w:ind w:firstLine="480"/>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（1）防治重点时段与部位</w:t>
      </w:r>
    </w:p>
    <w:p>
      <w:pPr>
        <w:pStyle w:val="54"/>
        <w:ind w:firstLine="480"/>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根据预测结果，工程建设产生新增水土流失比较严重时段为施工期，因此要加强施工期的水土保持防治措施。产生水土流失的重点部位为</w:t>
      </w:r>
      <w:r>
        <w:rPr>
          <w:rFonts w:hint="eastAsia" w:ascii="Times New Roman" w:hAnsi="Times New Roman" w:eastAsia="仿宋_GB2312" w:cs="Times New Roman"/>
          <w:color w:val="000000" w:themeColor="text1"/>
          <w:sz w:val="24"/>
          <w:szCs w:val="24"/>
          <w:lang w:val="en-US" w:eastAsia="zh-CN"/>
        </w:rPr>
        <w:t>建筑物区域</w:t>
      </w:r>
      <w:r>
        <w:rPr>
          <w:rFonts w:ascii="Times New Roman" w:hAnsi="Times New Roman" w:eastAsia="仿宋_GB2312" w:cs="Times New Roman"/>
          <w:color w:val="000000" w:themeColor="text1"/>
          <w:sz w:val="24"/>
          <w:szCs w:val="24"/>
        </w:rPr>
        <w:t>，因此将上述区域列为水土流失防治重点区域。</w:t>
      </w:r>
    </w:p>
    <w:p>
      <w:pPr>
        <w:pStyle w:val="54"/>
        <w:ind w:firstLine="480"/>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（2）防治措施</w:t>
      </w:r>
    </w:p>
    <w:p>
      <w:pPr>
        <w:pStyle w:val="54"/>
        <w:ind w:firstLine="480"/>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以上预测结果是在主体工程设计的水土保持措施基础上，可能发生的水土流失。根据以往的经验，防治水土流失最有效的方法是以工程措施为基础，结合植物措施，永久措施结合临时措施。</w:t>
      </w:r>
    </w:p>
    <w:p>
      <w:pPr>
        <w:pStyle w:val="54"/>
        <w:ind w:firstLine="480"/>
        <w:rPr>
          <w:rFonts w:ascii="Times New Roman" w:hAnsi="Times New Roman" w:eastAsia="仿宋_GB2312" w:cs="Times New Roman"/>
          <w:color w:val="000000" w:themeColor="text1"/>
          <w:sz w:val="24"/>
          <w:szCs w:val="24"/>
          <w:highlight w:val="cyan"/>
        </w:rPr>
      </w:pPr>
      <w:r>
        <w:rPr>
          <w:rFonts w:ascii="Times New Roman" w:hAnsi="Times New Roman" w:eastAsia="仿宋_GB2312" w:cs="Times New Roman"/>
          <w:color w:val="000000" w:themeColor="text1"/>
          <w:sz w:val="24"/>
          <w:szCs w:val="24"/>
        </w:rPr>
        <w:t>（3）施工进度安排</w:t>
      </w:r>
      <w:r>
        <w:rPr>
          <w:rFonts w:ascii="Times New Roman" w:hAnsi="Times New Roman" w:eastAsia="仿宋_GB2312" w:cs="Times New Roman"/>
          <w:color w:val="000000" w:themeColor="text1"/>
          <w:sz w:val="24"/>
          <w:szCs w:val="24"/>
        </w:rPr>
        <w:tab/>
      </w:r>
    </w:p>
    <w:p>
      <w:pPr>
        <w:pStyle w:val="54"/>
        <w:ind w:firstLine="480"/>
        <w:rPr>
          <w:rFonts w:ascii="Times New Roman" w:hAnsi="Times New Roman" w:eastAsia="仿宋_GB2312" w:cs="Times New Roman"/>
          <w:color w:val="000000" w:themeColor="text1"/>
          <w:sz w:val="24"/>
          <w:szCs w:val="24"/>
          <w:highlight w:val="cyan"/>
        </w:rPr>
      </w:pPr>
      <w:r>
        <w:rPr>
          <w:rFonts w:ascii="Times New Roman" w:hAnsi="Times New Roman" w:eastAsia="仿宋_GB2312" w:cs="Times New Roman"/>
          <w:color w:val="000000" w:themeColor="text1"/>
          <w:sz w:val="24"/>
          <w:szCs w:val="24"/>
        </w:rPr>
        <w:t>根据预测结果，施工期是新增水土流失较严重的时期，建议在施工中优化主体工程施工进度安排，有效缩短产生水土流失时段。如：土方开挖避开雨天及大风天气，临时堆存挖方防护采取临时拦挡措施。植物措施结合主体工程施工进度的安排，季节实施，土方调运采取边开挖边运送到填方地回填的施工工序，减少土方堆置时间和土方重复调运。</w:t>
      </w:r>
    </w:p>
    <w:p>
      <w:pPr>
        <w:pStyle w:val="54"/>
        <w:ind w:firstLine="480"/>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（4）水土保持监测</w:t>
      </w:r>
      <w:r>
        <w:rPr>
          <w:rFonts w:ascii="Times New Roman" w:hAnsi="Times New Roman" w:eastAsia="仿宋_GB2312" w:cs="Times New Roman"/>
          <w:color w:val="000000" w:themeColor="text1"/>
          <w:sz w:val="24"/>
          <w:szCs w:val="24"/>
        </w:rPr>
        <w:tab/>
      </w:r>
    </w:p>
    <w:p>
      <w:pPr>
        <w:pStyle w:val="54"/>
        <w:ind w:firstLine="480"/>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根据水土流失预测结果，施工期的新增水土流失较为突出，施工期为水土保持监测重点时段，应加强绿化区域的水土流失监测频次。</w:t>
      </w:r>
    </w:p>
    <w:p>
      <w:pPr>
        <w:pStyle w:val="54"/>
        <w:ind w:firstLine="480"/>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综上所述，工程建设对当地的水土流失的影响主要为施工期的施工活动，改变、损毁或占压原有地貌和植被，使地表裸露，降低了原地貌的水土保持功能。从水土流失预测的结果可以看出，该项工程建设过程中水土流失主要发生在工程施工期间，除采取必要的临时措施外，还应以工程措施为基础，植物措施为主的永久性防治措施，因地制宜，选择适宜的树种、草种，构成行之有效的防治体系，遏制新增水土流失的发生和发展。</w:t>
      </w:r>
    </w:p>
    <w:p>
      <w:pPr>
        <w:pStyle w:val="54"/>
        <w:ind w:firstLine="0" w:firstLineChars="0"/>
        <w:rPr>
          <w:rFonts w:ascii="Times New Roman" w:hAnsi="Times New Roman" w:eastAsia="仿宋_GB2312" w:cs="Times New Roman"/>
          <w:color w:val="000000" w:themeColor="text1"/>
          <w:sz w:val="24"/>
          <w:szCs w:val="24"/>
          <w:highlight w:val="cyan"/>
        </w:rPr>
      </w:pPr>
    </w:p>
    <w:p>
      <w:pPr>
        <w:pStyle w:val="54"/>
        <w:ind w:firstLine="0" w:firstLineChars="0"/>
        <w:rPr>
          <w:rFonts w:ascii="Times New Roman" w:hAnsi="Times New Roman" w:eastAsia="仿宋_GB2312" w:cs="Times New Roman"/>
          <w:color w:val="000000" w:themeColor="text1"/>
          <w:sz w:val="24"/>
          <w:szCs w:val="24"/>
          <w:highlight w:val="cyan"/>
        </w:rPr>
        <w:sectPr>
          <w:headerReference r:id="rId13" w:type="default"/>
          <w:footerReference r:id="rId14" w:type="default"/>
          <w:pgSz w:w="11906" w:h="16838"/>
          <w:pgMar w:top="1440" w:right="1797" w:bottom="1440" w:left="1797" w:header="851" w:footer="992" w:gutter="0"/>
          <w:cols w:space="720" w:num="1"/>
          <w:docGrid w:linePitch="312" w:charSpace="0"/>
        </w:sectPr>
      </w:pPr>
    </w:p>
    <w:p>
      <w:pPr>
        <w:pStyle w:val="3"/>
        <w:spacing w:before="0" w:after="0" w:line="360" w:lineRule="auto"/>
        <w:rPr>
          <w:rFonts w:eastAsia="仿宋_GB2312"/>
          <w:color w:val="000000" w:themeColor="text1"/>
          <w:sz w:val="28"/>
          <w:szCs w:val="28"/>
        </w:rPr>
      </w:pPr>
      <w:bookmarkStart w:id="41" w:name="_Toc27967"/>
      <w:r>
        <w:rPr>
          <w:rFonts w:eastAsia="仿宋_GB2312"/>
          <w:color w:val="000000" w:themeColor="text1"/>
          <w:sz w:val="28"/>
          <w:szCs w:val="28"/>
        </w:rPr>
        <w:t>5.水土保持措施</w:t>
      </w:r>
      <w:bookmarkEnd w:id="41"/>
    </w:p>
    <w:p>
      <w:pPr>
        <w:pStyle w:val="4"/>
        <w:spacing w:before="0" w:after="0" w:line="360" w:lineRule="auto"/>
        <w:rPr>
          <w:rFonts w:ascii="Times New Roman" w:hAnsi="Times New Roman" w:eastAsia="仿宋_GB2312"/>
          <w:color w:val="000000" w:themeColor="text1"/>
          <w:sz w:val="28"/>
          <w:szCs w:val="28"/>
        </w:rPr>
      </w:pPr>
      <w:bookmarkStart w:id="42" w:name="_Toc18296"/>
      <w:r>
        <w:rPr>
          <w:rFonts w:ascii="Times New Roman" w:hAnsi="Times New Roman" w:eastAsia="仿宋_GB2312"/>
          <w:color w:val="000000" w:themeColor="text1"/>
          <w:sz w:val="28"/>
          <w:szCs w:val="28"/>
        </w:rPr>
        <w:t>5.1防治区划分</w:t>
      </w:r>
      <w:bookmarkEnd w:id="42"/>
    </w:p>
    <w:p>
      <w:pPr>
        <w:spacing w:line="360" w:lineRule="auto"/>
        <w:ind w:firstLine="480" w:firstLineChars="200"/>
        <w:rPr>
          <w:rFonts w:eastAsia="仿宋_GB2312"/>
          <w:color w:val="000000" w:themeColor="text1"/>
        </w:rPr>
      </w:pPr>
      <w:r>
        <w:rPr>
          <w:rFonts w:eastAsia="仿宋_GB2312"/>
          <w:color w:val="000000" w:themeColor="text1"/>
        </w:rPr>
        <w:t>根据水土流失防治责任范围内地貌类型、主体工程布局及水土流失特点等，按照分区之间有显著差异性，各分区具有代表性和区内造成水土流失的主导因子一致或相似进行分区，将本工程分为工程建设区1个防治分区。</w:t>
      </w:r>
    </w:p>
    <w:p>
      <w:pPr>
        <w:jc w:val="center"/>
        <w:rPr>
          <w:rFonts w:eastAsia="仿宋_GB2312"/>
          <w:b/>
          <w:color w:val="000000" w:themeColor="text1"/>
          <w:szCs w:val="24"/>
        </w:rPr>
      </w:pPr>
      <w:r>
        <w:rPr>
          <w:rFonts w:eastAsia="仿宋_GB2312"/>
          <w:b/>
          <w:color w:val="000000" w:themeColor="text1"/>
          <w:szCs w:val="24"/>
        </w:rPr>
        <w:t xml:space="preserve">表5-1  </w:t>
      </w:r>
      <w:r>
        <w:rPr>
          <w:rFonts w:eastAsia="仿宋_GB2312"/>
          <w:b/>
          <w:bCs/>
          <w:color w:val="000000" w:themeColor="text1"/>
          <w:szCs w:val="24"/>
        </w:rPr>
        <w:t>防治分区表</w:t>
      </w:r>
    </w:p>
    <w:tbl>
      <w:tblPr>
        <w:tblStyle w:val="23"/>
        <w:tblW w:w="8794"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1205"/>
        <w:gridCol w:w="6216"/>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78" w:type="dxa"/>
            <w:gridSpan w:val="2"/>
            <w:tcBorders>
              <w:tl2br w:val="nil"/>
              <w:tr2bl w:val="nil"/>
            </w:tcBorders>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分区</w:t>
            </w:r>
          </w:p>
        </w:tc>
        <w:tc>
          <w:tcPr>
            <w:tcW w:w="6216" w:type="dxa"/>
            <w:tcBorders>
              <w:tl2br w:val="nil"/>
              <w:tr2bl w:val="nil"/>
            </w:tcBorders>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水土流失特征</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373" w:type="dxa"/>
            <w:vMerge w:val="restart"/>
            <w:tcBorders>
              <w:tl2br w:val="nil"/>
              <w:tr2bl w:val="nil"/>
            </w:tcBorders>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工程建设区</w:t>
            </w:r>
          </w:p>
        </w:tc>
        <w:tc>
          <w:tcPr>
            <w:tcW w:w="1205" w:type="dxa"/>
            <w:tcBorders>
              <w:tl2br w:val="nil"/>
              <w:tr2bl w:val="nil"/>
            </w:tcBorders>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建构筑物区域</w:t>
            </w:r>
          </w:p>
        </w:tc>
        <w:tc>
          <w:tcPr>
            <w:tcW w:w="6216" w:type="dxa"/>
            <w:tcBorders>
              <w:tl2br w:val="nil"/>
              <w:tr2bl w:val="nil"/>
            </w:tcBorders>
            <w:vAlign w:val="center"/>
          </w:tcPr>
          <w:p>
            <w:pPr>
              <w:pStyle w:val="77"/>
              <w:jc w:val="both"/>
              <w:rPr>
                <w:rFonts w:ascii="Times New Roman" w:hAnsi="Times New Roman" w:eastAsia="仿宋_GB2312"/>
                <w:color w:val="000000" w:themeColor="text1"/>
              </w:rPr>
            </w:pPr>
            <w:r>
              <w:rPr>
                <w:rFonts w:ascii="Times New Roman" w:hAnsi="Times New Roman" w:eastAsia="仿宋_GB2312"/>
                <w:color w:val="000000" w:themeColor="text1"/>
              </w:rPr>
              <w:t>地表挖损改变地貌，地表裸露，施工机械碾压，人员交通碾压，造成水土流失。</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373" w:type="dxa"/>
            <w:vMerge w:val="continue"/>
            <w:tcBorders>
              <w:tl2br w:val="nil"/>
              <w:tr2bl w:val="nil"/>
            </w:tcBorders>
            <w:vAlign w:val="center"/>
          </w:tcPr>
          <w:p>
            <w:pPr>
              <w:pStyle w:val="77"/>
              <w:rPr>
                <w:rFonts w:ascii="Times New Roman" w:hAnsi="Times New Roman" w:eastAsia="仿宋_GB2312"/>
                <w:color w:val="000000" w:themeColor="text1"/>
              </w:rPr>
            </w:pPr>
          </w:p>
        </w:tc>
        <w:tc>
          <w:tcPr>
            <w:tcW w:w="1205" w:type="dxa"/>
            <w:tcBorders>
              <w:tl2br w:val="nil"/>
              <w:tr2bl w:val="nil"/>
            </w:tcBorders>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道路及硬化区域</w:t>
            </w:r>
          </w:p>
        </w:tc>
        <w:tc>
          <w:tcPr>
            <w:tcW w:w="6216" w:type="dxa"/>
            <w:tcBorders>
              <w:tl2br w:val="nil"/>
              <w:tr2bl w:val="nil"/>
            </w:tcBorders>
            <w:vAlign w:val="center"/>
          </w:tcPr>
          <w:p>
            <w:pPr>
              <w:pStyle w:val="77"/>
              <w:jc w:val="both"/>
              <w:rPr>
                <w:rFonts w:ascii="Times New Roman" w:hAnsi="Times New Roman" w:eastAsia="仿宋_GB2312"/>
                <w:color w:val="000000" w:themeColor="text1"/>
              </w:rPr>
            </w:pPr>
            <w:r>
              <w:rPr>
                <w:rFonts w:ascii="Times New Roman" w:hAnsi="Times New Roman" w:eastAsia="仿宋_GB2312"/>
                <w:color w:val="000000" w:themeColor="text1"/>
              </w:rPr>
              <w:t>地表挖损改变地貌，造成水土流失。</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373" w:type="dxa"/>
            <w:vMerge w:val="continue"/>
            <w:tcBorders>
              <w:tl2br w:val="nil"/>
              <w:tr2bl w:val="nil"/>
            </w:tcBorders>
            <w:vAlign w:val="center"/>
          </w:tcPr>
          <w:p>
            <w:pPr>
              <w:pStyle w:val="77"/>
              <w:rPr>
                <w:rFonts w:ascii="Times New Roman" w:hAnsi="Times New Roman" w:eastAsia="仿宋_GB2312"/>
                <w:color w:val="000000" w:themeColor="text1"/>
              </w:rPr>
            </w:pPr>
          </w:p>
        </w:tc>
        <w:tc>
          <w:tcPr>
            <w:tcW w:w="1205" w:type="dxa"/>
            <w:tcBorders>
              <w:tl2br w:val="nil"/>
              <w:tr2bl w:val="nil"/>
            </w:tcBorders>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绿化区域</w:t>
            </w:r>
          </w:p>
        </w:tc>
        <w:tc>
          <w:tcPr>
            <w:tcW w:w="6216" w:type="dxa"/>
            <w:tcBorders>
              <w:tl2br w:val="nil"/>
              <w:tr2bl w:val="nil"/>
            </w:tcBorders>
            <w:vAlign w:val="center"/>
          </w:tcPr>
          <w:p>
            <w:pPr>
              <w:pStyle w:val="77"/>
              <w:jc w:val="both"/>
              <w:rPr>
                <w:rFonts w:ascii="Times New Roman" w:hAnsi="Times New Roman" w:eastAsia="仿宋_GB2312"/>
                <w:color w:val="000000" w:themeColor="text1"/>
              </w:rPr>
            </w:pPr>
            <w:r>
              <w:rPr>
                <w:rFonts w:ascii="Times New Roman" w:hAnsi="Times New Roman" w:eastAsia="仿宋_GB2312"/>
                <w:color w:val="000000" w:themeColor="text1"/>
              </w:rPr>
              <w:t>初期地表裸露，径流冲刷与雨滴击溅，造成水土流失。</w:t>
            </w:r>
          </w:p>
        </w:tc>
      </w:tr>
    </w:tbl>
    <w:p>
      <w:pPr>
        <w:pStyle w:val="4"/>
        <w:spacing w:before="0" w:after="0" w:line="360" w:lineRule="auto"/>
        <w:rPr>
          <w:rFonts w:ascii="Times New Roman" w:hAnsi="Times New Roman" w:eastAsia="仿宋_GB2312"/>
          <w:color w:val="000000" w:themeColor="text1"/>
          <w:sz w:val="28"/>
          <w:szCs w:val="28"/>
        </w:rPr>
      </w:pPr>
      <w:bookmarkStart w:id="43" w:name="_Toc24640"/>
      <w:r>
        <w:rPr>
          <w:rFonts w:ascii="Times New Roman" w:hAnsi="Times New Roman" w:eastAsia="仿宋_GB2312"/>
          <w:color w:val="000000" w:themeColor="text1"/>
          <w:sz w:val="28"/>
          <w:szCs w:val="28"/>
        </w:rPr>
        <w:t>5.2措施总体布局</w:t>
      </w:r>
      <w:bookmarkEnd w:id="43"/>
    </w:p>
    <w:p>
      <w:pPr>
        <w:spacing w:line="360" w:lineRule="auto"/>
        <w:jc w:val="both"/>
        <w:rPr>
          <w:rFonts w:eastAsia="仿宋_GB2312"/>
          <w:b/>
          <w:color w:val="000000" w:themeColor="text1"/>
          <w:szCs w:val="24"/>
        </w:rPr>
      </w:pPr>
      <w:r>
        <w:rPr>
          <w:rFonts w:eastAsia="仿宋_GB2312"/>
          <w:b/>
          <w:color w:val="000000" w:themeColor="text1"/>
          <w:szCs w:val="24"/>
        </w:rPr>
        <w:t>5.2.1总体防治思路</w:t>
      </w:r>
    </w:p>
    <w:p>
      <w:pPr>
        <w:spacing w:line="360" w:lineRule="auto"/>
        <w:ind w:firstLine="480" w:firstLineChars="200"/>
        <w:rPr>
          <w:rFonts w:eastAsia="仿宋_GB2312"/>
          <w:color w:val="000000" w:themeColor="text1"/>
        </w:rPr>
      </w:pPr>
      <w:r>
        <w:rPr>
          <w:rFonts w:eastAsia="仿宋_GB2312"/>
          <w:color w:val="000000" w:themeColor="text1"/>
        </w:rPr>
        <w:t>根据该项工程建设特点和当地的自然条件，针对建设施工活动引发水土流失的特点和造成危害程度，依据分区治理、突出重点的原则，对项目区水土流失进行综合治理。把水土保持工程措施、植物措施和临时措施有机结合起来，并把主体工程中具有水土保持功能的工程纳入水土流失防治措施体系中，合理确定水土保持措施的总体布局，以形成完整的、科学的水土流失防治体系。</w:t>
      </w:r>
    </w:p>
    <w:p>
      <w:pPr>
        <w:spacing w:line="360" w:lineRule="auto"/>
        <w:jc w:val="both"/>
        <w:rPr>
          <w:rFonts w:eastAsia="仿宋_GB2312"/>
          <w:b/>
          <w:color w:val="000000" w:themeColor="text1"/>
          <w:szCs w:val="24"/>
        </w:rPr>
      </w:pPr>
      <w:r>
        <w:rPr>
          <w:rFonts w:eastAsia="仿宋_GB2312"/>
          <w:b/>
          <w:color w:val="000000" w:themeColor="text1"/>
          <w:szCs w:val="24"/>
        </w:rPr>
        <w:t>5.2.2水土保持工程级别</w:t>
      </w:r>
    </w:p>
    <w:p>
      <w:pPr>
        <w:spacing w:line="360" w:lineRule="auto"/>
        <w:ind w:firstLine="480" w:firstLineChars="200"/>
        <w:jc w:val="both"/>
        <w:rPr>
          <w:rFonts w:eastAsia="仿宋_GB2312"/>
          <w:color w:val="000000" w:themeColor="text1"/>
          <w:szCs w:val="22"/>
        </w:rPr>
      </w:pPr>
      <w:r>
        <w:rPr>
          <w:rFonts w:eastAsia="仿宋_GB2312"/>
          <w:color w:val="000000" w:themeColor="text1"/>
          <w:szCs w:val="22"/>
        </w:rPr>
        <w:t>根据《水土保持工程设计规范》（GB51018-2014）生产建设项目的植被恢复和建设工程级别确定要求，本项目采用园林式绿化工程设计标准，植被恢复工程设计标准采用1级标准。雨水管线工程按照《室外给排水设计规范》要求设计重现期以2年为标准进行设计，降雨历时为15分钟。</w:t>
      </w:r>
    </w:p>
    <w:p>
      <w:pPr>
        <w:pStyle w:val="54"/>
        <w:ind w:firstLine="0" w:firstLineChars="0"/>
        <w:rPr>
          <w:rFonts w:ascii="Times New Roman" w:hAnsi="Times New Roman" w:eastAsia="仿宋_GB2312" w:cs="Times New Roman"/>
          <w:b/>
          <w:color w:val="000000" w:themeColor="text1"/>
          <w:kern w:val="0"/>
          <w:sz w:val="24"/>
          <w:szCs w:val="24"/>
        </w:rPr>
      </w:pPr>
      <w:r>
        <w:rPr>
          <w:rFonts w:ascii="Times New Roman" w:hAnsi="Times New Roman" w:eastAsia="仿宋_GB2312" w:cs="Times New Roman"/>
          <w:b/>
          <w:color w:val="000000" w:themeColor="text1"/>
          <w:kern w:val="0"/>
          <w:sz w:val="24"/>
          <w:szCs w:val="24"/>
        </w:rPr>
        <w:t>5.2.3防治措施体系</w:t>
      </w:r>
    </w:p>
    <w:p>
      <w:pPr>
        <w:pStyle w:val="54"/>
        <w:ind w:firstLine="480"/>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工程建设过程中土方开挖、填筑、调运和堆置，扰动了原地貌，破坏、占压地表，降低了原地表的水土保持功能，加大了项目区的水土流失强度。防治措施布局应全面、严密、科学，能够有效防治水土流失，最终达到恢复植被、重建生态的目的。根据对主体工程设计的具有水土保持功能工程的分析评价结果，结合水土保持防治措施总体布局，确定本方案水土流失防治措施布局如下：</w:t>
      </w:r>
    </w:p>
    <w:p>
      <w:pPr>
        <w:spacing w:line="360" w:lineRule="auto"/>
        <w:ind w:firstLine="480" w:firstLineChars="200"/>
        <w:rPr>
          <w:rFonts w:eastAsia="仿宋_GB2312"/>
          <w:color w:val="000000" w:themeColor="text1"/>
          <w:szCs w:val="24"/>
        </w:rPr>
      </w:pPr>
      <w:r>
        <w:rPr>
          <w:rFonts w:eastAsia="仿宋_GB2312"/>
          <w:color w:val="000000" w:themeColor="text1"/>
          <w:szCs w:val="24"/>
        </w:rPr>
        <w:t>施工过程中对临时堆土进行临时防护；主体工程施工结束后对绿化区域进行绿化用土回覆、全面整地后采取景观绿化。</w:t>
      </w:r>
    </w:p>
    <w:p>
      <w:pPr>
        <w:spacing w:line="360" w:lineRule="auto"/>
        <w:jc w:val="center"/>
        <w:rPr>
          <w:rFonts w:eastAsia="仿宋_GB2312"/>
          <w:color w:val="000000" w:themeColor="text1"/>
          <w:szCs w:val="22"/>
        </w:rPr>
      </w:pPr>
      <w:r>
        <w:rPr>
          <w:rFonts w:hint="eastAsia" w:eastAsia="仿宋_GB2312"/>
          <w:color w:val="000000" w:themeColor="text1"/>
          <w:szCs w:val="22"/>
        </w:rPr>
        <w:drawing>
          <wp:inline distT="0" distB="0" distL="114300" distR="114300">
            <wp:extent cx="5015230" cy="2524125"/>
            <wp:effectExtent l="0" t="0" r="0" b="0"/>
            <wp:docPr id="8" name="ECB019B1-382A-4266-B25C-5B523AA43C14-2" descr="C:/Users/Administrator/AppData/Local/Temp/wps.LWRVu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2" descr="C:/Users/Administrator/AppData/Local/Temp/wps.LWRVucwps"/>
                    <pic:cNvPicPr>
                      <a:picLocks noChangeAspect="1"/>
                    </pic:cNvPicPr>
                  </pic:nvPicPr>
                  <pic:blipFill>
                    <a:blip r:embed="rId41"/>
                    <a:stretch>
                      <a:fillRect/>
                    </a:stretch>
                  </pic:blipFill>
                  <pic:spPr>
                    <a:xfrm>
                      <a:off x="0" y="0"/>
                      <a:ext cx="5015230" cy="2524125"/>
                    </a:xfrm>
                    <a:prstGeom prst="rect">
                      <a:avLst/>
                    </a:prstGeom>
                  </pic:spPr>
                </pic:pic>
              </a:graphicData>
            </a:graphic>
          </wp:inline>
        </w:drawing>
      </w:r>
    </w:p>
    <w:p>
      <w:pPr>
        <w:jc w:val="center"/>
        <w:rPr>
          <w:rFonts w:eastAsia="仿宋_GB2312"/>
          <w:color w:val="000000" w:themeColor="text1"/>
        </w:rPr>
      </w:pPr>
      <w:r>
        <w:rPr>
          <w:rFonts w:eastAsia="仿宋_GB2312"/>
          <w:b/>
          <w:bCs/>
          <w:color w:val="000000" w:themeColor="text1"/>
        </w:rPr>
        <w:t>图5-1 水土流失防治体系框图</w:t>
      </w:r>
    </w:p>
    <w:p>
      <w:pPr>
        <w:pStyle w:val="4"/>
        <w:spacing w:before="100" w:beforeAutospacing="1" w:after="0" w:line="360" w:lineRule="auto"/>
        <w:rPr>
          <w:rFonts w:ascii="Times New Roman" w:hAnsi="Times New Roman" w:eastAsia="仿宋_GB2312"/>
          <w:color w:val="000000" w:themeColor="text1"/>
          <w:sz w:val="28"/>
          <w:szCs w:val="28"/>
        </w:rPr>
      </w:pPr>
      <w:bookmarkStart w:id="44" w:name="_Toc29886"/>
      <w:r>
        <w:rPr>
          <w:rFonts w:ascii="Times New Roman" w:hAnsi="Times New Roman" w:eastAsia="仿宋_GB2312"/>
          <w:color w:val="000000" w:themeColor="text1"/>
          <w:sz w:val="28"/>
          <w:szCs w:val="28"/>
        </w:rPr>
        <w:t>5.3分区措施布设</w:t>
      </w:r>
      <w:bookmarkEnd w:id="44"/>
    </w:p>
    <w:p>
      <w:pPr>
        <w:spacing w:line="360" w:lineRule="auto"/>
        <w:rPr>
          <w:rFonts w:eastAsia="仿宋_GB2312"/>
          <w:b/>
          <w:snapToGrid w:val="0"/>
          <w:color w:val="000000" w:themeColor="text1"/>
          <w:szCs w:val="24"/>
        </w:rPr>
      </w:pPr>
      <w:r>
        <w:rPr>
          <w:rFonts w:eastAsia="仿宋_GB2312"/>
          <w:b/>
          <w:snapToGrid w:val="0"/>
          <w:color w:val="000000" w:themeColor="text1"/>
          <w:szCs w:val="24"/>
        </w:rPr>
        <w:t>5.3.1工程建设区</w:t>
      </w:r>
      <w:r>
        <w:rPr>
          <w:rFonts w:eastAsia="仿宋_GB2312"/>
          <w:b/>
          <w:color w:val="000000" w:themeColor="text1"/>
          <w:szCs w:val="24"/>
        </w:rPr>
        <w:t>措施布设</w:t>
      </w:r>
    </w:p>
    <w:p>
      <w:pPr>
        <w:spacing w:line="360" w:lineRule="auto"/>
        <w:rPr>
          <w:rFonts w:eastAsia="仿宋_GB2312"/>
          <w:b/>
          <w:snapToGrid w:val="0"/>
          <w:color w:val="000000" w:themeColor="text1"/>
          <w:szCs w:val="24"/>
        </w:rPr>
      </w:pPr>
      <w:r>
        <w:rPr>
          <w:rFonts w:eastAsia="仿宋_GB2312"/>
          <w:b/>
          <w:snapToGrid w:val="0"/>
          <w:color w:val="000000" w:themeColor="text1"/>
          <w:szCs w:val="24"/>
        </w:rPr>
        <w:t>5.3.1.1 工程措施</w:t>
      </w:r>
    </w:p>
    <w:p>
      <w:pPr>
        <w:spacing w:line="360" w:lineRule="auto"/>
        <w:ind w:firstLine="480" w:firstLineChars="200"/>
        <w:rPr>
          <w:rFonts w:eastAsia="仿宋_GB2312"/>
          <w:color w:val="000000" w:themeColor="text1"/>
          <w:szCs w:val="24"/>
        </w:rPr>
      </w:pPr>
      <w:r>
        <w:rPr>
          <w:rFonts w:eastAsia="仿宋_GB2312"/>
          <w:color w:val="000000" w:themeColor="text1"/>
        </w:rPr>
        <w:t>（1）</w:t>
      </w:r>
      <w:r>
        <w:rPr>
          <w:rFonts w:eastAsia="仿宋_GB2312"/>
          <w:color w:val="000000" w:themeColor="text1"/>
          <w:szCs w:val="24"/>
        </w:rPr>
        <w:t>绿化用土回覆</w:t>
      </w:r>
    </w:p>
    <w:p>
      <w:pPr>
        <w:spacing w:line="360" w:lineRule="auto"/>
        <w:ind w:firstLine="480" w:firstLineChars="200"/>
        <w:rPr>
          <w:rFonts w:eastAsia="仿宋_GB2312"/>
          <w:color w:val="000000" w:themeColor="text1"/>
          <w:szCs w:val="24"/>
        </w:rPr>
      </w:pPr>
      <w:r>
        <w:rPr>
          <w:rFonts w:eastAsia="仿宋_GB2312"/>
          <w:color w:val="000000" w:themeColor="text1"/>
        </w:rPr>
        <w:t>经现场查勘，本项目用地范围为政府拆迁后净地，地表物质组成为杂填土</w:t>
      </w:r>
      <w:r>
        <w:rPr>
          <w:rFonts w:eastAsia="仿宋_GB2312"/>
          <w:color w:val="000000" w:themeColor="text1"/>
          <w:szCs w:val="24"/>
        </w:rPr>
        <w:t>，</w:t>
      </w:r>
      <w:r>
        <w:rPr>
          <w:rFonts w:hint="eastAsia" w:eastAsia="仿宋_GB2312"/>
          <w:color w:val="000000" w:themeColor="text1"/>
          <w:szCs w:val="24"/>
        </w:rPr>
        <w:t>无表土资源</w:t>
      </w:r>
      <w:r>
        <w:rPr>
          <w:rFonts w:eastAsia="仿宋_GB2312"/>
          <w:color w:val="000000" w:themeColor="text1"/>
        </w:rPr>
        <w:t>；施工结束后，对拟采取绿化措施区域进行</w:t>
      </w:r>
      <w:r>
        <w:rPr>
          <w:rFonts w:eastAsia="仿宋_GB2312"/>
          <w:snapToGrid w:val="0"/>
          <w:color w:val="000000" w:themeColor="text1"/>
          <w:szCs w:val="24"/>
        </w:rPr>
        <w:t>绿化用土回覆</w:t>
      </w:r>
      <w:r>
        <w:rPr>
          <w:rFonts w:eastAsia="仿宋_GB2312"/>
          <w:color w:val="000000" w:themeColor="text1"/>
        </w:rPr>
        <w:t>，工程建设区绿化用土回覆面积</w:t>
      </w:r>
      <w:r>
        <w:rPr>
          <w:rFonts w:hint="eastAsia" w:eastAsia="仿宋_GB2312"/>
          <w:color w:val="000000" w:themeColor="text1"/>
        </w:rPr>
        <w:t>0.</w:t>
      </w:r>
      <w:r>
        <w:rPr>
          <w:rFonts w:hint="eastAsia" w:eastAsia="仿宋_GB2312"/>
          <w:color w:val="000000" w:themeColor="text1"/>
          <w:lang w:val="en-US" w:eastAsia="zh-CN"/>
        </w:rPr>
        <w:t>13</w:t>
      </w:r>
      <w:r>
        <w:rPr>
          <w:rFonts w:hint="eastAsia" w:eastAsia="仿宋_GB2312"/>
          <w:color w:val="000000" w:themeColor="text1"/>
        </w:rPr>
        <w:t>h</w:t>
      </w:r>
      <w:r>
        <w:rPr>
          <w:rFonts w:eastAsia="仿宋_GB2312"/>
          <w:color w:val="000000" w:themeColor="text1"/>
        </w:rPr>
        <w:t>m²，回覆厚度0.</w:t>
      </w:r>
      <w:r>
        <w:rPr>
          <w:rFonts w:hint="eastAsia" w:eastAsia="仿宋_GB2312"/>
          <w:color w:val="000000" w:themeColor="text1"/>
        </w:rPr>
        <w:t>30</w:t>
      </w:r>
      <w:r>
        <w:rPr>
          <w:rFonts w:eastAsia="仿宋_GB2312"/>
          <w:color w:val="000000" w:themeColor="text1"/>
        </w:rPr>
        <w:t>m，绿化用土回覆量</w:t>
      </w:r>
      <w:r>
        <w:rPr>
          <w:rFonts w:hint="eastAsia" w:eastAsia="仿宋_GB2312"/>
          <w:color w:val="000000" w:themeColor="text1"/>
        </w:rPr>
        <w:t>0.</w:t>
      </w:r>
      <w:r>
        <w:rPr>
          <w:rFonts w:hint="eastAsia" w:eastAsia="仿宋_GB2312"/>
          <w:color w:val="000000" w:themeColor="text1"/>
          <w:lang w:val="en-US" w:eastAsia="zh-CN"/>
        </w:rPr>
        <w:t>04</w:t>
      </w:r>
      <w:r>
        <w:rPr>
          <w:rFonts w:eastAsia="仿宋_GB2312"/>
          <w:color w:val="000000" w:themeColor="text1"/>
        </w:rPr>
        <w:t>万</w:t>
      </w:r>
      <w:r>
        <w:rPr>
          <w:rFonts w:eastAsia="仿宋_GB2312"/>
          <w:color w:val="000000" w:themeColor="text1"/>
          <w:szCs w:val="24"/>
        </w:rPr>
        <w:t>m³，</w:t>
      </w:r>
      <w:r>
        <w:rPr>
          <w:rFonts w:eastAsia="仿宋_GB2312"/>
          <w:color w:val="000000" w:themeColor="text1"/>
        </w:rPr>
        <w:t>委托园林绿化公司负责绿化工作，绿化用土由园林绿化公司提供，水土流失防治责任由供应方负责</w:t>
      </w:r>
      <w:r>
        <w:rPr>
          <w:rFonts w:eastAsia="仿宋_GB2312"/>
          <w:color w:val="000000" w:themeColor="text1"/>
          <w:szCs w:val="24"/>
        </w:rPr>
        <w:t>。</w:t>
      </w:r>
    </w:p>
    <w:p>
      <w:pPr>
        <w:spacing w:line="360" w:lineRule="auto"/>
        <w:ind w:firstLine="480" w:firstLineChars="200"/>
        <w:rPr>
          <w:rFonts w:eastAsia="仿宋_GB2312"/>
          <w:color w:val="000000" w:themeColor="text1"/>
          <w:szCs w:val="24"/>
        </w:rPr>
      </w:pPr>
      <w:r>
        <w:rPr>
          <w:rFonts w:eastAsia="仿宋_GB2312"/>
          <w:color w:val="000000" w:themeColor="text1"/>
          <w:szCs w:val="24"/>
        </w:rPr>
        <w:t>（</w:t>
      </w:r>
      <w:r>
        <w:rPr>
          <w:rFonts w:hint="eastAsia" w:eastAsia="仿宋_GB2312"/>
          <w:color w:val="000000" w:themeColor="text1"/>
          <w:szCs w:val="24"/>
        </w:rPr>
        <w:t>2</w:t>
      </w:r>
      <w:r>
        <w:rPr>
          <w:rFonts w:eastAsia="仿宋_GB2312"/>
          <w:color w:val="000000" w:themeColor="text1"/>
          <w:szCs w:val="24"/>
        </w:rPr>
        <w:t>）全面整地</w:t>
      </w:r>
    </w:p>
    <w:p>
      <w:pPr>
        <w:spacing w:line="360" w:lineRule="auto"/>
        <w:ind w:firstLine="480" w:firstLineChars="200"/>
        <w:rPr>
          <w:rFonts w:eastAsia="仿宋_GB2312"/>
          <w:color w:val="000000" w:themeColor="text1"/>
          <w:szCs w:val="24"/>
        </w:rPr>
      </w:pPr>
      <w:r>
        <w:rPr>
          <w:rFonts w:eastAsia="仿宋_GB2312"/>
          <w:bCs/>
          <w:iCs/>
          <w:color w:val="000000" w:themeColor="text1"/>
          <w:szCs w:val="24"/>
        </w:rPr>
        <w:t>绿化用土回覆后，本项目对回覆表土区域采取清除杂物、平整、机械结合人工施肥、翻松等措施整地，耕深0.2～0.3m，整地面积</w:t>
      </w:r>
      <w:r>
        <w:rPr>
          <w:rFonts w:hint="eastAsia" w:eastAsia="仿宋_GB2312"/>
          <w:color w:val="000000" w:themeColor="text1"/>
        </w:rPr>
        <w:t>0.</w:t>
      </w:r>
      <w:r>
        <w:rPr>
          <w:rFonts w:hint="eastAsia" w:eastAsia="仿宋_GB2312"/>
          <w:color w:val="000000" w:themeColor="text1"/>
          <w:lang w:val="en-US" w:eastAsia="zh-CN"/>
        </w:rPr>
        <w:t>13</w:t>
      </w:r>
      <w:r>
        <w:rPr>
          <w:rFonts w:eastAsia="仿宋_GB2312"/>
          <w:bCs/>
          <w:iCs/>
          <w:color w:val="000000" w:themeColor="text1"/>
          <w:szCs w:val="24"/>
        </w:rPr>
        <w:t>hm</w:t>
      </w:r>
      <w:r>
        <w:rPr>
          <w:rFonts w:eastAsia="仿宋_GB2312"/>
          <w:bCs/>
          <w:iCs/>
          <w:color w:val="000000" w:themeColor="text1"/>
          <w:szCs w:val="24"/>
          <w:vertAlign w:val="superscript"/>
        </w:rPr>
        <w:t>2</w:t>
      </w:r>
      <w:r>
        <w:rPr>
          <w:rFonts w:eastAsia="仿宋_GB2312"/>
          <w:bCs/>
          <w:iCs/>
          <w:color w:val="000000" w:themeColor="text1"/>
          <w:szCs w:val="24"/>
        </w:rPr>
        <w:t>。整地时结合施肥、翻松等措施。施肥时要保证土壤含水量在15%～20%</w:t>
      </w:r>
      <w:r>
        <w:rPr>
          <w:rFonts w:eastAsia="仿宋_GB2312"/>
          <w:color w:val="000000" w:themeColor="text1"/>
          <w:szCs w:val="24"/>
        </w:rPr>
        <w:t>。</w:t>
      </w:r>
    </w:p>
    <w:p>
      <w:pPr>
        <w:spacing w:before="120" w:beforeLines="50" w:line="360" w:lineRule="auto"/>
        <w:rPr>
          <w:rFonts w:eastAsia="仿宋_GB2312"/>
          <w:b/>
          <w:snapToGrid w:val="0"/>
          <w:color w:val="000000" w:themeColor="text1"/>
          <w:szCs w:val="24"/>
        </w:rPr>
      </w:pPr>
      <w:r>
        <w:rPr>
          <w:rFonts w:eastAsia="仿宋_GB2312"/>
          <w:b/>
          <w:snapToGrid w:val="0"/>
          <w:color w:val="000000" w:themeColor="text1"/>
          <w:szCs w:val="24"/>
        </w:rPr>
        <w:t>5.3.1.2 植物措施</w:t>
      </w:r>
    </w:p>
    <w:p>
      <w:pPr>
        <w:spacing w:before="120" w:beforeLines="50" w:line="360" w:lineRule="auto"/>
        <w:ind w:firstLine="480" w:firstLineChars="200"/>
        <w:rPr>
          <w:rFonts w:eastAsia="仿宋_GB2312"/>
          <w:bCs/>
          <w:snapToGrid w:val="0"/>
          <w:color w:val="000000" w:themeColor="text1"/>
          <w:szCs w:val="24"/>
          <w:highlight w:val="cyan"/>
        </w:rPr>
      </w:pPr>
      <w:r>
        <w:rPr>
          <w:rFonts w:eastAsia="仿宋_GB2312"/>
          <w:bCs/>
          <w:snapToGrid w:val="0"/>
          <w:color w:val="000000" w:themeColor="text1"/>
          <w:szCs w:val="24"/>
        </w:rPr>
        <w:t>（1）景观绿化</w:t>
      </w:r>
    </w:p>
    <w:p>
      <w:pPr>
        <w:adjustRightInd/>
        <w:spacing w:line="360" w:lineRule="auto"/>
        <w:ind w:firstLine="480" w:firstLineChars="200"/>
        <w:textAlignment w:val="auto"/>
        <w:rPr>
          <w:rFonts w:eastAsia="仿宋_GB2312"/>
          <w:color w:val="000000" w:themeColor="text1"/>
        </w:rPr>
      </w:pPr>
      <w:r>
        <w:rPr>
          <w:rFonts w:eastAsia="仿宋_GB2312"/>
          <w:color w:val="000000" w:themeColor="text1"/>
        </w:rPr>
        <w:t>本项目水土保持工程级别为1级，设计标准为：园林式绿化设计标准。主体工程设计对工程建设区绿化区域进行景观绿化施工，提高场区的环境质量，绿化区域内绿化苗木选取观赏性好，不产生花絮的树木和花卉草坪进行绿化。采用草坪与乔灌木相结合的方式，集中做绿化小品设计，在不影响生产的前提下进行绿化，避免出现裸露地表，绿化区域位于工程建设区道路两侧、建筑物周围、地块四周边界，规划绿化面积</w:t>
      </w:r>
      <w:r>
        <w:rPr>
          <w:rFonts w:hint="eastAsia" w:eastAsia="仿宋_GB2312"/>
          <w:color w:val="000000" w:themeColor="text1"/>
        </w:rPr>
        <w:t>0.</w:t>
      </w:r>
      <w:r>
        <w:rPr>
          <w:rFonts w:hint="eastAsia" w:eastAsia="仿宋_GB2312"/>
          <w:color w:val="000000" w:themeColor="text1"/>
          <w:lang w:val="en-US" w:eastAsia="zh-CN"/>
        </w:rPr>
        <w:t>13</w:t>
      </w:r>
      <w:r>
        <w:rPr>
          <w:rFonts w:eastAsia="仿宋_GB2312"/>
          <w:color w:val="000000" w:themeColor="text1"/>
        </w:rPr>
        <w:t>hm</w:t>
      </w:r>
      <w:r>
        <w:rPr>
          <w:rFonts w:eastAsia="仿宋_GB2312"/>
          <w:color w:val="000000" w:themeColor="text1"/>
          <w:vertAlign w:val="superscript"/>
        </w:rPr>
        <w:t>2</w:t>
      </w:r>
      <w:r>
        <w:rPr>
          <w:rFonts w:eastAsia="仿宋_GB2312"/>
          <w:color w:val="000000" w:themeColor="text1"/>
        </w:rPr>
        <w:t>。</w:t>
      </w:r>
    </w:p>
    <w:p>
      <w:pPr>
        <w:adjustRightInd/>
        <w:spacing w:line="360" w:lineRule="auto"/>
        <w:ind w:firstLine="480" w:firstLineChars="200"/>
        <w:textAlignment w:val="auto"/>
        <w:rPr>
          <w:rFonts w:eastAsia="仿宋_GB2312"/>
          <w:color w:val="000000" w:themeColor="text1"/>
        </w:rPr>
      </w:pPr>
      <w:r>
        <w:rPr>
          <w:rFonts w:eastAsia="仿宋_GB2312"/>
          <w:color w:val="000000" w:themeColor="text1"/>
        </w:rPr>
        <w:t>乔木树种选择观赏性优良、适宜本地的乔木品种，主要树种为：蒙古栎、垂榆、五角枫等景观乔木。</w:t>
      </w:r>
    </w:p>
    <w:p>
      <w:pPr>
        <w:adjustRightInd/>
        <w:spacing w:line="360" w:lineRule="auto"/>
        <w:ind w:firstLine="480" w:firstLineChars="200"/>
        <w:textAlignment w:val="auto"/>
        <w:rPr>
          <w:rFonts w:eastAsia="仿宋_GB2312"/>
          <w:color w:val="000000" w:themeColor="text1"/>
        </w:rPr>
      </w:pPr>
      <w:r>
        <w:rPr>
          <w:rFonts w:eastAsia="仿宋_GB2312"/>
          <w:color w:val="000000" w:themeColor="text1"/>
        </w:rPr>
        <w:t>灌木主要为：女贞、小叶丁香等景观灌木。</w:t>
      </w:r>
    </w:p>
    <w:p>
      <w:pPr>
        <w:adjustRightInd/>
        <w:spacing w:line="360" w:lineRule="auto"/>
        <w:ind w:firstLine="480" w:firstLineChars="200"/>
        <w:textAlignment w:val="auto"/>
        <w:rPr>
          <w:rFonts w:eastAsia="仿宋_GB2312"/>
          <w:color w:val="000000" w:themeColor="text1"/>
        </w:rPr>
      </w:pPr>
      <w:r>
        <w:rPr>
          <w:rFonts w:eastAsia="仿宋_GB2312"/>
          <w:color w:val="000000" w:themeColor="text1"/>
        </w:rPr>
        <w:t>绿篱灌木主要为：小叶榆，单排绿篱栽植开沟沟槽宽0.4m，深0.3m。</w:t>
      </w:r>
    </w:p>
    <w:p>
      <w:pPr>
        <w:adjustRightInd/>
        <w:spacing w:line="360" w:lineRule="auto"/>
        <w:ind w:firstLine="480" w:firstLineChars="200"/>
        <w:textAlignment w:val="auto"/>
        <w:rPr>
          <w:rFonts w:eastAsia="仿宋_GB2312"/>
          <w:color w:val="000000" w:themeColor="text1"/>
        </w:rPr>
      </w:pPr>
      <w:r>
        <w:rPr>
          <w:rFonts w:eastAsia="仿宋_GB2312"/>
          <w:color w:val="000000" w:themeColor="text1"/>
        </w:rPr>
        <w:t>乔木高1.5～3m，株距3～5m，栽植完毕后，用“十”字扁担桩绑扎，树桩采用统一粗细的木桩，桩应深入土层60cm。这样可以有效防止树木位移、倒伏。灌木高0.5～1.5m，栽植深度为土球高度的1-2倍。</w:t>
      </w:r>
      <w:r>
        <w:rPr>
          <w:rFonts w:hint="eastAsia" w:eastAsia="仿宋_GB2312"/>
          <w:color w:val="000000" w:themeColor="text1"/>
        </w:rPr>
        <w:t>采用撒播草籽的方式建植草坪，</w:t>
      </w:r>
      <w:r>
        <w:rPr>
          <w:rFonts w:eastAsia="仿宋_GB2312"/>
          <w:color w:val="000000" w:themeColor="text1"/>
          <w:szCs w:val="24"/>
        </w:rPr>
        <w:t>草籽选用紫羊茅</w:t>
      </w:r>
      <w:r>
        <w:rPr>
          <w:rFonts w:eastAsia="仿宋_GB2312"/>
          <w:color w:val="000000" w:themeColor="text1"/>
        </w:rPr>
        <w:t>。</w:t>
      </w:r>
    </w:p>
    <w:p>
      <w:pPr>
        <w:spacing w:before="120" w:beforeLines="50" w:line="360" w:lineRule="auto"/>
        <w:rPr>
          <w:rFonts w:eastAsia="仿宋_GB2312"/>
          <w:b/>
          <w:snapToGrid w:val="0"/>
          <w:color w:val="000000" w:themeColor="text1"/>
          <w:szCs w:val="24"/>
        </w:rPr>
      </w:pPr>
      <w:r>
        <w:rPr>
          <w:rFonts w:eastAsia="仿宋_GB2312"/>
          <w:b/>
          <w:snapToGrid w:val="0"/>
          <w:color w:val="000000" w:themeColor="text1"/>
          <w:szCs w:val="24"/>
        </w:rPr>
        <w:t>5.3.1.3 临时措施</w:t>
      </w:r>
    </w:p>
    <w:p>
      <w:pPr>
        <w:spacing w:line="360" w:lineRule="auto"/>
        <w:ind w:firstLine="480" w:firstLineChars="200"/>
        <w:rPr>
          <w:rFonts w:eastAsia="仿宋_GB2312"/>
          <w:color w:val="000000" w:themeColor="text1"/>
          <w:szCs w:val="24"/>
        </w:rPr>
      </w:pPr>
      <w:r>
        <w:rPr>
          <w:rFonts w:eastAsia="仿宋_GB2312"/>
          <w:color w:val="000000" w:themeColor="text1"/>
          <w:szCs w:val="24"/>
        </w:rPr>
        <w:t>（1）临时堆土防护</w:t>
      </w:r>
    </w:p>
    <w:p>
      <w:pPr>
        <w:spacing w:line="360" w:lineRule="auto"/>
        <w:ind w:firstLine="480" w:firstLineChars="200"/>
        <w:rPr>
          <w:rFonts w:eastAsia="仿宋_GB2312"/>
          <w:color w:val="000000" w:themeColor="text1"/>
          <w:szCs w:val="24"/>
        </w:rPr>
      </w:pPr>
      <w:r>
        <w:rPr>
          <w:rFonts w:eastAsia="仿宋_GB2312"/>
          <w:color w:val="000000" w:themeColor="text1"/>
        </w:rPr>
        <w:t>本项目土方临时堆放场位于项目区</w:t>
      </w:r>
      <w:r>
        <w:rPr>
          <w:rFonts w:hint="eastAsia" w:eastAsia="仿宋_GB2312"/>
          <w:color w:val="000000" w:themeColor="text1"/>
        </w:rPr>
        <w:t>内中间空地</w:t>
      </w:r>
      <w:r>
        <w:rPr>
          <w:rFonts w:eastAsia="仿宋_GB2312"/>
          <w:color w:val="000000" w:themeColor="text1"/>
        </w:rPr>
        <w:t>，</w:t>
      </w:r>
      <w:r>
        <w:rPr>
          <w:rFonts w:eastAsia="仿宋_GB2312"/>
          <w:snapToGrid w:val="0"/>
          <w:color w:val="000000" w:themeColor="text1"/>
          <w:szCs w:val="24"/>
        </w:rPr>
        <w:t>台体堆放，边坡比1:1</w:t>
      </w:r>
      <w:r>
        <w:rPr>
          <w:rFonts w:hint="eastAsia" w:eastAsia="仿宋_GB2312"/>
          <w:snapToGrid w:val="0"/>
          <w:color w:val="000000" w:themeColor="text1"/>
          <w:szCs w:val="24"/>
        </w:rPr>
        <w:t>.5</w:t>
      </w:r>
      <w:r>
        <w:rPr>
          <w:rFonts w:eastAsia="仿宋_GB2312"/>
          <w:snapToGrid w:val="0"/>
          <w:color w:val="000000" w:themeColor="text1"/>
          <w:szCs w:val="24"/>
        </w:rPr>
        <w:t>，</w:t>
      </w:r>
      <w:r>
        <w:rPr>
          <w:rFonts w:eastAsia="仿宋_GB2312"/>
          <w:color w:val="000000" w:themeColor="text1"/>
        </w:rPr>
        <w:t>土方临时堆土场</w:t>
      </w:r>
      <w:r>
        <w:rPr>
          <w:rFonts w:eastAsia="仿宋_GB2312"/>
          <w:color w:val="000000" w:themeColor="text1"/>
          <w:szCs w:val="24"/>
        </w:rPr>
        <w:t>规格为</w:t>
      </w:r>
      <w:r>
        <w:rPr>
          <w:rFonts w:hint="eastAsia" w:eastAsia="仿宋_GB2312"/>
          <w:color w:val="000000" w:themeColor="text1"/>
          <w:szCs w:val="24"/>
        </w:rPr>
        <w:t>5</w:t>
      </w:r>
      <w:r>
        <w:rPr>
          <w:rFonts w:hint="eastAsia" w:eastAsia="仿宋_GB2312"/>
          <w:color w:val="000000" w:themeColor="text1"/>
          <w:szCs w:val="24"/>
          <w:lang w:val="en-US" w:eastAsia="zh-CN"/>
        </w:rPr>
        <w:t>5</w:t>
      </w:r>
      <w:r>
        <w:rPr>
          <w:rFonts w:eastAsia="仿宋_GB2312"/>
          <w:color w:val="000000" w:themeColor="text1"/>
        </w:rPr>
        <w:t>m（长）×</w:t>
      </w:r>
      <w:r>
        <w:rPr>
          <w:rFonts w:hint="eastAsia" w:eastAsia="仿宋_GB2312"/>
          <w:color w:val="000000" w:themeColor="text1"/>
          <w:lang w:val="en-US" w:eastAsia="zh-CN"/>
        </w:rPr>
        <w:t>12</w:t>
      </w:r>
      <w:r>
        <w:rPr>
          <w:rFonts w:eastAsia="仿宋_GB2312"/>
          <w:color w:val="000000" w:themeColor="text1"/>
        </w:rPr>
        <w:t>m（宽）</w:t>
      </w:r>
      <w:r>
        <w:rPr>
          <w:rFonts w:eastAsia="仿宋_GB2312"/>
          <w:color w:val="000000" w:themeColor="text1"/>
          <w:szCs w:val="24"/>
        </w:rPr>
        <w:t>，占地面积</w:t>
      </w:r>
      <w:r>
        <w:rPr>
          <w:rFonts w:hint="eastAsia" w:eastAsia="仿宋_GB2312"/>
          <w:color w:val="000000" w:themeColor="text1"/>
          <w:szCs w:val="24"/>
          <w:lang w:val="en-US" w:eastAsia="zh-CN"/>
        </w:rPr>
        <w:t>66</w:t>
      </w:r>
      <w:r>
        <w:rPr>
          <w:rFonts w:hint="eastAsia" w:eastAsia="仿宋_GB2312"/>
          <w:color w:val="000000" w:themeColor="text1"/>
          <w:szCs w:val="24"/>
        </w:rPr>
        <w:t>0</w:t>
      </w:r>
      <w:r>
        <w:rPr>
          <w:rFonts w:eastAsia="仿宋_GB2312"/>
          <w:color w:val="000000" w:themeColor="text1"/>
          <w:szCs w:val="24"/>
        </w:rPr>
        <w:t>m</w:t>
      </w:r>
      <w:r>
        <w:rPr>
          <w:rFonts w:eastAsia="仿宋_GB2312"/>
          <w:color w:val="000000" w:themeColor="text1"/>
          <w:szCs w:val="24"/>
          <w:vertAlign w:val="superscript"/>
        </w:rPr>
        <w:t>2</w:t>
      </w:r>
      <w:r>
        <w:rPr>
          <w:rFonts w:eastAsia="仿宋_GB2312"/>
          <w:color w:val="000000" w:themeColor="text1"/>
          <w:szCs w:val="24"/>
        </w:rPr>
        <w:t>，堆高为</w:t>
      </w:r>
      <w:r>
        <w:rPr>
          <w:rFonts w:hint="eastAsia" w:eastAsia="仿宋_GB2312"/>
          <w:color w:val="000000" w:themeColor="text1"/>
          <w:szCs w:val="24"/>
        </w:rPr>
        <w:t>4</w:t>
      </w:r>
      <w:r>
        <w:rPr>
          <w:rFonts w:eastAsia="仿宋_GB2312"/>
          <w:color w:val="000000" w:themeColor="text1"/>
          <w:szCs w:val="24"/>
        </w:rPr>
        <w:t>.0m，</w:t>
      </w:r>
      <w:r>
        <w:rPr>
          <w:rFonts w:eastAsia="仿宋_GB2312"/>
          <w:color w:val="000000" w:themeColor="text1"/>
        </w:rPr>
        <w:t>土方临时堆放场满足本项目土方堆置需求</w:t>
      </w:r>
      <w:r>
        <w:rPr>
          <w:rFonts w:eastAsia="仿宋_GB2312"/>
          <w:color w:val="000000" w:themeColor="text1"/>
          <w:szCs w:val="24"/>
        </w:rPr>
        <w:t>，临时堆置土方之前先设置编织袋土（编织袋规格为0.5m×0.3m×0.2m）围挡措施，共计围挡防护长度</w:t>
      </w:r>
      <w:r>
        <w:rPr>
          <w:rFonts w:hint="eastAsia" w:eastAsia="仿宋_GB2312"/>
          <w:color w:val="000000" w:themeColor="text1"/>
          <w:szCs w:val="24"/>
        </w:rPr>
        <w:t>1</w:t>
      </w:r>
      <w:r>
        <w:rPr>
          <w:rFonts w:hint="eastAsia" w:eastAsia="仿宋_GB2312"/>
          <w:color w:val="000000" w:themeColor="text1"/>
          <w:szCs w:val="24"/>
          <w:lang w:val="en-US" w:eastAsia="zh-CN"/>
        </w:rPr>
        <w:t>26</w:t>
      </w:r>
      <w:r>
        <w:rPr>
          <w:rFonts w:eastAsia="仿宋_GB2312"/>
          <w:color w:val="000000" w:themeColor="text1"/>
          <w:szCs w:val="24"/>
        </w:rPr>
        <w:t>m（预留8m宽出口）。编织袋土拦挡堆砌断面成梯形，上底0.3m，下底0.9m，高0.6m，需编织袋土砌体</w:t>
      </w:r>
      <w:r>
        <w:rPr>
          <w:rFonts w:hint="eastAsia" w:eastAsia="仿宋_GB2312"/>
          <w:color w:val="000000" w:themeColor="text1"/>
          <w:szCs w:val="24"/>
          <w:lang w:val="en-US" w:eastAsia="zh-CN"/>
        </w:rPr>
        <w:t>46</w:t>
      </w:r>
      <w:r>
        <w:rPr>
          <w:rFonts w:eastAsia="仿宋_GB2312"/>
          <w:color w:val="000000" w:themeColor="text1"/>
          <w:szCs w:val="24"/>
        </w:rPr>
        <w:t>m</w:t>
      </w:r>
      <w:r>
        <w:rPr>
          <w:rFonts w:eastAsia="仿宋_GB2312"/>
          <w:color w:val="000000" w:themeColor="text1"/>
          <w:szCs w:val="24"/>
          <w:vertAlign w:val="superscript"/>
        </w:rPr>
        <w:t>3</w:t>
      </w:r>
      <w:r>
        <w:rPr>
          <w:rFonts w:eastAsia="仿宋_GB2312"/>
          <w:color w:val="000000" w:themeColor="text1"/>
          <w:szCs w:val="24"/>
        </w:rPr>
        <w:t>，工程完工后需编织袋装土拆除</w:t>
      </w:r>
      <w:r>
        <w:rPr>
          <w:rFonts w:hint="eastAsia" w:eastAsia="仿宋_GB2312"/>
          <w:color w:val="000000" w:themeColor="text1"/>
          <w:szCs w:val="24"/>
          <w:lang w:val="en-US" w:eastAsia="zh-CN"/>
        </w:rPr>
        <w:t>46</w:t>
      </w:r>
      <w:r>
        <w:rPr>
          <w:rFonts w:eastAsia="仿宋_GB2312"/>
          <w:color w:val="000000" w:themeColor="text1"/>
          <w:szCs w:val="24"/>
        </w:rPr>
        <w:t>m</w:t>
      </w:r>
      <w:r>
        <w:rPr>
          <w:rFonts w:eastAsia="仿宋_GB2312"/>
          <w:color w:val="000000" w:themeColor="text1"/>
          <w:szCs w:val="24"/>
          <w:vertAlign w:val="superscript"/>
        </w:rPr>
        <w:t>3</w:t>
      </w:r>
      <w:r>
        <w:rPr>
          <w:rFonts w:eastAsia="仿宋_GB2312"/>
          <w:color w:val="000000" w:themeColor="text1"/>
          <w:szCs w:val="24"/>
        </w:rPr>
        <w:t>；对临时堆存的土方需要进行密目网覆盖，共需密目网覆盖</w:t>
      </w:r>
      <w:r>
        <w:rPr>
          <w:rFonts w:hint="eastAsia" w:eastAsia="仿宋_GB2312"/>
          <w:color w:val="000000" w:themeColor="text1"/>
          <w:szCs w:val="24"/>
          <w:lang w:val="en-US" w:eastAsia="zh-CN"/>
        </w:rPr>
        <w:t>86</w:t>
      </w:r>
      <w:r>
        <w:rPr>
          <w:rFonts w:hint="eastAsia" w:eastAsia="仿宋_GB2312"/>
          <w:color w:val="000000" w:themeColor="text1"/>
          <w:szCs w:val="24"/>
        </w:rPr>
        <w:t>0</w:t>
      </w:r>
      <w:r>
        <w:rPr>
          <w:rFonts w:eastAsia="仿宋_GB2312"/>
          <w:color w:val="000000" w:themeColor="text1"/>
          <w:szCs w:val="24"/>
        </w:rPr>
        <w:t>m</w:t>
      </w:r>
      <w:r>
        <w:rPr>
          <w:rFonts w:eastAsia="仿宋_GB2312"/>
          <w:color w:val="000000" w:themeColor="text1"/>
          <w:szCs w:val="24"/>
          <w:vertAlign w:val="superscript"/>
        </w:rPr>
        <w:t>2</w:t>
      </w:r>
      <w:r>
        <w:rPr>
          <w:rFonts w:eastAsia="仿宋_GB2312"/>
          <w:color w:val="000000" w:themeColor="text1"/>
          <w:szCs w:val="24"/>
        </w:rPr>
        <w:t>。</w:t>
      </w:r>
    </w:p>
    <w:p>
      <w:pPr>
        <w:spacing w:line="360" w:lineRule="auto"/>
        <w:ind w:firstLine="480" w:firstLineChars="200"/>
        <w:jc w:val="both"/>
        <w:rPr>
          <w:rFonts w:eastAsia="仿宋_GB2312"/>
          <w:color w:val="000000" w:themeColor="text1"/>
        </w:rPr>
      </w:pPr>
      <w:r>
        <w:rPr>
          <w:rFonts w:eastAsia="仿宋_GB2312"/>
          <w:color w:val="000000" w:themeColor="text1"/>
          <w:szCs w:val="24"/>
        </w:rPr>
        <w:t>本项目管线沟槽开挖土无需集中堆存，管线施工结束后立即回填，管线回填土石方需密目网覆盖</w:t>
      </w:r>
      <w:r>
        <w:rPr>
          <w:rFonts w:hint="eastAsia" w:eastAsia="仿宋_GB2312"/>
          <w:color w:val="000000" w:themeColor="text1"/>
          <w:szCs w:val="24"/>
          <w:lang w:val="en-US" w:eastAsia="zh-CN"/>
        </w:rPr>
        <w:t>7</w:t>
      </w:r>
      <w:r>
        <w:rPr>
          <w:rFonts w:hint="eastAsia" w:eastAsia="仿宋_GB2312"/>
          <w:color w:val="000000" w:themeColor="text1"/>
          <w:szCs w:val="24"/>
        </w:rPr>
        <w:t>00</w:t>
      </w:r>
      <w:r>
        <w:rPr>
          <w:rFonts w:eastAsia="仿宋_GB2312"/>
          <w:color w:val="000000" w:themeColor="text1"/>
          <w:szCs w:val="24"/>
        </w:rPr>
        <w:t>m</w:t>
      </w:r>
      <w:r>
        <w:rPr>
          <w:rFonts w:eastAsia="仿宋_GB2312"/>
          <w:color w:val="000000" w:themeColor="text1"/>
          <w:szCs w:val="24"/>
          <w:vertAlign w:val="superscript"/>
        </w:rPr>
        <w:t>2</w:t>
      </w:r>
      <w:r>
        <w:rPr>
          <w:rFonts w:eastAsia="仿宋_GB2312"/>
          <w:color w:val="000000" w:themeColor="text1"/>
        </w:rPr>
        <w:t>。</w:t>
      </w:r>
    </w:p>
    <w:p>
      <w:pPr>
        <w:spacing w:line="360" w:lineRule="auto"/>
        <w:jc w:val="both"/>
        <w:rPr>
          <w:rFonts w:eastAsia="仿宋_GB2312"/>
          <w:b/>
          <w:color w:val="000000" w:themeColor="text1"/>
          <w:szCs w:val="24"/>
        </w:rPr>
      </w:pPr>
      <w:r>
        <w:rPr>
          <w:rFonts w:eastAsia="仿宋_GB2312"/>
          <w:b/>
          <w:color w:val="000000" w:themeColor="text1"/>
          <w:szCs w:val="24"/>
        </w:rPr>
        <w:t>5.3.2水土保持防治措施工程量汇总</w:t>
      </w:r>
    </w:p>
    <w:p>
      <w:pPr>
        <w:spacing w:line="360" w:lineRule="auto"/>
        <w:ind w:firstLine="480" w:firstLineChars="200"/>
        <w:rPr>
          <w:rFonts w:eastAsia="仿宋_GB2312"/>
          <w:color w:val="000000" w:themeColor="text1"/>
        </w:rPr>
      </w:pPr>
      <w:r>
        <w:rPr>
          <w:rFonts w:eastAsia="仿宋_GB2312"/>
          <w:color w:val="000000" w:themeColor="text1"/>
        </w:rPr>
        <w:t>本项目水土保持措施汇总情况表详见表5-2。</w:t>
      </w:r>
    </w:p>
    <w:p>
      <w:pPr>
        <w:spacing w:line="360" w:lineRule="auto"/>
        <w:jc w:val="center"/>
        <w:rPr>
          <w:rFonts w:eastAsia="仿宋_GB2312"/>
          <w:b/>
          <w:color w:val="000000" w:themeColor="text1"/>
        </w:rPr>
      </w:pPr>
      <w:r>
        <w:rPr>
          <w:rFonts w:eastAsia="仿宋_GB2312"/>
          <w:b/>
          <w:color w:val="000000" w:themeColor="text1"/>
        </w:rPr>
        <w:t>表5-2    水土保持措施汇总情况表</w:t>
      </w:r>
    </w:p>
    <w:tbl>
      <w:tblPr>
        <w:tblStyle w:val="23"/>
        <w:tblW w:w="4998"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0" w:type="dxa"/>
          <w:bottom w:w="0" w:type="dxa"/>
          <w:right w:w="0" w:type="dxa"/>
        </w:tblCellMar>
      </w:tblPr>
      <w:tblGrid>
        <w:gridCol w:w="1946"/>
        <w:gridCol w:w="1767"/>
        <w:gridCol w:w="2063"/>
        <w:gridCol w:w="1031"/>
        <w:gridCol w:w="1532"/>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66" w:type="pct"/>
            <w:tcBorders>
              <w:tl2br w:val="nil"/>
              <w:tr2bl w:val="nil"/>
            </w:tcBorders>
            <w:tcMar>
              <w:top w:w="15" w:type="dxa"/>
              <w:left w:w="15" w:type="dxa"/>
              <w:bottom w:w="0" w:type="dxa"/>
              <w:right w:w="15" w:type="dxa"/>
            </w:tcMar>
            <w:vAlign w:val="center"/>
          </w:tcPr>
          <w:p>
            <w:pPr>
              <w:jc w:val="center"/>
              <w:rPr>
                <w:rFonts w:eastAsia="仿宋_GB2312"/>
                <w:color w:val="000000" w:themeColor="text1"/>
                <w:sz w:val="21"/>
                <w:szCs w:val="21"/>
              </w:rPr>
            </w:pPr>
            <w:r>
              <w:rPr>
                <w:rFonts w:eastAsia="仿宋_GB2312"/>
                <w:color w:val="000000" w:themeColor="text1"/>
                <w:sz w:val="21"/>
                <w:szCs w:val="21"/>
              </w:rPr>
              <w:t>防治分区</w:t>
            </w:r>
          </w:p>
        </w:tc>
        <w:tc>
          <w:tcPr>
            <w:tcW w:w="1059" w:type="pct"/>
            <w:tcBorders>
              <w:tl2br w:val="nil"/>
              <w:tr2bl w:val="nil"/>
            </w:tcBorders>
            <w:tcMar>
              <w:top w:w="15" w:type="dxa"/>
              <w:left w:w="15" w:type="dxa"/>
              <w:bottom w:w="0" w:type="dxa"/>
              <w:right w:w="15" w:type="dxa"/>
            </w:tcMar>
            <w:vAlign w:val="center"/>
          </w:tcPr>
          <w:p>
            <w:pPr>
              <w:jc w:val="center"/>
              <w:rPr>
                <w:rFonts w:eastAsia="仿宋_GB2312"/>
                <w:color w:val="000000" w:themeColor="text1"/>
                <w:sz w:val="21"/>
                <w:szCs w:val="21"/>
              </w:rPr>
            </w:pPr>
            <w:r>
              <w:rPr>
                <w:rFonts w:eastAsia="仿宋_GB2312"/>
                <w:color w:val="000000" w:themeColor="text1"/>
                <w:sz w:val="21"/>
                <w:szCs w:val="21"/>
              </w:rPr>
              <w:t>水保措施</w:t>
            </w:r>
          </w:p>
        </w:tc>
        <w:tc>
          <w:tcPr>
            <w:tcW w:w="1236" w:type="pct"/>
            <w:tcBorders>
              <w:tl2br w:val="nil"/>
              <w:tr2bl w:val="nil"/>
            </w:tcBorders>
            <w:tcMar>
              <w:top w:w="15" w:type="dxa"/>
              <w:left w:w="15" w:type="dxa"/>
              <w:bottom w:w="0" w:type="dxa"/>
              <w:right w:w="15" w:type="dxa"/>
            </w:tcMar>
            <w:vAlign w:val="center"/>
          </w:tcPr>
          <w:p>
            <w:pPr>
              <w:jc w:val="center"/>
              <w:rPr>
                <w:rFonts w:eastAsia="仿宋_GB2312"/>
                <w:color w:val="000000" w:themeColor="text1"/>
                <w:sz w:val="21"/>
                <w:szCs w:val="21"/>
              </w:rPr>
            </w:pPr>
            <w:r>
              <w:rPr>
                <w:rFonts w:eastAsia="仿宋_GB2312"/>
                <w:color w:val="000000" w:themeColor="text1"/>
                <w:sz w:val="21"/>
                <w:szCs w:val="21"/>
              </w:rPr>
              <w:t>措施名称</w:t>
            </w:r>
          </w:p>
        </w:tc>
        <w:tc>
          <w:tcPr>
            <w:tcW w:w="618" w:type="pct"/>
            <w:tcBorders>
              <w:tl2br w:val="nil"/>
              <w:tr2bl w:val="nil"/>
            </w:tcBorders>
            <w:tcMar>
              <w:top w:w="15" w:type="dxa"/>
              <w:left w:w="15" w:type="dxa"/>
              <w:bottom w:w="0" w:type="dxa"/>
              <w:right w:w="15" w:type="dxa"/>
            </w:tcMar>
            <w:vAlign w:val="center"/>
          </w:tcPr>
          <w:p>
            <w:pPr>
              <w:jc w:val="center"/>
              <w:rPr>
                <w:rFonts w:eastAsia="仿宋_GB2312"/>
                <w:color w:val="000000" w:themeColor="text1"/>
                <w:sz w:val="21"/>
                <w:szCs w:val="21"/>
              </w:rPr>
            </w:pPr>
            <w:r>
              <w:rPr>
                <w:rFonts w:eastAsia="仿宋_GB2312"/>
                <w:color w:val="000000" w:themeColor="text1"/>
                <w:sz w:val="21"/>
                <w:szCs w:val="21"/>
              </w:rPr>
              <w:t>单位</w:t>
            </w:r>
          </w:p>
        </w:tc>
        <w:tc>
          <w:tcPr>
            <w:tcW w:w="918" w:type="pct"/>
            <w:tcBorders>
              <w:tl2br w:val="nil"/>
              <w:tr2bl w:val="nil"/>
            </w:tcBorders>
            <w:tcMar>
              <w:top w:w="15" w:type="dxa"/>
              <w:left w:w="15" w:type="dxa"/>
              <w:bottom w:w="0" w:type="dxa"/>
              <w:right w:w="15" w:type="dxa"/>
            </w:tcMar>
            <w:vAlign w:val="center"/>
          </w:tcPr>
          <w:p>
            <w:pPr>
              <w:jc w:val="center"/>
              <w:rPr>
                <w:rFonts w:eastAsia="仿宋_GB2312"/>
                <w:color w:val="000000" w:themeColor="text1"/>
                <w:sz w:val="21"/>
                <w:szCs w:val="21"/>
              </w:rPr>
            </w:pPr>
            <w:r>
              <w:rPr>
                <w:rFonts w:eastAsia="仿宋_GB2312"/>
                <w:color w:val="000000" w:themeColor="text1"/>
                <w:sz w:val="21"/>
                <w:szCs w:val="21"/>
              </w:rPr>
              <w:t>数量</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66" w:type="pct"/>
            <w:vMerge w:val="restart"/>
            <w:tcBorders>
              <w:tl2br w:val="nil"/>
              <w:tr2bl w:val="nil"/>
            </w:tcBorders>
            <w:vAlign w:val="center"/>
          </w:tcPr>
          <w:p>
            <w:pPr>
              <w:jc w:val="center"/>
              <w:rPr>
                <w:rFonts w:eastAsia="仿宋_GB2312"/>
                <w:color w:val="000000" w:themeColor="text1"/>
                <w:sz w:val="21"/>
                <w:szCs w:val="21"/>
              </w:rPr>
            </w:pPr>
            <w:r>
              <w:rPr>
                <w:rFonts w:eastAsia="仿宋_GB2312"/>
                <w:color w:val="000000" w:themeColor="text1"/>
                <w:sz w:val="21"/>
                <w:szCs w:val="21"/>
              </w:rPr>
              <w:t>工程建设区</w:t>
            </w:r>
          </w:p>
        </w:tc>
        <w:tc>
          <w:tcPr>
            <w:tcW w:w="1059" w:type="pct"/>
            <w:vMerge w:val="restart"/>
            <w:tcBorders>
              <w:tl2br w:val="nil"/>
              <w:tr2bl w:val="nil"/>
            </w:tcBorders>
            <w:vAlign w:val="center"/>
          </w:tcPr>
          <w:p>
            <w:pPr>
              <w:jc w:val="center"/>
              <w:rPr>
                <w:rFonts w:eastAsia="仿宋_GB2312"/>
                <w:color w:val="000000" w:themeColor="text1"/>
                <w:sz w:val="21"/>
                <w:szCs w:val="21"/>
              </w:rPr>
            </w:pPr>
            <w:r>
              <w:rPr>
                <w:rFonts w:eastAsia="仿宋_GB2312"/>
                <w:color w:val="000000" w:themeColor="text1"/>
                <w:sz w:val="21"/>
                <w:szCs w:val="21"/>
              </w:rPr>
              <w:t>工程措施</w:t>
            </w:r>
          </w:p>
        </w:tc>
        <w:tc>
          <w:tcPr>
            <w:tcW w:w="1236" w:type="pct"/>
            <w:tcBorders>
              <w:tl2br w:val="nil"/>
              <w:tr2bl w:val="nil"/>
            </w:tcBorders>
            <w:tcMar>
              <w:top w:w="15" w:type="dxa"/>
              <w:left w:w="15" w:type="dxa"/>
              <w:bottom w:w="0" w:type="dxa"/>
              <w:right w:w="15" w:type="dxa"/>
            </w:tcMar>
            <w:vAlign w:val="center"/>
          </w:tcPr>
          <w:p>
            <w:pPr>
              <w:jc w:val="center"/>
              <w:rPr>
                <w:rFonts w:eastAsia="仿宋_GB2312"/>
                <w:color w:val="000000" w:themeColor="text1"/>
                <w:sz w:val="21"/>
                <w:szCs w:val="21"/>
              </w:rPr>
            </w:pPr>
            <w:r>
              <w:rPr>
                <w:rFonts w:eastAsia="仿宋_GB2312"/>
                <w:color w:val="000000" w:themeColor="text1"/>
                <w:sz w:val="21"/>
                <w:szCs w:val="21"/>
              </w:rPr>
              <w:t>绿化用土回覆</w:t>
            </w:r>
          </w:p>
        </w:tc>
        <w:tc>
          <w:tcPr>
            <w:tcW w:w="618" w:type="pct"/>
            <w:tcBorders>
              <w:tl2br w:val="nil"/>
              <w:tr2bl w:val="nil"/>
            </w:tcBorders>
            <w:tcMar>
              <w:top w:w="15" w:type="dxa"/>
              <w:left w:w="15" w:type="dxa"/>
              <w:bottom w:w="0" w:type="dxa"/>
              <w:right w:w="15" w:type="dxa"/>
            </w:tcMar>
            <w:vAlign w:val="center"/>
          </w:tcPr>
          <w:p>
            <w:pPr>
              <w:jc w:val="center"/>
              <w:rPr>
                <w:rFonts w:eastAsia="仿宋_GB2312"/>
                <w:color w:val="000000" w:themeColor="text1"/>
                <w:sz w:val="21"/>
                <w:szCs w:val="21"/>
              </w:rPr>
            </w:pPr>
            <w:r>
              <w:rPr>
                <w:rFonts w:eastAsia="仿宋_GB2312"/>
                <w:color w:val="000000" w:themeColor="text1"/>
                <w:sz w:val="21"/>
                <w:szCs w:val="21"/>
              </w:rPr>
              <w:t>万m</w:t>
            </w:r>
            <w:r>
              <w:rPr>
                <w:rFonts w:eastAsia="仿宋_GB2312"/>
                <w:color w:val="000000" w:themeColor="text1"/>
                <w:sz w:val="21"/>
                <w:szCs w:val="21"/>
                <w:vertAlign w:val="superscript"/>
              </w:rPr>
              <w:t>3</w:t>
            </w:r>
          </w:p>
        </w:tc>
        <w:tc>
          <w:tcPr>
            <w:tcW w:w="918" w:type="pct"/>
            <w:tcBorders>
              <w:tl2br w:val="nil"/>
              <w:tr2bl w:val="nil"/>
            </w:tcBorders>
            <w:tcMar>
              <w:top w:w="15" w:type="dxa"/>
              <w:left w:w="15" w:type="dxa"/>
              <w:bottom w:w="0" w:type="dxa"/>
              <w:right w:w="15" w:type="dxa"/>
            </w:tcMar>
            <w:vAlign w:val="center"/>
          </w:tcPr>
          <w:p>
            <w:pPr>
              <w:jc w:val="center"/>
              <w:rPr>
                <w:rFonts w:hint="default" w:eastAsia="仿宋_GB2312"/>
                <w:color w:val="000000" w:themeColor="text1"/>
                <w:sz w:val="21"/>
                <w:szCs w:val="21"/>
                <w:lang w:val="en-US" w:eastAsia="zh-CN"/>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04</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66" w:type="pct"/>
            <w:vMerge w:val="continue"/>
            <w:tcBorders>
              <w:tl2br w:val="nil"/>
              <w:tr2bl w:val="nil"/>
            </w:tcBorders>
            <w:vAlign w:val="center"/>
          </w:tcPr>
          <w:p>
            <w:pPr>
              <w:jc w:val="center"/>
              <w:rPr>
                <w:rFonts w:eastAsia="仿宋_GB2312"/>
                <w:color w:val="000000" w:themeColor="text1"/>
                <w:sz w:val="21"/>
                <w:szCs w:val="21"/>
              </w:rPr>
            </w:pPr>
          </w:p>
        </w:tc>
        <w:tc>
          <w:tcPr>
            <w:tcW w:w="1059" w:type="pct"/>
            <w:vMerge w:val="continue"/>
            <w:tcBorders>
              <w:tl2br w:val="nil"/>
              <w:tr2bl w:val="nil"/>
            </w:tcBorders>
            <w:vAlign w:val="center"/>
          </w:tcPr>
          <w:p>
            <w:pPr>
              <w:jc w:val="center"/>
              <w:rPr>
                <w:rFonts w:eastAsia="仿宋_GB2312"/>
                <w:color w:val="000000" w:themeColor="text1"/>
                <w:sz w:val="21"/>
                <w:szCs w:val="21"/>
              </w:rPr>
            </w:pPr>
          </w:p>
        </w:tc>
        <w:tc>
          <w:tcPr>
            <w:tcW w:w="1236" w:type="pct"/>
            <w:tcBorders>
              <w:tl2br w:val="nil"/>
              <w:tr2bl w:val="nil"/>
            </w:tcBorders>
            <w:tcMar>
              <w:top w:w="15" w:type="dxa"/>
              <w:left w:w="15" w:type="dxa"/>
              <w:bottom w:w="0" w:type="dxa"/>
              <w:right w:w="15" w:type="dxa"/>
            </w:tcMar>
            <w:vAlign w:val="center"/>
          </w:tcPr>
          <w:p>
            <w:pPr>
              <w:jc w:val="center"/>
              <w:rPr>
                <w:rFonts w:eastAsia="仿宋_GB2312"/>
                <w:color w:val="000000" w:themeColor="text1"/>
                <w:sz w:val="21"/>
                <w:szCs w:val="21"/>
              </w:rPr>
            </w:pPr>
            <w:r>
              <w:rPr>
                <w:rFonts w:eastAsia="仿宋_GB2312"/>
                <w:color w:val="000000" w:themeColor="text1"/>
                <w:sz w:val="21"/>
                <w:szCs w:val="21"/>
              </w:rPr>
              <w:t>全面整地</w:t>
            </w:r>
          </w:p>
        </w:tc>
        <w:tc>
          <w:tcPr>
            <w:tcW w:w="618" w:type="pct"/>
            <w:tcBorders>
              <w:tl2br w:val="nil"/>
              <w:tr2bl w:val="nil"/>
            </w:tcBorders>
            <w:tcMar>
              <w:top w:w="15" w:type="dxa"/>
              <w:left w:w="15" w:type="dxa"/>
              <w:bottom w:w="0" w:type="dxa"/>
              <w:right w:w="15" w:type="dxa"/>
            </w:tcMar>
            <w:vAlign w:val="center"/>
          </w:tcPr>
          <w:p>
            <w:pPr>
              <w:jc w:val="center"/>
              <w:rPr>
                <w:rFonts w:eastAsia="仿宋_GB2312"/>
                <w:color w:val="000000" w:themeColor="text1"/>
                <w:sz w:val="21"/>
                <w:szCs w:val="21"/>
              </w:rPr>
            </w:pPr>
            <w:r>
              <w:rPr>
                <w:rFonts w:eastAsia="仿宋_GB2312"/>
                <w:color w:val="000000" w:themeColor="text1"/>
                <w:sz w:val="21"/>
                <w:szCs w:val="21"/>
              </w:rPr>
              <w:t>hm</w:t>
            </w:r>
            <w:r>
              <w:rPr>
                <w:rFonts w:eastAsia="仿宋_GB2312"/>
                <w:color w:val="000000" w:themeColor="text1"/>
                <w:sz w:val="21"/>
                <w:szCs w:val="21"/>
                <w:vertAlign w:val="superscript"/>
              </w:rPr>
              <w:t>2</w:t>
            </w:r>
          </w:p>
        </w:tc>
        <w:tc>
          <w:tcPr>
            <w:tcW w:w="918" w:type="pct"/>
            <w:tcBorders>
              <w:tl2br w:val="nil"/>
              <w:tr2bl w:val="nil"/>
            </w:tcBorders>
            <w:tcMar>
              <w:top w:w="15" w:type="dxa"/>
              <w:left w:w="15" w:type="dxa"/>
              <w:bottom w:w="0" w:type="dxa"/>
              <w:right w:w="15" w:type="dxa"/>
            </w:tcMar>
            <w:vAlign w:val="center"/>
          </w:tcPr>
          <w:p>
            <w:pPr>
              <w:jc w:val="center"/>
              <w:rPr>
                <w:rFonts w:hint="default" w:eastAsia="仿宋_GB2312"/>
                <w:color w:val="000000" w:themeColor="text1"/>
                <w:sz w:val="21"/>
                <w:szCs w:val="21"/>
                <w:lang w:val="en-US" w:eastAsia="zh-CN"/>
              </w:rPr>
            </w:pPr>
            <w:r>
              <w:rPr>
                <w:rFonts w:eastAsia="仿宋_GB2312"/>
                <w:color w:val="000000" w:themeColor="text1"/>
                <w:sz w:val="21"/>
                <w:szCs w:val="21"/>
              </w:rPr>
              <w:t>0.</w:t>
            </w:r>
            <w:r>
              <w:rPr>
                <w:rFonts w:hint="eastAsia" w:eastAsia="仿宋_GB2312"/>
                <w:color w:val="000000" w:themeColor="text1"/>
                <w:sz w:val="21"/>
                <w:szCs w:val="21"/>
                <w:lang w:val="en-US" w:eastAsia="zh-CN"/>
              </w:rPr>
              <w:t>13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66" w:type="pct"/>
            <w:vMerge w:val="continue"/>
            <w:tcBorders>
              <w:tl2br w:val="nil"/>
              <w:tr2bl w:val="nil"/>
            </w:tcBorders>
            <w:vAlign w:val="center"/>
          </w:tcPr>
          <w:p>
            <w:pPr>
              <w:jc w:val="center"/>
              <w:rPr>
                <w:rFonts w:eastAsia="仿宋_GB2312"/>
                <w:color w:val="000000" w:themeColor="text1"/>
                <w:sz w:val="21"/>
                <w:szCs w:val="21"/>
              </w:rPr>
            </w:pPr>
          </w:p>
        </w:tc>
        <w:tc>
          <w:tcPr>
            <w:tcW w:w="1059" w:type="pct"/>
            <w:vMerge w:val="continue"/>
            <w:tcBorders>
              <w:tl2br w:val="nil"/>
              <w:tr2bl w:val="nil"/>
            </w:tcBorders>
            <w:tcMar>
              <w:top w:w="15" w:type="dxa"/>
              <w:left w:w="15" w:type="dxa"/>
              <w:bottom w:w="0" w:type="dxa"/>
              <w:right w:w="15" w:type="dxa"/>
            </w:tcMar>
            <w:vAlign w:val="center"/>
          </w:tcPr>
          <w:p>
            <w:pPr>
              <w:jc w:val="center"/>
              <w:rPr>
                <w:rFonts w:eastAsia="仿宋_GB2312"/>
                <w:color w:val="000000" w:themeColor="text1"/>
                <w:sz w:val="21"/>
                <w:szCs w:val="21"/>
              </w:rPr>
            </w:pPr>
          </w:p>
        </w:tc>
        <w:tc>
          <w:tcPr>
            <w:tcW w:w="1236" w:type="pct"/>
            <w:tcBorders>
              <w:tl2br w:val="nil"/>
              <w:tr2bl w:val="nil"/>
            </w:tcBorders>
            <w:tcMar>
              <w:top w:w="15" w:type="dxa"/>
              <w:left w:w="15" w:type="dxa"/>
              <w:bottom w:w="0" w:type="dxa"/>
              <w:right w:w="15" w:type="dxa"/>
            </w:tcMar>
            <w:vAlign w:val="center"/>
          </w:tcPr>
          <w:p>
            <w:pPr>
              <w:jc w:val="center"/>
              <w:rPr>
                <w:rFonts w:eastAsia="仿宋_GB2312"/>
                <w:color w:val="000000" w:themeColor="text1"/>
                <w:sz w:val="21"/>
                <w:szCs w:val="21"/>
              </w:rPr>
            </w:pPr>
            <w:r>
              <w:rPr>
                <w:rFonts w:hint="eastAsia" w:eastAsia="仿宋_GB2312"/>
                <w:color w:val="000000" w:themeColor="text1"/>
                <w:sz w:val="21"/>
                <w:szCs w:val="21"/>
              </w:rPr>
              <w:t>雨水管线</w:t>
            </w:r>
          </w:p>
        </w:tc>
        <w:tc>
          <w:tcPr>
            <w:tcW w:w="618" w:type="pct"/>
            <w:tcBorders>
              <w:tl2br w:val="nil"/>
              <w:tr2bl w:val="nil"/>
            </w:tcBorders>
            <w:tcMar>
              <w:top w:w="15" w:type="dxa"/>
              <w:left w:w="15" w:type="dxa"/>
              <w:bottom w:w="0" w:type="dxa"/>
              <w:right w:w="15" w:type="dxa"/>
            </w:tcMar>
            <w:vAlign w:val="center"/>
          </w:tcPr>
          <w:p>
            <w:pPr>
              <w:jc w:val="center"/>
              <w:rPr>
                <w:rFonts w:eastAsia="仿宋_GB2312"/>
                <w:color w:val="000000" w:themeColor="text1"/>
                <w:sz w:val="21"/>
                <w:szCs w:val="21"/>
              </w:rPr>
            </w:pPr>
            <w:r>
              <w:rPr>
                <w:rFonts w:hint="eastAsia" w:eastAsia="仿宋_GB2312"/>
                <w:color w:val="000000" w:themeColor="text1"/>
                <w:sz w:val="21"/>
                <w:szCs w:val="21"/>
              </w:rPr>
              <w:t>m</w:t>
            </w:r>
          </w:p>
        </w:tc>
        <w:tc>
          <w:tcPr>
            <w:tcW w:w="918" w:type="pct"/>
            <w:tcBorders>
              <w:tl2br w:val="nil"/>
              <w:tr2bl w:val="nil"/>
            </w:tcBorders>
            <w:tcMar>
              <w:top w:w="15" w:type="dxa"/>
              <w:left w:w="15" w:type="dxa"/>
              <w:bottom w:w="0" w:type="dxa"/>
              <w:right w:w="15" w:type="dxa"/>
            </w:tcMar>
            <w:vAlign w:val="center"/>
          </w:tcPr>
          <w:p>
            <w:pPr>
              <w:jc w:val="center"/>
              <w:rPr>
                <w:rFonts w:hint="default" w:eastAsia="仿宋_GB2312"/>
                <w:color w:val="000000" w:themeColor="text1"/>
                <w:sz w:val="21"/>
                <w:szCs w:val="21"/>
                <w:lang w:val="en-US" w:eastAsia="zh-CN"/>
              </w:rPr>
            </w:pPr>
            <w:r>
              <w:rPr>
                <w:rFonts w:hint="eastAsia" w:eastAsia="仿宋_GB2312"/>
                <w:color w:val="000000" w:themeColor="text1"/>
                <w:sz w:val="21"/>
                <w:szCs w:val="21"/>
              </w:rPr>
              <w:t>4</w:t>
            </w:r>
            <w:r>
              <w:rPr>
                <w:rFonts w:hint="eastAsia" w:eastAsia="仿宋_GB2312"/>
                <w:color w:val="000000" w:themeColor="text1"/>
                <w:sz w:val="21"/>
                <w:szCs w:val="21"/>
                <w:lang w:val="en-US" w:eastAsia="zh-CN"/>
              </w:rPr>
              <w:t>11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66" w:type="pct"/>
            <w:vMerge w:val="continue"/>
            <w:tcBorders>
              <w:tl2br w:val="nil"/>
              <w:tr2bl w:val="nil"/>
            </w:tcBorders>
            <w:vAlign w:val="center"/>
          </w:tcPr>
          <w:p>
            <w:pPr>
              <w:jc w:val="center"/>
              <w:rPr>
                <w:rFonts w:eastAsia="仿宋_GB2312"/>
                <w:color w:val="000000" w:themeColor="text1"/>
                <w:sz w:val="21"/>
                <w:szCs w:val="21"/>
              </w:rPr>
            </w:pPr>
          </w:p>
        </w:tc>
        <w:tc>
          <w:tcPr>
            <w:tcW w:w="1059" w:type="pct"/>
            <w:vMerge w:val="continue"/>
            <w:tcBorders>
              <w:tl2br w:val="nil"/>
              <w:tr2bl w:val="nil"/>
            </w:tcBorders>
            <w:tcMar>
              <w:top w:w="15" w:type="dxa"/>
              <w:left w:w="15" w:type="dxa"/>
              <w:bottom w:w="0" w:type="dxa"/>
              <w:right w:w="15" w:type="dxa"/>
            </w:tcMar>
            <w:vAlign w:val="center"/>
          </w:tcPr>
          <w:p>
            <w:pPr>
              <w:jc w:val="center"/>
              <w:rPr>
                <w:rFonts w:eastAsia="仿宋_GB2312"/>
                <w:color w:val="000000" w:themeColor="text1"/>
                <w:sz w:val="21"/>
                <w:szCs w:val="21"/>
              </w:rPr>
            </w:pPr>
          </w:p>
        </w:tc>
        <w:tc>
          <w:tcPr>
            <w:tcW w:w="1236" w:type="pct"/>
            <w:tcBorders>
              <w:tl2br w:val="nil"/>
              <w:tr2bl w:val="nil"/>
            </w:tcBorders>
            <w:tcMar>
              <w:top w:w="15" w:type="dxa"/>
              <w:left w:w="15" w:type="dxa"/>
              <w:bottom w:w="0" w:type="dxa"/>
              <w:right w:w="15" w:type="dxa"/>
            </w:tcMar>
            <w:vAlign w:val="center"/>
          </w:tcPr>
          <w:p>
            <w:pPr>
              <w:jc w:val="center"/>
              <w:rPr>
                <w:rFonts w:eastAsia="仿宋_GB2312"/>
                <w:color w:val="000000" w:themeColor="text1"/>
                <w:sz w:val="21"/>
                <w:szCs w:val="21"/>
              </w:rPr>
            </w:pPr>
            <w:r>
              <w:rPr>
                <w:rFonts w:hint="eastAsia" w:eastAsia="仿宋_GB2312"/>
                <w:color w:val="000000" w:themeColor="text1"/>
                <w:sz w:val="21"/>
                <w:szCs w:val="21"/>
              </w:rPr>
              <w:t>雨水口</w:t>
            </w:r>
          </w:p>
        </w:tc>
        <w:tc>
          <w:tcPr>
            <w:tcW w:w="618" w:type="pct"/>
            <w:tcBorders>
              <w:tl2br w:val="nil"/>
              <w:tr2bl w:val="nil"/>
            </w:tcBorders>
            <w:tcMar>
              <w:top w:w="15" w:type="dxa"/>
              <w:left w:w="15" w:type="dxa"/>
              <w:bottom w:w="0" w:type="dxa"/>
              <w:right w:w="15" w:type="dxa"/>
            </w:tcMar>
            <w:vAlign w:val="center"/>
          </w:tcPr>
          <w:p>
            <w:pPr>
              <w:jc w:val="center"/>
              <w:rPr>
                <w:rFonts w:eastAsia="仿宋_GB2312"/>
                <w:color w:val="000000" w:themeColor="text1"/>
                <w:sz w:val="21"/>
                <w:szCs w:val="21"/>
              </w:rPr>
            </w:pPr>
            <w:r>
              <w:rPr>
                <w:rFonts w:hint="eastAsia" w:eastAsia="仿宋_GB2312"/>
                <w:color w:val="000000" w:themeColor="text1"/>
                <w:sz w:val="21"/>
                <w:szCs w:val="21"/>
              </w:rPr>
              <w:t>个</w:t>
            </w:r>
          </w:p>
        </w:tc>
        <w:tc>
          <w:tcPr>
            <w:tcW w:w="918" w:type="pct"/>
            <w:tcBorders>
              <w:tl2br w:val="nil"/>
              <w:tr2bl w:val="nil"/>
            </w:tcBorders>
            <w:tcMar>
              <w:top w:w="15" w:type="dxa"/>
              <w:left w:w="15" w:type="dxa"/>
              <w:bottom w:w="0" w:type="dxa"/>
              <w:right w:w="15" w:type="dxa"/>
            </w:tcMar>
            <w:vAlign w:val="center"/>
          </w:tcPr>
          <w:p>
            <w:pPr>
              <w:jc w:val="center"/>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20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66" w:type="pct"/>
            <w:vMerge w:val="continue"/>
            <w:tcBorders>
              <w:tl2br w:val="nil"/>
              <w:tr2bl w:val="nil"/>
            </w:tcBorders>
            <w:vAlign w:val="center"/>
          </w:tcPr>
          <w:p>
            <w:pPr>
              <w:jc w:val="center"/>
              <w:rPr>
                <w:rFonts w:eastAsia="仿宋_GB2312"/>
                <w:color w:val="000000" w:themeColor="text1"/>
                <w:sz w:val="21"/>
                <w:szCs w:val="21"/>
              </w:rPr>
            </w:pPr>
          </w:p>
        </w:tc>
        <w:tc>
          <w:tcPr>
            <w:tcW w:w="1059" w:type="pct"/>
            <w:tcBorders>
              <w:tl2br w:val="nil"/>
              <w:tr2bl w:val="nil"/>
            </w:tcBorders>
            <w:tcMar>
              <w:top w:w="15" w:type="dxa"/>
              <w:left w:w="15" w:type="dxa"/>
              <w:bottom w:w="0" w:type="dxa"/>
              <w:right w:w="15" w:type="dxa"/>
            </w:tcMar>
            <w:vAlign w:val="center"/>
          </w:tcPr>
          <w:p>
            <w:pPr>
              <w:jc w:val="center"/>
              <w:rPr>
                <w:rFonts w:eastAsia="仿宋_GB2312"/>
                <w:color w:val="000000" w:themeColor="text1"/>
                <w:sz w:val="21"/>
                <w:szCs w:val="21"/>
              </w:rPr>
            </w:pPr>
            <w:r>
              <w:rPr>
                <w:rFonts w:eastAsia="仿宋_GB2312"/>
                <w:color w:val="000000" w:themeColor="text1"/>
                <w:sz w:val="21"/>
                <w:szCs w:val="21"/>
              </w:rPr>
              <w:t>植物措施</w:t>
            </w:r>
          </w:p>
        </w:tc>
        <w:tc>
          <w:tcPr>
            <w:tcW w:w="1236" w:type="pct"/>
            <w:tcBorders>
              <w:tl2br w:val="nil"/>
              <w:tr2bl w:val="nil"/>
            </w:tcBorders>
            <w:tcMar>
              <w:top w:w="15" w:type="dxa"/>
              <w:left w:w="15" w:type="dxa"/>
              <w:bottom w:w="0" w:type="dxa"/>
              <w:right w:w="15" w:type="dxa"/>
            </w:tcMar>
            <w:vAlign w:val="center"/>
          </w:tcPr>
          <w:p>
            <w:pPr>
              <w:jc w:val="center"/>
              <w:rPr>
                <w:rFonts w:eastAsia="仿宋_GB2312"/>
                <w:color w:val="000000" w:themeColor="text1"/>
                <w:sz w:val="21"/>
                <w:szCs w:val="21"/>
              </w:rPr>
            </w:pPr>
            <w:r>
              <w:rPr>
                <w:rFonts w:eastAsia="仿宋_GB2312"/>
                <w:color w:val="000000" w:themeColor="text1"/>
                <w:sz w:val="21"/>
                <w:szCs w:val="21"/>
              </w:rPr>
              <w:t>景观绿化</w:t>
            </w:r>
          </w:p>
        </w:tc>
        <w:tc>
          <w:tcPr>
            <w:tcW w:w="618" w:type="pct"/>
            <w:tcBorders>
              <w:tl2br w:val="nil"/>
              <w:tr2bl w:val="nil"/>
            </w:tcBorders>
            <w:tcMar>
              <w:top w:w="15" w:type="dxa"/>
              <w:left w:w="15" w:type="dxa"/>
              <w:bottom w:w="0" w:type="dxa"/>
              <w:right w:w="15" w:type="dxa"/>
            </w:tcMar>
            <w:vAlign w:val="center"/>
          </w:tcPr>
          <w:p>
            <w:pPr>
              <w:jc w:val="center"/>
              <w:rPr>
                <w:rFonts w:eastAsia="仿宋_GB2312"/>
                <w:color w:val="000000" w:themeColor="text1"/>
                <w:sz w:val="21"/>
                <w:szCs w:val="21"/>
              </w:rPr>
            </w:pPr>
            <w:r>
              <w:rPr>
                <w:rFonts w:eastAsia="仿宋_GB2312"/>
                <w:color w:val="000000" w:themeColor="text1"/>
                <w:sz w:val="21"/>
                <w:szCs w:val="21"/>
              </w:rPr>
              <w:t>hm</w:t>
            </w:r>
            <w:r>
              <w:rPr>
                <w:rFonts w:eastAsia="仿宋_GB2312"/>
                <w:color w:val="000000" w:themeColor="text1"/>
                <w:sz w:val="21"/>
                <w:szCs w:val="21"/>
                <w:vertAlign w:val="superscript"/>
              </w:rPr>
              <w:t>2</w:t>
            </w:r>
          </w:p>
        </w:tc>
        <w:tc>
          <w:tcPr>
            <w:tcW w:w="918" w:type="pct"/>
            <w:tcBorders>
              <w:tl2br w:val="nil"/>
              <w:tr2bl w:val="nil"/>
            </w:tcBorders>
            <w:tcMar>
              <w:top w:w="15" w:type="dxa"/>
              <w:left w:w="15" w:type="dxa"/>
              <w:bottom w:w="0" w:type="dxa"/>
              <w:right w:w="15" w:type="dxa"/>
            </w:tcMar>
            <w:vAlign w:val="center"/>
          </w:tcPr>
          <w:p>
            <w:pPr>
              <w:jc w:val="center"/>
              <w:rPr>
                <w:rFonts w:hint="default" w:eastAsia="仿宋_GB2312"/>
                <w:color w:val="000000" w:themeColor="text1"/>
                <w:sz w:val="21"/>
                <w:szCs w:val="21"/>
                <w:lang w:val="en-US" w:eastAsia="zh-CN"/>
              </w:rPr>
            </w:pPr>
            <w:r>
              <w:rPr>
                <w:rFonts w:eastAsia="仿宋_GB2312"/>
                <w:color w:val="000000" w:themeColor="text1"/>
                <w:sz w:val="21"/>
                <w:szCs w:val="21"/>
              </w:rPr>
              <w:t>0.</w:t>
            </w:r>
            <w:r>
              <w:rPr>
                <w:rFonts w:hint="eastAsia" w:eastAsia="仿宋_GB2312"/>
                <w:color w:val="000000" w:themeColor="text1"/>
                <w:sz w:val="21"/>
                <w:szCs w:val="21"/>
                <w:lang w:val="en-US" w:eastAsia="zh-CN"/>
              </w:rPr>
              <w:t>13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66" w:type="pct"/>
            <w:vMerge w:val="continue"/>
            <w:tcBorders>
              <w:tl2br w:val="nil"/>
              <w:tr2bl w:val="nil"/>
            </w:tcBorders>
            <w:vAlign w:val="center"/>
          </w:tcPr>
          <w:p>
            <w:pPr>
              <w:jc w:val="center"/>
              <w:rPr>
                <w:rFonts w:eastAsia="仿宋_GB2312"/>
                <w:color w:val="000000" w:themeColor="text1"/>
                <w:sz w:val="21"/>
                <w:szCs w:val="21"/>
              </w:rPr>
            </w:pPr>
          </w:p>
        </w:tc>
        <w:tc>
          <w:tcPr>
            <w:tcW w:w="1059" w:type="pct"/>
            <w:vMerge w:val="restart"/>
            <w:tcBorders>
              <w:tl2br w:val="nil"/>
              <w:tr2bl w:val="nil"/>
            </w:tcBorders>
            <w:tcMar>
              <w:top w:w="15" w:type="dxa"/>
              <w:left w:w="15" w:type="dxa"/>
              <w:bottom w:w="0" w:type="dxa"/>
              <w:right w:w="15" w:type="dxa"/>
            </w:tcMar>
            <w:vAlign w:val="center"/>
          </w:tcPr>
          <w:p>
            <w:pPr>
              <w:jc w:val="center"/>
              <w:rPr>
                <w:rFonts w:eastAsia="仿宋_GB2312"/>
                <w:color w:val="000000" w:themeColor="text1"/>
                <w:sz w:val="21"/>
                <w:szCs w:val="21"/>
              </w:rPr>
            </w:pPr>
            <w:r>
              <w:rPr>
                <w:rFonts w:eastAsia="仿宋_GB2312"/>
                <w:color w:val="000000" w:themeColor="text1"/>
                <w:sz w:val="21"/>
                <w:szCs w:val="21"/>
              </w:rPr>
              <w:t>临时措施</w:t>
            </w:r>
          </w:p>
        </w:tc>
        <w:tc>
          <w:tcPr>
            <w:tcW w:w="1236" w:type="pct"/>
            <w:tcBorders>
              <w:tl2br w:val="nil"/>
              <w:tr2bl w:val="nil"/>
            </w:tcBorders>
            <w:tcMar>
              <w:top w:w="15" w:type="dxa"/>
              <w:left w:w="15" w:type="dxa"/>
              <w:bottom w:w="0" w:type="dxa"/>
              <w:right w:w="15" w:type="dxa"/>
            </w:tcMar>
            <w:vAlign w:val="center"/>
          </w:tcPr>
          <w:p>
            <w:pPr>
              <w:jc w:val="center"/>
              <w:rPr>
                <w:rFonts w:eastAsia="仿宋_GB2312"/>
                <w:color w:val="000000" w:themeColor="text1"/>
                <w:sz w:val="21"/>
                <w:szCs w:val="21"/>
              </w:rPr>
            </w:pPr>
            <w:r>
              <w:rPr>
                <w:rFonts w:eastAsia="仿宋_GB2312"/>
                <w:color w:val="000000" w:themeColor="text1"/>
                <w:sz w:val="21"/>
                <w:szCs w:val="21"/>
              </w:rPr>
              <w:t>密目网覆盖</w:t>
            </w:r>
          </w:p>
        </w:tc>
        <w:tc>
          <w:tcPr>
            <w:tcW w:w="618" w:type="pct"/>
            <w:tcBorders>
              <w:tl2br w:val="nil"/>
              <w:tr2bl w:val="nil"/>
            </w:tcBorders>
            <w:tcMar>
              <w:top w:w="15" w:type="dxa"/>
              <w:left w:w="15" w:type="dxa"/>
              <w:bottom w:w="0" w:type="dxa"/>
              <w:right w:w="15" w:type="dxa"/>
            </w:tcMar>
            <w:vAlign w:val="center"/>
          </w:tcPr>
          <w:p>
            <w:pPr>
              <w:jc w:val="center"/>
              <w:rPr>
                <w:rFonts w:eastAsia="仿宋_GB2312"/>
                <w:color w:val="000000" w:themeColor="text1"/>
                <w:sz w:val="21"/>
                <w:szCs w:val="21"/>
              </w:rPr>
            </w:pPr>
            <w:r>
              <w:rPr>
                <w:rFonts w:eastAsia="仿宋_GB2312"/>
                <w:color w:val="000000" w:themeColor="text1"/>
                <w:sz w:val="21"/>
                <w:szCs w:val="21"/>
              </w:rPr>
              <w:t>m</w:t>
            </w:r>
            <w:r>
              <w:rPr>
                <w:rFonts w:eastAsia="仿宋_GB2312"/>
                <w:color w:val="000000" w:themeColor="text1"/>
                <w:sz w:val="21"/>
                <w:szCs w:val="21"/>
                <w:vertAlign w:val="superscript"/>
              </w:rPr>
              <w:t>2</w:t>
            </w:r>
          </w:p>
        </w:tc>
        <w:tc>
          <w:tcPr>
            <w:tcW w:w="918" w:type="pct"/>
            <w:tcBorders>
              <w:tl2br w:val="nil"/>
              <w:tr2bl w:val="nil"/>
            </w:tcBorders>
            <w:tcMar>
              <w:top w:w="15" w:type="dxa"/>
              <w:left w:w="15" w:type="dxa"/>
              <w:bottom w:w="0" w:type="dxa"/>
              <w:right w:w="15" w:type="dxa"/>
            </w:tcMar>
            <w:vAlign w:val="center"/>
          </w:tcPr>
          <w:p>
            <w:pPr>
              <w:jc w:val="center"/>
              <w:rPr>
                <w:rFonts w:eastAsia="仿宋_GB2312"/>
                <w:color w:val="000000" w:themeColor="text1"/>
                <w:sz w:val="21"/>
                <w:szCs w:val="21"/>
              </w:rPr>
            </w:pPr>
            <w:r>
              <w:rPr>
                <w:rFonts w:hint="eastAsia" w:eastAsia="仿宋_GB2312"/>
                <w:color w:val="000000" w:themeColor="text1"/>
                <w:sz w:val="21"/>
                <w:szCs w:val="21"/>
                <w:lang w:val="en-US" w:eastAsia="zh-CN"/>
              </w:rPr>
              <w:t>156</w:t>
            </w:r>
            <w:r>
              <w:rPr>
                <w:rFonts w:hint="eastAsia" w:eastAsia="仿宋_GB2312"/>
                <w:color w:val="000000" w:themeColor="text1"/>
                <w:sz w:val="21"/>
                <w:szCs w:val="21"/>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66" w:type="pct"/>
            <w:vMerge w:val="continue"/>
            <w:tcBorders>
              <w:tl2br w:val="nil"/>
              <w:tr2bl w:val="nil"/>
            </w:tcBorders>
            <w:vAlign w:val="center"/>
          </w:tcPr>
          <w:p>
            <w:pPr>
              <w:jc w:val="center"/>
              <w:rPr>
                <w:rFonts w:eastAsia="仿宋_GB2312"/>
                <w:color w:val="000000" w:themeColor="text1"/>
                <w:sz w:val="21"/>
                <w:szCs w:val="21"/>
              </w:rPr>
            </w:pPr>
          </w:p>
        </w:tc>
        <w:tc>
          <w:tcPr>
            <w:tcW w:w="1059" w:type="pct"/>
            <w:vMerge w:val="continue"/>
            <w:tcBorders>
              <w:tl2br w:val="nil"/>
              <w:tr2bl w:val="nil"/>
            </w:tcBorders>
            <w:tcMar>
              <w:top w:w="15" w:type="dxa"/>
              <w:left w:w="15" w:type="dxa"/>
              <w:bottom w:w="0" w:type="dxa"/>
              <w:right w:w="15" w:type="dxa"/>
            </w:tcMar>
            <w:vAlign w:val="center"/>
          </w:tcPr>
          <w:p>
            <w:pPr>
              <w:jc w:val="center"/>
              <w:rPr>
                <w:rFonts w:eastAsia="仿宋_GB2312"/>
                <w:color w:val="000000" w:themeColor="text1"/>
                <w:sz w:val="21"/>
                <w:szCs w:val="21"/>
              </w:rPr>
            </w:pPr>
          </w:p>
        </w:tc>
        <w:tc>
          <w:tcPr>
            <w:tcW w:w="1236" w:type="pct"/>
            <w:tcBorders>
              <w:tl2br w:val="nil"/>
              <w:tr2bl w:val="nil"/>
            </w:tcBorders>
            <w:tcMar>
              <w:top w:w="15" w:type="dxa"/>
              <w:left w:w="15" w:type="dxa"/>
              <w:bottom w:w="0" w:type="dxa"/>
              <w:right w:w="15" w:type="dxa"/>
            </w:tcMar>
            <w:vAlign w:val="center"/>
          </w:tcPr>
          <w:p>
            <w:pPr>
              <w:jc w:val="center"/>
              <w:rPr>
                <w:rFonts w:eastAsia="仿宋_GB2312"/>
                <w:color w:val="000000" w:themeColor="text1"/>
                <w:sz w:val="21"/>
                <w:szCs w:val="21"/>
              </w:rPr>
            </w:pPr>
            <w:r>
              <w:rPr>
                <w:rFonts w:eastAsia="仿宋_GB2312"/>
                <w:color w:val="000000" w:themeColor="text1"/>
                <w:sz w:val="21"/>
                <w:szCs w:val="21"/>
              </w:rPr>
              <w:t>编织袋土砌体</w:t>
            </w:r>
          </w:p>
        </w:tc>
        <w:tc>
          <w:tcPr>
            <w:tcW w:w="618" w:type="pct"/>
            <w:tcBorders>
              <w:tl2br w:val="nil"/>
              <w:tr2bl w:val="nil"/>
            </w:tcBorders>
            <w:tcMar>
              <w:top w:w="15" w:type="dxa"/>
              <w:left w:w="15" w:type="dxa"/>
              <w:bottom w:w="0" w:type="dxa"/>
              <w:right w:w="15" w:type="dxa"/>
            </w:tcMar>
            <w:vAlign w:val="center"/>
          </w:tcPr>
          <w:p>
            <w:pPr>
              <w:jc w:val="center"/>
              <w:rPr>
                <w:rFonts w:eastAsia="仿宋_GB2312"/>
                <w:color w:val="000000" w:themeColor="text1"/>
                <w:sz w:val="21"/>
                <w:szCs w:val="21"/>
              </w:rPr>
            </w:pPr>
            <w:r>
              <w:rPr>
                <w:rFonts w:eastAsia="仿宋_GB2312"/>
                <w:color w:val="000000" w:themeColor="text1"/>
                <w:sz w:val="21"/>
                <w:szCs w:val="21"/>
              </w:rPr>
              <w:t>m</w:t>
            </w:r>
            <w:r>
              <w:rPr>
                <w:rFonts w:eastAsia="仿宋_GB2312"/>
                <w:color w:val="000000" w:themeColor="text1"/>
                <w:sz w:val="21"/>
                <w:szCs w:val="21"/>
                <w:vertAlign w:val="superscript"/>
              </w:rPr>
              <w:t>3</w:t>
            </w:r>
          </w:p>
        </w:tc>
        <w:tc>
          <w:tcPr>
            <w:tcW w:w="918" w:type="pct"/>
            <w:tcBorders>
              <w:tl2br w:val="nil"/>
              <w:tr2bl w:val="nil"/>
            </w:tcBorders>
            <w:tcMar>
              <w:top w:w="15" w:type="dxa"/>
              <w:left w:w="15" w:type="dxa"/>
              <w:bottom w:w="0" w:type="dxa"/>
              <w:right w:w="15" w:type="dxa"/>
            </w:tcMar>
            <w:vAlign w:val="center"/>
          </w:tcPr>
          <w:p>
            <w:pPr>
              <w:jc w:val="center"/>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46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66" w:type="pct"/>
            <w:vMerge w:val="continue"/>
            <w:tcBorders>
              <w:tl2br w:val="nil"/>
              <w:tr2bl w:val="nil"/>
            </w:tcBorders>
            <w:vAlign w:val="center"/>
          </w:tcPr>
          <w:p>
            <w:pPr>
              <w:jc w:val="center"/>
              <w:rPr>
                <w:rFonts w:eastAsia="仿宋_GB2312"/>
                <w:color w:val="000000" w:themeColor="text1"/>
                <w:sz w:val="21"/>
                <w:szCs w:val="21"/>
              </w:rPr>
            </w:pPr>
          </w:p>
        </w:tc>
        <w:tc>
          <w:tcPr>
            <w:tcW w:w="1059" w:type="pct"/>
            <w:vMerge w:val="continue"/>
            <w:tcBorders>
              <w:tl2br w:val="nil"/>
              <w:tr2bl w:val="nil"/>
            </w:tcBorders>
            <w:tcMar>
              <w:top w:w="15" w:type="dxa"/>
              <w:left w:w="15" w:type="dxa"/>
              <w:bottom w:w="0" w:type="dxa"/>
              <w:right w:w="15" w:type="dxa"/>
            </w:tcMar>
            <w:vAlign w:val="center"/>
          </w:tcPr>
          <w:p>
            <w:pPr>
              <w:jc w:val="center"/>
              <w:rPr>
                <w:rFonts w:eastAsia="仿宋_GB2312"/>
                <w:color w:val="000000" w:themeColor="text1"/>
                <w:sz w:val="21"/>
                <w:szCs w:val="21"/>
              </w:rPr>
            </w:pPr>
          </w:p>
        </w:tc>
        <w:tc>
          <w:tcPr>
            <w:tcW w:w="1236" w:type="pct"/>
            <w:tcBorders>
              <w:tl2br w:val="nil"/>
              <w:tr2bl w:val="nil"/>
            </w:tcBorders>
            <w:tcMar>
              <w:top w:w="15" w:type="dxa"/>
              <w:left w:w="15" w:type="dxa"/>
              <w:bottom w:w="0" w:type="dxa"/>
              <w:right w:w="15" w:type="dxa"/>
            </w:tcMar>
            <w:vAlign w:val="center"/>
          </w:tcPr>
          <w:p>
            <w:pPr>
              <w:jc w:val="center"/>
              <w:rPr>
                <w:rFonts w:eastAsia="仿宋_GB2312"/>
                <w:color w:val="000000" w:themeColor="text1"/>
                <w:sz w:val="21"/>
                <w:szCs w:val="21"/>
              </w:rPr>
            </w:pPr>
            <w:r>
              <w:rPr>
                <w:rFonts w:eastAsia="仿宋_GB2312"/>
                <w:color w:val="000000" w:themeColor="text1"/>
                <w:sz w:val="21"/>
                <w:szCs w:val="21"/>
              </w:rPr>
              <w:t>编织袋装土拆除</w:t>
            </w:r>
          </w:p>
        </w:tc>
        <w:tc>
          <w:tcPr>
            <w:tcW w:w="618" w:type="pct"/>
            <w:tcBorders>
              <w:tl2br w:val="nil"/>
              <w:tr2bl w:val="nil"/>
            </w:tcBorders>
            <w:tcMar>
              <w:top w:w="15" w:type="dxa"/>
              <w:left w:w="15" w:type="dxa"/>
              <w:bottom w:w="0" w:type="dxa"/>
              <w:right w:w="15" w:type="dxa"/>
            </w:tcMar>
            <w:vAlign w:val="center"/>
          </w:tcPr>
          <w:p>
            <w:pPr>
              <w:jc w:val="center"/>
              <w:rPr>
                <w:rFonts w:eastAsia="仿宋_GB2312"/>
                <w:color w:val="000000" w:themeColor="text1"/>
                <w:sz w:val="21"/>
                <w:szCs w:val="21"/>
              </w:rPr>
            </w:pPr>
            <w:r>
              <w:rPr>
                <w:rFonts w:eastAsia="仿宋_GB2312"/>
                <w:color w:val="000000" w:themeColor="text1"/>
                <w:sz w:val="21"/>
                <w:szCs w:val="21"/>
              </w:rPr>
              <w:t>m</w:t>
            </w:r>
            <w:r>
              <w:rPr>
                <w:rFonts w:eastAsia="仿宋_GB2312"/>
                <w:color w:val="000000" w:themeColor="text1"/>
                <w:sz w:val="21"/>
                <w:szCs w:val="21"/>
                <w:vertAlign w:val="superscript"/>
              </w:rPr>
              <w:t>3</w:t>
            </w:r>
          </w:p>
        </w:tc>
        <w:tc>
          <w:tcPr>
            <w:tcW w:w="918" w:type="pct"/>
            <w:tcBorders>
              <w:tl2br w:val="nil"/>
              <w:tr2bl w:val="nil"/>
            </w:tcBorders>
            <w:tcMar>
              <w:top w:w="15" w:type="dxa"/>
              <w:left w:w="15" w:type="dxa"/>
              <w:bottom w:w="0" w:type="dxa"/>
              <w:right w:w="15" w:type="dxa"/>
            </w:tcMar>
            <w:vAlign w:val="center"/>
          </w:tcPr>
          <w:p>
            <w:pPr>
              <w:jc w:val="center"/>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46</w:t>
            </w:r>
          </w:p>
        </w:tc>
      </w:tr>
    </w:tbl>
    <w:p>
      <w:pPr>
        <w:pStyle w:val="4"/>
        <w:spacing w:before="0" w:after="0" w:line="360" w:lineRule="auto"/>
        <w:rPr>
          <w:rFonts w:ascii="Times New Roman" w:hAnsi="Times New Roman" w:eastAsia="仿宋_GB2312"/>
          <w:b w:val="0"/>
          <w:bCs w:val="0"/>
          <w:color w:val="000000" w:themeColor="text1"/>
          <w:sz w:val="21"/>
          <w:szCs w:val="21"/>
          <w:highlight w:val="cyan"/>
        </w:rPr>
      </w:pPr>
      <w:bookmarkStart w:id="45" w:name="_Toc23347"/>
      <w:r>
        <w:rPr>
          <w:rFonts w:hint="eastAsia" w:ascii="Times New Roman" w:hAnsi="Times New Roman" w:eastAsia="仿宋_GB2312"/>
          <w:b w:val="0"/>
          <w:bCs w:val="0"/>
          <w:color w:val="000000" w:themeColor="text1"/>
          <w:sz w:val="21"/>
          <w:szCs w:val="21"/>
        </w:rPr>
        <w:t>注：带＊为已实施的水土保持措施</w:t>
      </w:r>
    </w:p>
    <w:p>
      <w:pPr>
        <w:pStyle w:val="4"/>
        <w:spacing w:before="0" w:after="0" w:line="360" w:lineRule="auto"/>
        <w:rPr>
          <w:rFonts w:ascii="Times New Roman" w:hAnsi="Times New Roman" w:eastAsia="仿宋_GB2312"/>
          <w:color w:val="000000" w:themeColor="text1"/>
          <w:szCs w:val="24"/>
        </w:rPr>
      </w:pPr>
      <w:r>
        <w:rPr>
          <w:rFonts w:ascii="Times New Roman" w:hAnsi="Times New Roman" w:eastAsia="仿宋_GB2312"/>
          <w:color w:val="000000" w:themeColor="text1"/>
          <w:sz w:val="28"/>
          <w:szCs w:val="28"/>
        </w:rPr>
        <w:t>5.4施工要求</w:t>
      </w:r>
      <w:bookmarkEnd w:id="45"/>
    </w:p>
    <w:p>
      <w:pPr>
        <w:spacing w:line="360" w:lineRule="auto"/>
        <w:jc w:val="both"/>
        <w:rPr>
          <w:rFonts w:eastAsia="仿宋_GB2312"/>
          <w:b/>
          <w:color w:val="000000" w:themeColor="text1"/>
          <w:szCs w:val="24"/>
        </w:rPr>
      </w:pPr>
      <w:r>
        <w:rPr>
          <w:rFonts w:eastAsia="仿宋_GB2312"/>
          <w:b/>
          <w:color w:val="000000" w:themeColor="text1"/>
          <w:szCs w:val="24"/>
        </w:rPr>
        <w:t>5.4.1施工组织形式</w:t>
      </w:r>
    </w:p>
    <w:p>
      <w:pPr>
        <w:spacing w:line="360" w:lineRule="auto"/>
        <w:ind w:firstLine="480" w:firstLineChars="200"/>
        <w:jc w:val="both"/>
        <w:rPr>
          <w:rFonts w:eastAsia="仿宋_GB2312"/>
          <w:color w:val="000000" w:themeColor="text1"/>
          <w:szCs w:val="24"/>
        </w:rPr>
      </w:pPr>
      <w:r>
        <w:rPr>
          <w:rFonts w:eastAsia="仿宋_GB2312"/>
          <w:color w:val="000000" w:themeColor="text1"/>
          <w:szCs w:val="24"/>
        </w:rPr>
        <w:t>水土保持防治措施是对工程建设过程中可能产生的水土流失的采用预防和治理措施，是对主体工程的补充，水土保持防治工程纳入主体工程，实行项目法人制，招标投标制及项目监理制，对本项目的水土保持工程进行招标，签订施工合同，按照水土保持工程施工合同完成防治工程。</w:t>
      </w:r>
    </w:p>
    <w:p>
      <w:pPr>
        <w:spacing w:line="360" w:lineRule="auto"/>
        <w:jc w:val="both"/>
        <w:rPr>
          <w:rFonts w:eastAsia="仿宋_GB2312"/>
          <w:b/>
          <w:color w:val="000000" w:themeColor="text1"/>
          <w:szCs w:val="24"/>
        </w:rPr>
      </w:pPr>
      <w:r>
        <w:rPr>
          <w:rFonts w:eastAsia="仿宋_GB2312"/>
          <w:b/>
          <w:color w:val="000000" w:themeColor="text1"/>
          <w:szCs w:val="24"/>
        </w:rPr>
        <w:t>5.4.2物资采购</w:t>
      </w:r>
    </w:p>
    <w:p>
      <w:pPr>
        <w:spacing w:line="360" w:lineRule="auto"/>
        <w:ind w:firstLine="480" w:firstLineChars="200"/>
        <w:rPr>
          <w:rFonts w:eastAsia="仿宋_GB2312"/>
          <w:b/>
          <w:color w:val="000000" w:themeColor="text1"/>
          <w:szCs w:val="24"/>
        </w:rPr>
      </w:pPr>
      <w:r>
        <w:rPr>
          <w:rFonts w:eastAsia="仿宋_GB2312"/>
          <w:color w:val="000000" w:themeColor="text1"/>
          <w:szCs w:val="24"/>
        </w:rPr>
        <w:t>水土保持防治工程所需各种材料就近购买，主要的绿化乔木、灌木、草籽等在</w:t>
      </w:r>
      <w:r>
        <w:rPr>
          <w:rFonts w:hint="eastAsia" w:eastAsia="仿宋_GB2312"/>
          <w:color w:val="000000" w:themeColor="text1"/>
          <w:szCs w:val="24"/>
        </w:rPr>
        <w:t>农安县</w:t>
      </w:r>
      <w:r>
        <w:rPr>
          <w:rFonts w:eastAsia="仿宋_GB2312"/>
          <w:color w:val="000000" w:themeColor="text1"/>
          <w:szCs w:val="24"/>
        </w:rPr>
        <w:t>及附近的园林苗圃基地采购。</w:t>
      </w:r>
    </w:p>
    <w:p>
      <w:pPr>
        <w:spacing w:line="360" w:lineRule="auto"/>
        <w:jc w:val="both"/>
        <w:rPr>
          <w:rFonts w:eastAsia="仿宋_GB2312"/>
          <w:b/>
          <w:color w:val="000000" w:themeColor="text1"/>
          <w:szCs w:val="24"/>
        </w:rPr>
      </w:pPr>
      <w:r>
        <w:rPr>
          <w:rFonts w:eastAsia="仿宋_GB2312"/>
          <w:b/>
          <w:color w:val="000000" w:themeColor="text1"/>
          <w:szCs w:val="24"/>
        </w:rPr>
        <w:t>5.4.3施工条件</w:t>
      </w:r>
    </w:p>
    <w:p>
      <w:pPr>
        <w:snapToGrid w:val="0"/>
        <w:spacing w:line="360" w:lineRule="auto"/>
        <w:ind w:firstLine="480" w:firstLineChars="200"/>
        <w:rPr>
          <w:color w:val="000000" w:themeColor="text1"/>
        </w:rPr>
      </w:pPr>
      <w:r>
        <w:rPr>
          <w:rFonts w:eastAsia="仿宋_GB2312"/>
          <w:color w:val="000000" w:themeColor="text1"/>
          <w:szCs w:val="24"/>
        </w:rPr>
        <w:t>水土保持工程与主体工程相衔接，场地内外的交通便利可以满足施工材料运输的需要。水土保持工程施工</w:t>
      </w:r>
      <w:r>
        <w:rPr>
          <w:rFonts w:eastAsia="仿宋_GB2312"/>
          <w:color w:val="000000" w:themeColor="text1"/>
          <w:spacing w:val="-6"/>
          <w:szCs w:val="24"/>
        </w:rPr>
        <w:t>用水和用电量相对较小，施工用水用电可由主体工程供水供电系统统一供应</w:t>
      </w:r>
      <w:r>
        <w:rPr>
          <w:rFonts w:eastAsia="仿宋_GB2312"/>
          <w:color w:val="000000" w:themeColor="text1"/>
          <w:szCs w:val="24"/>
        </w:rPr>
        <w:t>。</w:t>
      </w:r>
    </w:p>
    <w:p>
      <w:pPr>
        <w:spacing w:line="360" w:lineRule="auto"/>
        <w:jc w:val="both"/>
        <w:rPr>
          <w:rFonts w:eastAsia="仿宋_GB2312"/>
          <w:b/>
          <w:color w:val="000000" w:themeColor="text1"/>
          <w:szCs w:val="24"/>
        </w:rPr>
      </w:pPr>
      <w:r>
        <w:rPr>
          <w:rFonts w:eastAsia="仿宋_GB2312"/>
          <w:b/>
          <w:color w:val="000000" w:themeColor="text1"/>
          <w:szCs w:val="24"/>
        </w:rPr>
        <w:t>5.4.4施工时序</w:t>
      </w:r>
    </w:p>
    <w:p>
      <w:pPr>
        <w:spacing w:line="360" w:lineRule="auto"/>
        <w:ind w:firstLine="480" w:firstLineChars="200"/>
        <w:rPr>
          <w:rFonts w:eastAsia="仿宋_GB2312"/>
          <w:snapToGrid w:val="0"/>
          <w:color w:val="000000" w:themeColor="text1"/>
          <w:szCs w:val="24"/>
        </w:rPr>
      </w:pPr>
      <w:r>
        <w:rPr>
          <w:rFonts w:eastAsia="仿宋_GB2312"/>
          <w:color w:val="000000" w:themeColor="text1"/>
          <w:szCs w:val="24"/>
        </w:rPr>
        <w:t>水土保持措施的施工进度和施工内容应与主体工程相协调，并根据主体的施工进度，合理安排设计的工程措施、植物措施。绿化用土回覆、全面整地等水土保持工程措施应在景观绿化施工前完成；景观绿化措施施工时序安排在整地后当年的春秋季节，利于植物的生长发育。</w:t>
      </w:r>
    </w:p>
    <w:p>
      <w:pPr>
        <w:spacing w:line="360" w:lineRule="auto"/>
        <w:rPr>
          <w:rFonts w:eastAsia="仿宋_GB2312"/>
          <w:b/>
          <w:color w:val="000000" w:themeColor="text1"/>
          <w:szCs w:val="24"/>
        </w:rPr>
      </w:pPr>
      <w:r>
        <w:rPr>
          <w:rFonts w:eastAsia="仿宋_GB2312"/>
          <w:b/>
          <w:color w:val="000000" w:themeColor="text1"/>
          <w:szCs w:val="24"/>
        </w:rPr>
        <w:t>5.4.5水土保持工程施工工艺</w:t>
      </w:r>
    </w:p>
    <w:p>
      <w:pPr>
        <w:spacing w:line="360" w:lineRule="auto"/>
        <w:ind w:firstLine="480" w:firstLineChars="200"/>
        <w:rPr>
          <w:rFonts w:eastAsia="仿宋_GB2312"/>
          <w:color w:val="000000" w:themeColor="text1"/>
          <w:szCs w:val="24"/>
        </w:rPr>
      </w:pPr>
      <w:r>
        <w:rPr>
          <w:rFonts w:eastAsia="仿宋_GB2312"/>
          <w:color w:val="000000" w:themeColor="text1"/>
          <w:szCs w:val="24"/>
        </w:rPr>
        <w:t>本工程水土保持措施主要包括工程措施、植物措施。主要措施为全面整地、景观绿化等措施。</w:t>
      </w:r>
    </w:p>
    <w:p>
      <w:pPr>
        <w:spacing w:line="360" w:lineRule="auto"/>
        <w:ind w:firstLine="480" w:firstLineChars="200"/>
        <w:rPr>
          <w:rFonts w:eastAsia="仿宋_GB2312"/>
          <w:color w:val="000000" w:themeColor="text1"/>
          <w:szCs w:val="24"/>
        </w:rPr>
      </w:pPr>
      <w:r>
        <w:rPr>
          <w:rFonts w:eastAsia="仿宋_GB2312"/>
          <w:color w:val="000000" w:themeColor="text1"/>
          <w:szCs w:val="24"/>
        </w:rPr>
        <w:t>主要施工工艺如下：</w:t>
      </w:r>
    </w:p>
    <w:p>
      <w:pPr>
        <w:spacing w:line="360" w:lineRule="auto"/>
        <w:ind w:firstLine="480" w:firstLineChars="200"/>
        <w:rPr>
          <w:rFonts w:eastAsia="仿宋_GB2312"/>
          <w:color w:val="000000" w:themeColor="text1"/>
          <w:szCs w:val="24"/>
        </w:rPr>
      </w:pPr>
      <w:r>
        <w:rPr>
          <w:rFonts w:eastAsia="仿宋_GB2312"/>
          <w:color w:val="000000" w:themeColor="text1"/>
          <w:szCs w:val="24"/>
        </w:rPr>
        <w:t>（1）绿化用土回覆</w:t>
      </w:r>
    </w:p>
    <w:p>
      <w:pPr>
        <w:spacing w:line="360" w:lineRule="auto"/>
        <w:ind w:firstLine="480" w:firstLineChars="200"/>
        <w:rPr>
          <w:rFonts w:eastAsia="仿宋_GB2312"/>
          <w:color w:val="000000" w:themeColor="text1"/>
          <w:szCs w:val="24"/>
        </w:rPr>
      </w:pPr>
      <w:r>
        <w:rPr>
          <w:rFonts w:eastAsia="仿宋_GB2312"/>
          <w:color w:val="000000" w:themeColor="text1"/>
          <w:szCs w:val="24"/>
        </w:rPr>
        <w:t>绿化用土回覆采用机械施工，绿化用土回覆厚度</w:t>
      </w:r>
      <w:r>
        <w:rPr>
          <w:rFonts w:hint="eastAsia" w:eastAsia="仿宋_GB2312"/>
          <w:color w:val="000000" w:themeColor="text1"/>
          <w:szCs w:val="24"/>
        </w:rPr>
        <w:t>30</w:t>
      </w:r>
      <w:r>
        <w:rPr>
          <w:rFonts w:eastAsia="仿宋_GB2312"/>
          <w:color w:val="000000" w:themeColor="text1"/>
          <w:szCs w:val="24"/>
        </w:rPr>
        <w:t xml:space="preserve">cm。绿化用土回覆采用74kW推土机推土、运送、卸除、摊平。 </w:t>
      </w:r>
    </w:p>
    <w:p>
      <w:pPr>
        <w:spacing w:line="360" w:lineRule="auto"/>
        <w:ind w:firstLine="480" w:firstLineChars="200"/>
        <w:rPr>
          <w:rFonts w:eastAsia="仿宋_GB2312"/>
          <w:color w:val="000000" w:themeColor="text1"/>
          <w:szCs w:val="24"/>
        </w:rPr>
      </w:pPr>
      <w:r>
        <w:rPr>
          <w:rFonts w:eastAsia="仿宋_GB2312"/>
          <w:color w:val="000000" w:themeColor="text1"/>
          <w:szCs w:val="24"/>
        </w:rPr>
        <w:t>（2）全面整地</w:t>
      </w:r>
    </w:p>
    <w:p>
      <w:pPr>
        <w:spacing w:line="360" w:lineRule="auto"/>
        <w:ind w:firstLine="480" w:firstLineChars="200"/>
        <w:rPr>
          <w:rFonts w:eastAsia="仿宋_GB2312"/>
          <w:color w:val="000000" w:themeColor="text1"/>
          <w:szCs w:val="24"/>
        </w:rPr>
      </w:pPr>
      <w:r>
        <w:rPr>
          <w:rFonts w:eastAsia="仿宋_GB2312"/>
          <w:color w:val="000000" w:themeColor="text1"/>
          <w:szCs w:val="24"/>
        </w:rPr>
        <w:t>本方案设计对防治区绿化区域采取全面整地措施。全面整地在土建施工结束后，植物措施开始前进行。采用37kw拖拉机翻耕，人工配合修正的方法，全面整地前精心组织，使得土方在平整范围内挖填平衡。在土方推整呈现平面形状后，再进行细平。</w:t>
      </w:r>
    </w:p>
    <w:p>
      <w:pPr>
        <w:spacing w:line="360" w:lineRule="auto"/>
        <w:ind w:firstLine="480" w:firstLineChars="200"/>
        <w:rPr>
          <w:rFonts w:eastAsia="仿宋_GB2312"/>
          <w:color w:val="000000" w:themeColor="text1"/>
          <w:szCs w:val="24"/>
        </w:rPr>
      </w:pPr>
      <w:r>
        <w:rPr>
          <w:rFonts w:eastAsia="仿宋_GB2312"/>
          <w:color w:val="000000" w:themeColor="text1"/>
          <w:szCs w:val="24"/>
        </w:rPr>
        <w:t>（3）植物措施</w:t>
      </w:r>
    </w:p>
    <w:p>
      <w:pPr>
        <w:spacing w:line="360" w:lineRule="auto"/>
        <w:ind w:firstLine="480" w:firstLineChars="200"/>
        <w:rPr>
          <w:rFonts w:eastAsia="仿宋_GB2312"/>
          <w:color w:val="000000" w:themeColor="text1"/>
          <w:szCs w:val="24"/>
        </w:rPr>
      </w:pPr>
      <w:r>
        <w:rPr>
          <w:rFonts w:eastAsia="仿宋_GB2312"/>
          <w:color w:val="000000" w:themeColor="text1"/>
          <w:szCs w:val="24"/>
        </w:rPr>
        <w:t>苗木：用于该项工程水土保持植物措施的苗木必须达到如下要求：根系发达而完整，主根短直，接近根颈一定范围内有较好的侧根和须根，起苗后大根系应无劈裂；苗干粗壮通直，有一定的适合高度，不徒长；主侧枝分布均匀，能构成丰满的树冠，落叶乔木最小选用胸径3cm以上，常绿乔木最小应选树高1.5m以上苗木。</w:t>
      </w:r>
    </w:p>
    <w:p>
      <w:pPr>
        <w:spacing w:line="360" w:lineRule="auto"/>
        <w:ind w:firstLine="480" w:firstLineChars="200"/>
        <w:rPr>
          <w:rFonts w:eastAsia="仿宋_GB2312"/>
          <w:color w:val="000000" w:themeColor="text1"/>
          <w:szCs w:val="24"/>
        </w:rPr>
      </w:pPr>
      <w:r>
        <w:rPr>
          <w:rFonts w:eastAsia="仿宋_GB2312"/>
          <w:color w:val="000000" w:themeColor="text1"/>
          <w:szCs w:val="24"/>
        </w:rPr>
        <w:t>具体种植技术要求如下：</w:t>
      </w:r>
    </w:p>
    <w:p>
      <w:pPr>
        <w:spacing w:line="360" w:lineRule="auto"/>
        <w:ind w:firstLine="480" w:firstLineChars="200"/>
        <w:rPr>
          <w:color w:val="000000" w:themeColor="text1"/>
          <w:szCs w:val="24"/>
        </w:rPr>
      </w:pPr>
      <w:r>
        <w:rPr>
          <w:color w:val="000000" w:themeColor="text1"/>
          <w:szCs w:val="24"/>
        </w:rPr>
        <w:t>①</w:t>
      </w:r>
      <w:r>
        <w:rPr>
          <w:rFonts w:eastAsia="仿宋_GB2312"/>
          <w:color w:val="000000" w:themeColor="text1"/>
          <w:szCs w:val="24"/>
        </w:rPr>
        <w:t>撒播种草</w:t>
      </w:r>
    </w:p>
    <w:p>
      <w:pPr>
        <w:spacing w:line="360" w:lineRule="auto"/>
        <w:ind w:firstLine="480" w:firstLineChars="200"/>
        <w:rPr>
          <w:color w:val="000000" w:themeColor="text1"/>
          <w:szCs w:val="24"/>
        </w:rPr>
      </w:pPr>
      <w:r>
        <w:rPr>
          <w:rFonts w:eastAsia="仿宋_GB2312"/>
          <w:color w:val="000000" w:themeColor="text1"/>
          <w:szCs w:val="24"/>
        </w:rPr>
        <w:t>草籽选用紫羊茅，撒草籽采用撒播方式，播种量80kg/hm</w:t>
      </w:r>
      <w:r>
        <w:rPr>
          <w:rFonts w:eastAsia="仿宋_GB2312"/>
          <w:color w:val="000000" w:themeColor="text1"/>
          <w:szCs w:val="24"/>
          <w:vertAlign w:val="superscript"/>
        </w:rPr>
        <w:t>2</w:t>
      </w:r>
      <w:r>
        <w:rPr>
          <w:rFonts w:eastAsia="仿宋_GB2312"/>
          <w:color w:val="000000" w:themeColor="text1"/>
          <w:szCs w:val="24"/>
        </w:rPr>
        <w:t>。</w:t>
      </w:r>
    </w:p>
    <w:p>
      <w:pPr>
        <w:snapToGrid w:val="0"/>
        <w:spacing w:line="360" w:lineRule="auto"/>
        <w:ind w:firstLine="482"/>
        <w:rPr>
          <w:rFonts w:eastAsia="仿宋_GB2312"/>
          <w:color w:val="000000" w:themeColor="text1"/>
          <w:szCs w:val="24"/>
        </w:rPr>
      </w:pPr>
      <w:r>
        <w:rPr>
          <w:color w:val="000000" w:themeColor="text1"/>
          <w:szCs w:val="24"/>
        </w:rPr>
        <w:t>②</w:t>
      </w:r>
      <w:r>
        <w:rPr>
          <w:rFonts w:eastAsia="仿宋_GB2312"/>
          <w:color w:val="000000" w:themeColor="text1"/>
          <w:szCs w:val="24"/>
        </w:rPr>
        <w:t>灌木栽植技术</w:t>
      </w:r>
    </w:p>
    <w:p>
      <w:pPr>
        <w:snapToGrid w:val="0"/>
        <w:spacing w:line="360" w:lineRule="auto"/>
        <w:ind w:firstLine="482"/>
        <w:rPr>
          <w:rFonts w:eastAsia="仿宋_GB2312"/>
          <w:color w:val="000000" w:themeColor="text1"/>
          <w:szCs w:val="24"/>
        </w:rPr>
      </w:pPr>
      <w:r>
        <w:rPr>
          <w:rFonts w:eastAsia="仿宋_GB2312"/>
          <w:color w:val="000000" w:themeColor="text1"/>
          <w:szCs w:val="24"/>
        </w:rPr>
        <w:t>整地：灌木在春季随整地随造林，规格：穴径</w:t>
      </w:r>
      <w:r>
        <w:rPr>
          <w:rFonts w:hint="eastAsia" w:eastAsia="仿宋_GB2312"/>
          <w:color w:val="000000" w:themeColor="text1"/>
          <w:szCs w:val="24"/>
        </w:rPr>
        <w:t>3</w:t>
      </w:r>
      <w:r>
        <w:rPr>
          <w:rFonts w:eastAsia="仿宋_GB2312"/>
          <w:color w:val="000000" w:themeColor="text1"/>
          <w:szCs w:val="24"/>
        </w:rPr>
        <w:t>0cm、深30cm。</w:t>
      </w:r>
    </w:p>
    <w:p>
      <w:pPr>
        <w:snapToGrid w:val="0"/>
        <w:spacing w:line="360" w:lineRule="auto"/>
        <w:ind w:firstLine="482"/>
        <w:rPr>
          <w:rFonts w:eastAsia="仿宋_GB2312"/>
          <w:color w:val="000000" w:themeColor="text1"/>
          <w:szCs w:val="24"/>
        </w:rPr>
      </w:pPr>
      <w:r>
        <w:rPr>
          <w:rFonts w:eastAsia="仿宋_GB2312"/>
          <w:color w:val="000000" w:themeColor="text1"/>
          <w:szCs w:val="24"/>
        </w:rPr>
        <w:t>栽植：灌木苗木入坑要扶正，用表土埋至土坑1/3处，将苗木轻轻上提，保持树身垂直，树根舒展，然后将回填土壤踏实。</w:t>
      </w:r>
    </w:p>
    <w:p>
      <w:pPr>
        <w:snapToGrid w:val="0"/>
        <w:spacing w:line="360" w:lineRule="auto"/>
        <w:ind w:firstLine="482"/>
        <w:rPr>
          <w:rFonts w:eastAsia="仿宋_GB2312"/>
          <w:color w:val="000000" w:themeColor="text1"/>
          <w:szCs w:val="24"/>
        </w:rPr>
      </w:pPr>
      <w:r>
        <w:rPr>
          <w:rFonts w:eastAsia="仿宋_GB2312"/>
          <w:color w:val="000000" w:themeColor="text1"/>
          <w:szCs w:val="24"/>
        </w:rPr>
        <w:t>抚育管理：灌木栽植后头2年的春季修枝整形，控制长势，树势控制在1.5m左右；每年穴内除草2～3次（杂草铺在穴内，以减少蒸发）；灌木栽植的翌年，对缺苗处进行补播，并防治病虫害。</w:t>
      </w:r>
    </w:p>
    <w:p>
      <w:pPr>
        <w:adjustRightInd/>
        <w:spacing w:line="360" w:lineRule="auto"/>
        <w:ind w:firstLine="480" w:firstLineChars="200"/>
        <w:textAlignment w:val="auto"/>
        <w:rPr>
          <w:rFonts w:eastAsia="仿宋_GB2312"/>
          <w:color w:val="000000" w:themeColor="text1"/>
        </w:rPr>
      </w:pPr>
      <w:r>
        <w:rPr>
          <w:rFonts w:eastAsia="仿宋_GB2312"/>
          <w:color w:val="000000" w:themeColor="text1"/>
        </w:rPr>
        <w:t>绿篱灌木：单排绿篱栽植开沟沟槽宽0.4m，深0.3m</w:t>
      </w:r>
      <w:r>
        <w:rPr>
          <w:rFonts w:hint="eastAsia" w:eastAsia="仿宋_GB2312"/>
          <w:color w:val="000000" w:themeColor="text1"/>
        </w:rPr>
        <w:t>，其余施工工艺与灌木相同</w:t>
      </w:r>
      <w:r>
        <w:rPr>
          <w:rFonts w:eastAsia="仿宋_GB2312"/>
          <w:color w:val="000000" w:themeColor="text1"/>
        </w:rPr>
        <w:t>。</w:t>
      </w:r>
    </w:p>
    <w:p>
      <w:pPr>
        <w:snapToGrid w:val="0"/>
        <w:spacing w:line="360" w:lineRule="auto"/>
        <w:ind w:firstLine="482"/>
        <w:rPr>
          <w:rFonts w:eastAsia="仿宋_GB2312"/>
          <w:color w:val="000000" w:themeColor="text1"/>
          <w:szCs w:val="24"/>
        </w:rPr>
      </w:pPr>
      <w:r>
        <w:rPr>
          <w:color w:val="000000" w:themeColor="text1"/>
          <w:szCs w:val="24"/>
        </w:rPr>
        <w:t>③</w:t>
      </w:r>
      <w:r>
        <w:rPr>
          <w:rFonts w:eastAsia="仿宋_GB2312"/>
          <w:color w:val="000000" w:themeColor="text1"/>
          <w:szCs w:val="24"/>
        </w:rPr>
        <w:t>乔木栽植技术</w:t>
      </w:r>
    </w:p>
    <w:p>
      <w:pPr>
        <w:snapToGrid w:val="0"/>
        <w:spacing w:line="360" w:lineRule="auto"/>
        <w:ind w:firstLine="482"/>
        <w:rPr>
          <w:rFonts w:eastAsia="仿宋_GB2312"/>
          <w:color w:val="000000" w:themeColor="text1"/>
          <w:szCs w:val="24"/>
        </w:rPr>
      </w:pPr>
      <w:r>
        <w:rPr>
          <w:rFonts w:eastAsia="仿宋_GB2312"/>
          <w:color w:val="000000" w:themeColor="text1"/>
          <w:szCs w:val="24"/>
        </w:rPr>
        <w:t>栽植：翌年春季解冻前进行人工栽植，栽植时在土球四周下部垫入少量的土，使树苗直立稳定穴中，然后剪开包装材料，将不易腐烂的材料取出，为防止灌水使土坍塌、树斜，填入表土一半时，应用木棍将土球四周砸实，再填满穴，并砸实（注意不要弄碎土球），坑外围做好灌水围埂，围埂高20cm，栽后应立即灌水。栽植时做到苗正、根舒、踏实、根系舒展、深浅适宜。</w:t>
      </w:r>
    </w:p>
    <w:p>
      <w:pPr>
        <w:snapToGrid w:val="0"/>
        <w:spacing w:line="360" w:lineRule="auto"/>
        <w:ind w:firstLine="482"/>
        <w:rPr>
          <w:rFonts w:eastAsia="仿宋_GB2312"/>
          <w:color w:val="000000" w:themeColor="text1"/>
          <w:szCs w:val="24"/>
        </w:rPr>
      </w:pPr>
      <w:r>
        <w:rPr>
          <w:rFonts w:eastAsia="仿宋_GB2312"/>
          <w:color w:val="000000" w:themeColor="text1"/>
          <w:szCs w:val="24"/>
        </w:rPr>
        <w:t>④抚育管理：乔木栽植后头2年的春季修枝整形，每年穴内除草2～3次（杂草铺在穴内，以减少蒸发）；乔木栽植的翌年，对缺苗处进行补植，并防治病虫害。</w:t>
      </w:r>
    </w:p>
    <w:p>
      <w:pPr>
        <w:spacing w:line="360" w:lineRule="auto"/>
        <w:jc w:val="both"/>
        <w:rPr>
          <w:rFonts w:eastAsia="仿宋_GB2312"/>
          <w:b/>
          <w:color w:val="000000" w:themeColor="text1"/>
          <w:szCs w:val="24"/>
          <w:highlight w:val="cyan"/>
        </w:rPr>
      </w:pPr>
      <w:r>
        <w:rPr>
          <w:rFonts w:eastAsia="仿宋_GB2312"/>
          <w:b/>
          <w:color w:val="000000" w:themeColor="text1"/>
          <w:szCs w:val="24"/>
        </w:rPr>
        <w:t>5.4.6施工进度</w:t>
      </w:r>
    </w:p>
    <w:p>
      <w:pPr>
        <w:spacing w:line="360" w:lineRule="auto"/>
        <w:ind w:firstLine="480" w:firstLineChars="200"/>
        <w:rPr>
          <w:rFonts w:eastAsia="仿宋_GB2312"/>
          <w:b/>
          <w:bCs/>
          <w:color w:val="000000" w:themeColor="text1"/>
          <w:highlight w:val="cyan"/>
        </w:rPr>
      </w:pPr>
      <w:r>
        <w:rPr>
          <w:rFonts w:eastAsia="仿宋_GB2312"/>
          <w:color w:val="000000" w:themeColor="text1"/>
        </w:rPr>
        <w:t>根据主体工程施工进度安排，其建设期为</w:t>
      </w:r>
      <w:r>
        <w:rPr>
          <w:rFonts w:hint="eastAsia" w:eastAsia="仿宋_GB2312"/>
          <w:color w:val="000000" w:themeColor="text1"/>
          <w:lang w:val="en-US" w:eastAsia="zh-CN"/>
        </w:rPr>
        <w:t>24</w:t>
      </w:r>
      <w:r>
        <w:rPr>
          <w:rFonts w:eastAsia="仿宋_GB2312"/>
          <w:color w:val="000000" w:themeColor="text1"/>
        </w:rPr>
        <w:t>个月，本项目</w:t>
      </w:r>
      <w:r>
        <w:rPr>
          <w:rFonts w:hint="eastAsia" w:eastAsia="仿宋_GB2312"/>
          <w:color w:val="000000" w:themeColor="text1"/>
          <w:lang w:val="en-US" w:eastAsia="zh-CN"/>
        </w:rPr>
        <w:t>已</w:t>
      </w:r>
      <w:r>
        <w:rPr>
          <w:rFonts w:hint="eastAsia" w:eastAsia="仿宋_GB2312"/>
          <w:color w:val="000000" w:themeColor="text1"/>
        </w:rPr>
        <w:t>于</w:t>
      </w:r>
      <w:r>
        <w:rPr>
          <w:rFonts w:eastAsia="仿宋_GB2312"/>
          <w:color w:val="000000" w:themeColor="text1"/>
        </w:rPr>
        <w:t>202</w:t>
      </w:r>
      <w:r>
        <w:rPr>
          <w:rFonts w:hint="eastAsia" w:eastAsia="仿宋_GB2312"/>
          <w:color w:val="000000" w:themeColor="text1"/>
          <w:lang w:val="en-US" w:eastAsia="zh-CN"/>
        </w:rPr>
        <w:t>1</w:t>
      </w:r>
      <w:r>
        <w:rPr>
          <w:rFonts w:eastAsia="仿宋_GB2312"/>
          <w:color w:val="000000" w:themeColor="text1"/>
        </w:rPr>
        <w:t>年</w:t>
      </w:r>
      <w:r>
        <w:rPr>
          <w:rFonts w:hint="eastAsia" w:eastAsia="仿宋_GB2312"/>
          <w:color w:val="000000" w:themeColor="text1"/>
          <w:lang w:val="en-US" w:eastAsia="zh-CN"/>
        </w:rPr>
        <w:t>9</w:t>
      </w:r>
      <w:r>
        <w:rPr>
          <w:rFonts w:eastAsia="仿宋_GB2312"/>
          <w:color w:val="000000" w:themeColor="text1"/>
        </w:rPr>
        <w:t>月开工，</w:t>
      </w:r>
      <w:r>
        <w:rPr>
          <w:rFonts w:hint="eastAsia" w:eastAsia="仿宋_GB2312"/>
          <w:color w:val="000000" w:themeColor="text1"/>
        </w:rPr>
        <w:t>计划于</w:t>
      </w:r>
      <w:r>
        <w:rPr>
          <w:rFonts w:eastAsia="仿宋_GB2312"/>
          <w:color w:val="000000" w:themeColor="text1"/>
        </w:rPr>
        <w:t>202</w:t>
      </w:r>
      <w:r>
        <w:rPr>
          <w:rFonts w:hint="eastAsia" w:eastAsia="仿宋_GB2312"/>
          <w:color w:val="000000" w:themeColor="text1"/>
        </w:rPr>
        <w:t>3</w:t>
      </w:r>
      <w:r>
        <w:rPr>
          <w:rFonts w:eastAsia="仿宋_GB2312"/>
          <w:color w:val="000000" w:themeColor="text1"/>
        </w:rPr>
        <w:t>年</w:t>
      </w:r>
      <w:r>
        <w:rPr>
          <w:rFonts w:hint="eastAsia" w:eastAsia="仿宋_GB2312"/>
          <w:color w:val="000000" w:themeColor="text1"/>
          <w:lang w:val="en-US" w:eastAsia="zh-CN"/>
        </w:rPr>
        <w:t>8</w:t>
      </w:r>
      <w:r>
        <w:rPr>
          <w:rFonts w:eastAsia="仿宋_GB2312"/>
          <w:color w:val="000000" w:themeColor="text1"/>
        </w:rPr>
        <w:t>月完工。根据工程的实际情况和防治水土流失的实施需要，确定水土保持措施的工期为202</w:t>
      </w:r>
      <w:r>
        <w:rPr>
          <w:rFonts w:hint="eastAsia" w:eastAsia="仿宋_GB2312"/>
          <w:color w:val="000000" w:themeColor="text1"/>
          <w:lang w:val="en-US" w:eastAsia="zh-CN"/>
        </w:rPr>
        <w:t>1</w:t>
      </w:r>
      <w:r>
        <w:rPr>
          <w:rFonts w:eastAsia="仿宋_GB2312"/>
          <w:color w:val="000000" w:themeColor="text1"/>
        </w:rPr>
        <w:t>年</w:t>
      </w:r>
      <w:r>
        <w:rPr>
          <w:rFonts w:hint="eastAsia" w:eastAsia="仿宋_GB2312"/>
          <w:color w:val="000000" w:themeColor="text1"/>
          <w:lang w:val="en-US" w:eastAsia="zh-CN"/>
        </w:rPr>
        <w:t>9</w:t>
      </w:r>
      <w:r>
        <w:rPr>
          <w:rFonts w:eastAsia="仿宋_GB2312"/>
          <w:color w:val="000000" w:themeColor="text1"/>
        </w:rPr>
        <w:t>月至202</w:t>
      </w:r>
      <w:r>
        <w:rPr>
          <w:rFonts w:hint="eastAsia" w:eastAsia="仿宋_GB2312"/>
          <w:color w:val="000000" w:themeColor="text1"/>
        </w:rPr>
        <w:t>4</w:t>
      </w:r>
      <w:r>
        <w:rPr>
          <w:rFonts w:eastAsia="仿宋_GB2312"/>
          <w:color w:val="000000" w:themeColor="text1"/>
        </w:rPr>
        <w:t>年</w:t>
      </w:r>
      <w:r>
        <w:rPr>
          <w:rFonts w:hint="eastAsia" w:eastAsia="仿宋_GB2312"/>
          <w:color w:val="000000" w:themeColor="text1"/>
        </w:rPr>
        <w:t>12</w:t>
      </w:r>
      <w:r>
        <w:rPr>
          <w:rFonts w:eastAsia="仿宋_GB2312"/>
          <w:color w:val="000000" w:themeColor="text1"/>
        </w:rPr>
        <w:t>月；水土保持措施分年度实施计划见表5-5，水土保持措施实施进度图见图5-2。</w:t>
      </w:r>
    </w:p>
    <w:p>
      <w:pPr>
        <w:pStyle w:val="71"/>
        <w:ind w:firstLine="0" w:firstLineChars="0"/>
        <w:rPr>
          <w:rFonts w:ascii="Times New Roman" w:hAnsi="Times New Roman" w:eastAsia="仿宋_GB2312" w:cs="Times New Roman"/>
          <w:b w:val="0"/>
          <w:color w:val="000000" w:themeColor="text1"/>
          <w:kern w:val="0"/>
          <w:sz w:val="10"/>
          <w:szCs w:val="10"/>
          <w:highlight w:val="cyan"/>
        </w:rPr>
      </w:pPr>
    </w:p>
    <w:p>
      <w:pPr>
        <w:pStyle w:val="71"/>
        <w:ind w:firstLine="0" w:firstLineChars="0"/>
        <w:rPr>
          <w:rFonts w:ascii="Times New Roman" w:hAnsi="Times New Roman" w:eastAsia="仿宋_GB2312" w:cs="Times New Roman"/>
          <w:b w:val="0"/>
          <w:color w:val="000000" w:themeColor="text1"/>
          <w:kern w:val="0"/>
          <w:sz w:val="10"/>
          <w:szCs w:val="10"/>
          <w:highlight w:val="cyan"/>
        </w:rPr>
        <w:sectPr>
          <w:headerReference r:id="rId15" w:type="default"/>
          <w:footerReference r:id="rId16" w:type="default"/>
          <w:pgSz w:w="11906" w:h="16838"/>
          <w:pgMar w:top="1440" w:right="1797" w:bottom="1440" w:left="1797" w:header="851" w:footer="992" w:gutter="0"/>
          <w:cols w:space="720" w:num="1"/>
          <w:docGrid w:linePitch="312" w:charSpace="0"/>
        </w:sectPr>
      </w:pPr>
    </w:p>
    <w:tbl>
      <w:tblPr>
        <w:tblStyle w:val="23"/>
        <w:tblW w:w="4998"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1836"/>
        <w:gridCol w:w="306"/>
        <w:gridCol w:w="306"/>
        <w:gridCol w:w="306"/>
        <w:gridCol w:w="306"/>
        <w:gridCol w:w="306"/>
        <w:gridCol w:w="306"/>
        <w:gridCol w:w="306"/>
        <w:gridCol w:w="306"/>
        <w:gridCol w:w="322"/>
        <w:gridCol w:w="396"/>
        <w:gridCol w:w="396"/>
        <w:gridCol w:w="427"/>
        <w:gridCol w:w="306"/>
        <w:gridCol w:w="306"/>
        <w:gridCol w:w="306"/>
        <w:gridCol w:w="306"/>
        <w:gridCol w:w="306"/>
        <w:gridCol w:w="306"/>
        <w:gridCol w:w="306"/>
        <w:gridCol w:w="306"/>
        <w:gridCol w:w="328"/>
        <w:gridCol w:w="396"/>
        <w:gridCol w:w="396"/>
        <w:gridCol w:w="430"/>
        <w:gridCol w:w="306"/>
        <w:gridCol w:w="306"/>
        <w:gridCol w:w="306"/>
        <w:gridCol w:w="306"/>
        <w:gridCol w:w="306"/>
        <w:gridCol w:w="307"/>
        <w:gridCol w:w="307"/>
        <w:gridCol w:w="307"/>
        <w:gridCol w:w="307"/>
        <w:gridCol w:w="397"/>
        <w:gridCol w:w="397"/>
        <w:gridCol w:w="39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39" w:type="pct"/>
            <w:vMerge w:val="restar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防治</w:t>
            </w:r>
          </w:p>
          <w:p>
            <w:pPr>
              <w:spacing w:line="240" w:lineRule="auto"/>
              <w:jc w:val="center"/>
              <w:rPr>
                <w:rFonts w:eastAsia="仿宋_GB2312"/>
                <w:color w:val="000000" w:themeColor="text1"/>
                <w:sz w:val="18"/>
                <w:szCs w:val="18"/>
              </w:rPr>
            </w:pPr>
            <w:r>
              <w:rPr>
                <w:rFonts w:eastAsia="仿宋_GB2312"/>
                <w:color w:val="000000" w:themeColor="text1"/>
                <w:sz w:val="18"/>
                <w:szCs w:val="18"/>
              </w:rPr>
              <w:t>分区</w:t>
            </w:r>
          </w:p>
        </w:tc>
        <w:tc>
          <w:tcPr>
            <w:tcW w:w="652" w:type="pct"/>
            <w:vMerge w:val="restart"/>
            <w:vAlign w:val="center"/>
          </w:tcPr>
          <w:p>
            <w:pPr>
              <w:spacing w:line="240" w:lineRule="auto"/>
              <w:ind w:left="1080" w:hanging="1080" w:hangingChars="600"/>
              <w:rPr>
                <w:rFonts w:eastAsia="仿宋_GB2312"/>
                <w:color w:val="000000" w:themeColor="text1"/>
                <w:sz w:val="18"/>
                <w:szCs w:val="18"/>
              </w:rPr>
            </w:pPr>
            <w:r>
              <w:rPr>
                <w:color w:val="000000" w:themeColor="text1"/>
                <w:sz w:val="18"/>
                <w:szCs w:val="18"/>
              </w:rPr>
              <w:pict>
                <v:line id="直线 122" o:spid="_x0000_s2115" o:spt="20" style="position:absolute;left:0pt;margin-left:-4.4pt;margin-top:0.9pt;height:43.7pt;width:127.05pt;z-index:251672576;mso-width-relative:page;mso-height-relative:page;" coordsize="21600,21600" o:gfxdata="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LNjfm&#10;1QAAAAcBAAAPAAAAAAAAAAEAIAAAACIAAABkcnMvZG93bnJldi54bWxQSwECFAAUAAAACACHTuJA&#10;SmM+6usBAADiAwAADgAAAAAAAAABACAAAAAkAQAAZHJzL2Uyb0RvYy54bWxQSwUGAAAAAAYABgBZ&#10;AQAAgQUAAAAA&#10;">
                  <v:path arrowok="t"/>
                  <v:fill focussize="0,0"/>
                  <v:stroke/>
                  <v:imagedata o:title=""/>
                  <o:lock v:ext="edit"/>
                </v:line>
              </w:pict>
            </w:r>
            <w:r>
              <w:rPr>
                <w:color w:val="000000" w:themeColor="text1"/>
                <w:sz w:val="18"/>
                <w:szCs w:val="18"/>
              </w:rPr>
              <w:pict>
                <v:line id="直线 121" o:spid="_x0000_s2114" o:spt="20" style="position:absolute;left:0pt;margin-left:-4.4pt;margin-top:0.9pt;height:46.5pt;width:93.75pt;z-index:251671552;mso-width-relative:page;mso-height-relative:page;" stroked="f" coordsize="21600,21600" o:gfxdata="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IQuweTWAAAABwEAAA8AAAAAAAAAAQAgAAAA&#10;IgAAAGRycy9kb3ducmV2LnhtbFBLAQIUABQAAAAIAIdO4kDVDAwumwEAAC4DAAAOAAAAAAAAAAEA&#10;IAAAACUBAABkcnMvZTJvRG9jLnhtbFBLBQYAAAAABgAGAFkBAAAyBQAAAAA=&#10;">
                  <v:path arrowok="t"/>
                  <v:fill focussize="0,0"/>
                  <v:stroke on="f"/>
                  <v:imagedata o:title=""/>
                  <o:lock v:ext="edit"/>
                </v:line>
              </w:pict>
            </w:r>
            <w:r>
              <w:rPr>
                <w:rFonts w:eastAsia="仿宋_GB2312"/>
                <w:color w:val="000000" w:themeColor="text1"/>
                <w:sz w:val="18"/>
                <w:szCs w:val="18"/>
              </w:rPr>
              <w:t xml:space="preserve">           </w:t>
            </w:r>
            <w:r>
              <w:rPr>
                <w:rFonts w:hint="eastAsia" w:eastAsia="仿宋_GB2312"/>
                <w:color w:val="000000" w:themeColor="text1"/>
                <w:sz w:val="18"/>
                <w:szCs w:val="18"/>
              </w:rPr>
              <w:t xml:space="preserve">          </w:t>
            </w:r>
            <w:r>
              <w:rPr>
                <w:rFonts w:eastAsia="仿宋_GB2312"/>
                <w:color w:val="000000" w:themeColor="text1"/>
                <w:sz w:val="18"/>
                <w:szCs w:val="18"/>
              </w:rPr>
              <w:t>月份</w:t>
            </w:r>
          </w:p>
          <w:p>
            <w:pPr>
              <w:spacing w:line="240" w:lineRule="auto"/>
              <w:rPr>
                <w:rFonts w:eastAsia="仿宋_GB2312"/>
                <w:color w:val="000000" w:themeColor="text1"/>
                <w:sz w:val="18"/>
                <w:szCs w:val="18"/>
              </w:rPr>
            </w:pPr>
          </w:p>
          <w:p>
            <w:pPr>
              <w:spacing w:line="240" w:lineRule="auto"/>
              <w:rPr>
                <w:rFonts w:eastAsia="仿宋_GB2312"/>
                <w:color w:val="000000" w:themeColor="text1"/>
                <w:sz w:val="18"/>
                <w:szCs w:val="18"/>
              </w:rPr>
            </w:pPr>
          </w:p>
          <w:p>
            <w:pPr>
              <w:spacing w:line="240" w:lineRule="auto"/>
              <w:rPr>
                <w:rFonts w:eastAsia="仿宋_GB2312"/>
                <w:color w:val="000000" w:themeColor="text1"/>
                <w:sz w:val="18"/>
                <w:szCs w:val="18"/>
              </w:rPr>
            </w:pPr>
            <w:r>
              <w:rPr>
                <w:rFonts w:eastAsia="仿宋_GB2312"/>
                <w:color w:val="000000" w:themeColor="text1"/>
                <w:sz w:val="18"/>
                <w:szCs w:val="18"/>
              </w:rPr>
              <w:t>项目</w:t>
            </w:r>
          </w:p>
        </w:tc>
        <w:tc>
          <w:tcPr>
            <w:tcW w:w="1402" w:type="pct"/>
            <w:gridSpan w:val="12"/>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202</w:t>
            </w:r>
            <w:r>
              <w:rPr>
                <w:rFonts w:hint="eastAsia" w:eastAsia="仿宋_GB2312"/>
                <w:color w:val="000000" w:themeColor="text1"/>
                <w:sz w:val="18"/>
                <w:szCs w:val="18"/>
                <w:lang w:val="en-US" w:eastAsia="zh-CN"/>
              </w:rPr>
              <w:t>2</w:t>
            </w:r>
            <w:r>
              <w:rPr>
                <w:rFonts w:eastAsia="仿宋_GB2312"/>
                <w:color w:val="000000" w:themeColor="text1"/>
                <w:sz w:val="18"/>
                <w:szCs w:val="18"/>
              </w:rPr>
              <w:t>年</w:t>
            </w:r>
          </w:p>
        </w:tc>
        <w:tc>
          <w:tcPr>
            <w:tcW w:w="1403" w:type="pct"/>
            <w:gridSpan w:val="12"/>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202</w:t>
            </w:r>
            <w:r>
              <w:rPr>
                <w:rFonts w:hint="eastAsia" w:eastAsia="仿宋_GB2312"/>
                <w:color w:val="000000" w:themeColor="text1"/>
                <w:sz w:val="18"/>
                <w:szCs w:val="18"/>
              </w:rPr>
              <w:t>3</w:t>
            </w:r>
            <w:r>
              <w:rPr>
                <w:rFonts w:eastAsia="仿宋_GB2312"/>
                <w:color w:val="000000" w:themeColor="text1"/>
                <w:sz w:val="18"/>
                <w:szCs w:val="18"/>
              </w:rPr>
              <w:t>年</w:t>
            </w:r>
          </w:p>
        </w:tc>
        <w:tc>
          <w:tcPr>
            <w:tcW w:w="3957" w:type="dxa"/>
            <w:gridSpan w:val="12"/>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202</w:t>
            </w:r>
            <w:r>
              <w:rPr>
                <w:rFonts w:hint="eastAsia" w:eastAsia="仿宋_GB2312"/>
                <w:color w:val="000000" w:themeColor="text1"/>
                <w:sz w:val="18"/>
                <w:szCs w:val="18"/>
              </w:rPr>
              <w:t>3</w:t>
            </w:r>
            <w:r>
              <w:rPr>
                <w:rFonts w:eastAsia="仿宋_GB2312"/>
                <w:color w:val="000000" w:themeColor="text1"/>
                <w:sz w:val="18"/>
                <w:szCs w:val="18"/>
              </w:rPr>
              <w:t>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39" w:type="pct"/>
            <w:vMerge w:val="continue"/>
            <w:vAlign w:val="center"/>
          </w:tcPr>
          <w:p>
            <w:pPr>
              <w:spacing w:line="240" w:lineRule="auto"/>
              <w:jc w:val="center"/>
              <w:rPr>
                <w:rFonts w:eastAsia="仿宋_GB2312"/>
                <w:color w:val="000000" w:themeColor="text1"/>
                <w:sz w:val="18"/>
                <w:szCs w:val="18"/>
              </w:rPr>
            </w:pPr>
          </w:p>
        </w:tc>
        <w:tc>
          <w:tcPr>
            <w:tcW w:w="652" w:type="pct"/>
            <w:vMerge w:val="continue"/>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1</w:t>
            </w:r>
          </w:p>
        </w:tc>
        <w:tc>
          <w:tcPr>
            <w:tcW w:w="106"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2</w:t>
            </w:r>
          </w:p>
        </w:tc>
        <w:tc>
          <w:tcPr>
            <w:tcW w:w="106"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3</w:t>
            </w:r>
          </w:p>
        </w:tc>
        <w:tc>
          <w:tcPr>
            <w:tcW w:w="107"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4</w:t>
            </w:r>
          </w:p>
        </w:tc>
        <w:tc>
          <w:tcPr>
            <w:tcW w:w="107"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5</w:t>
            </w:r>
          </w:p>
        </w:tc>
        <w:tc>
          <w:tcPr>
            <w:tcW w:w="107"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6</w:t>
            </w:r>
          </w:p>
        </w:tc>
        <w:tc>
          <w:tcPr>
            <w:tcW w:w="107"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7</w:t>
            </w:r>
          </w:p>
        </w:tc>
        <w:tc>
          <w:tcPr>
            <w:tcW w:w="107"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8</w:t>
            </w:r>
          </w:p>
        </w:tc>
        <w:tc>
          <w:tcPr>
            <w:tcW w:w="122"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9</w:t>
            </w:r>
          </w:p>
        </w:tc>
        <w:tc>
          <w:tcPr>
            <w:tcW w:w="124"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10</w:t>
            </w:r>
          </w:p>
        </w:tc>
        <w:tc>
          <w:tcPr>
            <w:tcW w:w="140"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11</w:t>
            </w:r>
          </w:p>
        </w:tc>
        <w:tc>
          <w:tcPr>
            <w:tcW w:w="157"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12</w:t>
            </w:r>
          </w:p>
        </w:tc>
        <w:tc>
          <w:tcPr>
            <w:tcW w:w="106"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1</w:t>
            </w:r>
          </w:p>
        </w:tc>
        <w:tc>
          <w:tcPr>
            <w:tcW w:w="106" w:type="pct"/>
            <w:vAlign w:val="center"/>
          </w:tcPr>
          <w:p>
            <w:pPr>
              <w:spacing w:line="240" w:lineRule="auto"/>
              <w:jc w:val="center"/>
            </w:pPr>
            <w:r>
              <w:rPr>
                <w:rFonts w:eastAsia="仿宋_GB2312"/>
                <w:color w:val="000000" w:themeColor="text1"/>
                <w:sz w:val="18"/>
                <w:szCs w:val="18"/>
              </w:rPr>
              <w:t>2</w:t>
            </w:r>
          </w:p>
        </w:tc>
        <w:tc>
          <w:tcPr>
            <w:tcW w:w="106" w:type="pct"/>
            <w:vAlign w:val="center"/>
          </w:tcPr>
          <w:p>
            <w:pPr>
              <w:spacing w:line="240" w:lineRule="auto"/>
              <w:jc w:val="center"/>
            </w:pPr>
            <w:r>
              <w:rPr>
                <w:rFonts w:eastAsia="仿宋_GB2312"/>
                <w:color w:val="000000" w:themeColor="text1"/>
                <w:sz w:val="18"/>
                <w:szCs w:val="18"/>
              </w:rPr>
              <w:t>3</w:t>
            </w:r>
          </w:p>
        </w:tc>
        <w:tc>
          <w:tcPr>
            <w:tcW w:w="107" w:type="pct"/>
            <w:vAlign w:val="center"/>
          </w:tcPr>
          <w:p>
            <w:pPr>
              <w:spacing w:line="240" w:lineRule="auto"/>
              <w:jc w:val="center"/>
            </w:pPr>
            <w:r>
              <w:rPr>
                <w:rFonts w:eastAsia="仿宋_GB2312"/>
                <w:color w:val="000000" w:themeColor="text1"/>
                <w:sz w:val="18"/>
                <w:szCs w:val="18"/>
              </w:rPr>
              <w:t>4</w:t>
            </w:r>
          </w:p>
        </w:tc>
        <w:tc>
          <w:tcPr>
            <w:tcW w:w="107" w:type="pct"/>
            <w:vAlign w:val="center"/>
          </w:tcPr>
          <w:p>
            <w:pPr>
              <w:spacing w:line="240" w:lineRule="auto"/>
              <w:jc w:val="center"/>
            </w:pPr>
            <w:r>
              <w:rPr>
                <w:rFonts w:eastAsia="仿宋_GB2312"/>
                <w:color w:val="000000" w:themeColor="text1"/>
                <w:sz w:val="18"/>
                <w:szCs w:val="18"/>
              </w:rPr>
              <w:t>5</w:t>
            </w:r>
          </w:p>
        </w:tc>
        <w:tc>
          <w:tcPr>
            <w:tcW w:w="107" w:type="pct"/>
            <w:vAlign w:val="center"/>
          </w:tcPr>
          <w:p>
            <w:pPr>
              <w:spacing w:line="240" w:lineRule="auto"/>
              <w:jc w:val="center"/>
            </w:pPr>
            <w:r>
              <w:rPr>
                <w:rFonts w:eastAsia="仿宋_GB2312"/>
                <w:color w:val="000000" w:themeColor="text1"/>
                <w:sz w:val="18"/>
                <w:szCs w:val="18"/>
              </w:rPr>
              <w:t>6</w:t>
            </w:r>
          </w:p>
        </w:tc>
        <w:tc>
          <w:tcPr>
            <w:tcW w:w="107" w:type="pct"/>
            <w:vAlign w:val="center"/>
          </w:tcPr>
          <w:p>
            <w:pPr>
              <w:spacing w:line="240" w:lineRule="auto"/>
              <w:jc w:val="center"/>
            </w:pPr>
            <w:r>
              <w:rPr>
                <w:rFonts w:eastAsia="仿宋_GB2312"/>
                <w:color w:val="000000" w:themeColor="text1"/>
                <w:sz w:val="18"/>
                <w:szCs w:val="18"/>
              </w:rPr>
              <w:t>7</w:t>
            </w:r>
          </w:p>
        </w:tc>
        <w:tc>
          <w:tcPr>
            <w:tcW w:w="107" w:type="pct"/>
            <w:vAlign w:val="center"/>
          </w:tcPr>
          <w:p>
            <w:pPr>
              <w:spacing w:line="240" w:lineRule="auto"/>
              <w:jc w:val="center"/>
            </w:pPr>
            <w:r>
              <w:rPr>
                <w:rFonts w:eastAsia="仿宋_GB2312"/>
                <w:color w:val="000000" w:themeColor="text1"/>
                <w:sz w:val="18"/>
                <w:szCs w:val="18"/>
              </w:rPr>
              <w:t>8</w:t>
            </w:r>
          </w:p>
        </w:tc>
        <w:tc>
          <w:tcPr>
            <w:tcW w:w="122" w:type="pct"/>
            <w:vAlign w:val="center"/>
          </w:tcPr>
          <w:p>
            <w:pPr>
              <w:spacing w:line="240" w:lineRule="auto"/>
              <w:jc w:val="center"/>
            </w:pPr>
            <w:r>
              <w:rPr>
                <w:rFonts w:eastAsia="仿宋_GB2312"/>
                <w:color w:val="000000" w:themeColor="text1"/>
                <w:sz w:val="18"/>
                <w:szCs w:val="18"/>
              </w:rPr>
              <w:t>9</w:t>
            </w:r>
          </w:p>
        </w:tc>
        <w:tc>
          <w:tcPr>
            <w:tcW w:w="124" w:type="pct"/>
            <w:vAlign w:val="center"/>
          </w:tcPr>
          <w:p>
            <w:pPr>
              <w:spacing w:line="240" w:lineRule="auto"/>
              <w:jc w:val="center"/>
            </w:pPr>
            <w:r>
              <w:rPr>
                <w:rFonts w:eastAsia="仿宋_GB2312"/>
                <w:color w:val="000000" w:themeColor="text1"/>
                <w:sz w:val="18"/>
                <w:szCs w:val="18"/>
              </w:rPr>
              <w:t>10</w:t>
            </w:r>
          </w:p>
        </w:tc>
        <w:tc>
          <w:tcPr>
            <w:tcW w:w="140" w:type="pct"/>
            <w:vAlign w:val="center"/>
          </w:tcPr>
          <w:p>
            <w:pPr>
              <w:spacing w:line="240" w:lineRule="auto"/>
              <w:jc w:val="center"/>
            </w:pPr>
            <w:r>
              <w:rPr>
                <w:rFonts w:eastAsia="仿宋_GB2312"/>
                <w:color w:val="000000" w:themeColor="text1"/>
                <w:sz w:val="18"/>
                <w:szCs w:val="18"/>
              </w:rPr>
              <w:t>11</w:t>
            </w:r>
          </w:p>
        </w:tc>
        <w:tc>
          <w:tcPr>
            <w:tcW w:w="158" w:type="pct"/>
            <w:vAlign w:val="center"/>
          </w:tcPr>
          <w:p>
            <w:pPr>
              <w:spacing w:line="240" w:lineRule="auto"/>
              <w:jc w:val="center"/>
            </w:pPr>
            <w:r>
              <w:rPr>
                <w:rFonts w:eastAsia="仿宋_GB2312"/>
                <w:color w:val="000000" w:themeColor="text1"/>
                <w:sz w:val="18"/>
                <w:szCs w:val="18"/>
              </w:rPr>
              <w:t>12</w:t>
            </w:r>
          </w:p>
        </w:tc>
        <w:tc>
          <w:tcPr>
            <w:tcW w:w="302" w:type="dxa"/>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1</w:t>
            </w:r>
          </w:p>
        </w:tc>
        <w:tc>
          <w:tcPr>
            <w:tcW w:w="302" w:type="dxa"/>
            <w:vAlign w:val="center"/>
          </w:tcPr>
          <w:p>
            <w:pPr>
              <w:spacing w:line="240" w:lineRule="auto"/>
              <w:jc w:val="center"/>
            </w:pPr>
            <w:r>
              <w:rPr>
                <w:rFonts w:eastAsia="仿宋_GB2312"/>
                <w:color w:val="000000" w:themeColor="text1"/>
                <w:sz w:val="18"/>
                <w:szCs w:val="18"/>
              </w:rPr>
              <w:t>2</w:t>
            </w:r>
          </w:p>
        </w:tc>
        <w:tc>
          <w:tcPr>
            <w:tcW w:w="303" w:type="dxa"/>
            <w:vAlign w:val="center"/>
          </w:tcPr>
          <w:p>
            <w:pPr>
              <w:spacing w:line="240" w:lineRule="auto"/>
              <w:jc w:val="center"/>
            </w:pPr>
            <w:r>
              <w:rPr>
                <w:rFonts w:eastAsia="仿宋_GB2312"/>
                <w:color w:val="000000" w:themeColor="text1"/>
                <w:sz w:val="18"/>
                <w:szCs w:val="18"/>
              </w:rPr>
              <w:t>3</w:t>
            </w:r>
          </w:p>
        </w:tc>
        <w:tc>
          <w:tcPr>
            <w:tcW w:w="303" w:type="dxa"/>
            <w:vAlign w:val="center"/>
          </w:tcPr>
          <w:p>
            <w:pPr>
              <w:spacing w:line="240" w:lineRule="auto"/>
              <w:jc w:val="center"/>
            </w:pPr>
            <w:r>
              <w:rPr>
                <w:rFonts w:eastAsia="仿宋_GB2312"/>
                <w:color w:val="000000" w:themeColor="text1"/>
                <w:sz w:val="18"/>
                <w:szCs w:val="18"/>
              </w:rPr>
              <w:t>4</w:t>
            </w:r>
          </w:p>
        </w:tc>
        <w:tc>
          <w:tcPr>
            <w:tcW w:w="303" w:type="dxa"/>
            <w:vAlign w:val="center"/>
          </w:tcPr>
          <w:p>
            <w:pPr>
              <w:spacing w:line="240" w:lineRule="auto"/>
              <w:jc w:val="center"/>
            </w:pPr>
            <w:r>
              <w:rPr>
                <w:rFonts w:eastAsia="仿宋_GB2312"/>
                <w:color w:val="000000" w:themeColor="text1"/>
                <w:sz w:val="18"/>
                <w:szCs w:val="18"/>
              </w:rPr>
              <w:t>5</w:t>
            </w:r>
          </w:p>
        </w:tc>
        <w:tc>
          <w:tcPr>
            <w:tcW w:w="303" w:type="dxa"/>
            <w:vAlign w:val="center"/>
          </w:tcPr>
          <w:p>
            <w:pPr>
              <w:spacing w:line="240" w:lineRule="auto"/>
              <w:jc w:val="center"/>
            </w:pPr>
            <w:r>
              <w:rPr>
                <w:rFonts w:eastAsia="仿宋_GB2312"/>
                <w:color w:val="000000" w:themeColor="text1"/>
                <w:sz w:val="18"/>
                <w:szCs w:val="18"/>
              </w:rPr>
              <w:t>6</w:t>
            </w:r>
          </w:p>
        </w:tc>
        <w:tc>
          <w:tcPr>
            <w:tcW w:w="304" w:type="dxa"/>
            <w:vAlign w:val="center"/>
          </w:tcPr>
          <w:p>
            <w:pPr>
              <w:spacing w:line="240" w:lineRule="auto"/>
              <w:jc w:val="center"/>
            </w:pPr>
            <w:r>
              <w:rPr>
                <w:rFonts w:eastAsia="仿宋_GB2312"/>
                <w:color w:val="000000" w:themeColor="text1"/>
                <w:sz w:val="18"/>
                <w:szCs w:val="18"/>
              </w:rPr>
              <w:t>7</w:t>
            </w:r>
          </w:p>
        </w:tc>
        <w:tc>
          <w:tcPr>
            <w:tcW w:w="304" w:type="dxa"/>
            <w:vAlign w:val="center"/>
          </w:tcPr>
          <w:p>
            <w:pPr>
              <w:spacing w:line="240" w:lineRule="auto"/>
              <w:jc w:val="center"/>
            </w:pPr>
            <w:r>
              <w:rPr>
                <w:rFonts w:eastAsia="仿宋_GB2312"/>
                <w:color w:val="000000" w:themeColor="text1"/>
                <w:sz w:val="18"/>
                <w:szCs w:val="18"/>
              </w:rPr>
              <w:t>8</w:t>
            </w:r>
          </w:p>
        </w:tc>
        <w:tc>
          <w:tcPr>
            <w:tcW w:w="323" w:type="dxa"/>
            <w:vAlign w:val="center"/>
          </w:tcPr>
          <w:p>
            <w:pPr>
              <w:spacing w:line="240" w:lineRule="auto"/>
              <w:jc w:val="center"/>
            </w:pPr>
            <w:r>
              <w:rPr>
                <w:rFonts w:eastAsia="仿宋_GB2312"/>
                <w:color w:val="000000" w:themeColor="text1"/>
                <w:sz w:val="18"/>
                <w:szCs w:val="18"/>
              </w:rPr>
              <w:t>9</w:t>
            </w:r>
          </w:p>
        </w:tc>
        <w:tc>
          <w:tcPr>
            <w:tcW w:w="393" w:type="dxa"/>
            <w:vAlign w:val="center"/>
          </w:tcPr>
          <w:p>
            <w:pPr>
              <w:spacing w:line="240" w:lineRule="auto"/>
              <w:jc w:val="center"/>
            </w:pPr>
            <w:r>
              <w:rPr>
                <w:rFonts w:eastAsia="仿宋_GB2312"/>
                <w:color w:val="000000" w:themeColor="text1"/>
                <w:sz w:val="18"/>
                <w:szCs w:val="18"/>
              </w:rPr>
              <w:t>10</w:t>
            </w:r>
          </w:p>
        </w:tc>
        <w:tc>
          <w:tcPr>
            <w:tcW w:w="393" w:type="dxa"/>
            <w:vAlign w:val="center"/>
          </w:tcPr>
          <w:p>
            <w:pPr>
              <w:spacing w:line="240" w:lineRule="auto"/>
              <w:jc w:val="center"/>
            </w:pPr>
            <w:r>
              <w:rPr>
                <w:rFonts w:eastAsia="仿宋_GB2312"/>
                <w:color w:val="000000" w:themeColor="text1"/>
                <w:sz w:val="18"/>
                <w:szCs w:val="18"/>
              </w:rPr>
              <w:t>11</w:t>
            </w:r>
          </w:p>
        </w:tc>
        <w:tc>
          <w:tcPr>
            <w:tcW w:w="424" w:type="dxa"/>
            <w:vAlign w:val="center"/>
          </w:tcPr>
          <w:p>
            <w:pPr>
              <w:spacing w:line="240" w:lineRule="auto"/>
              <w:jc w:val="center"/>
            </w:pPr>
            <w:r>
              <w:rPr>
                <w:rFonts w:eastAsia="仿宋_GB2312"/>
                <w:color w:val="000000" w:themeColor="text1"/>
                <w:sz w:val="18"/>
                <w:szCs w:val="18"/>
              </w:rPr>
              <w:t>12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39" w:type="pct"/>
            <w:vMerge w:val="restart"/>
            <w:vAlign w:val="center"/>
          </w:tcPr>
          <w:p>
            <w:pPr>
              <w:spacing w:line="240" w:lineRule="auto"/>
              <w:jc w:val="center"/>
              <w:rPr>
                <w:rFonts w:eastAsia="仿宋_GB2312"/>
                <w:color w:val="000000" w:themeColor="text1"/>
                <w:sz w:val="18"/>
                <w:szCs w:val="18"/>
                <w:lang w:val="zh-CN"/>
              </w:rPr>
            </w:pPr>
            <w:r>
              <w:rPr>
                <w:rFonts w:eastAsia="仿宋_GB2312"/>
                <w:color w:val="000000" w:themeColor="text1"/>
                <w:sz w:val="18"/>
                <w:szCs w:val="18"/>
                <w:lang w:val="zh-CN"/>
              </w:rPr>
              <w:t>工程建设区</w:t>
            </w:r>
          </w:p>
        </w:tc>
        <w:tc>
          <w:tcPr>
            <w:tcW w:w="652"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主体施工</w:t>
            </w:r>
          </w:p>
        </w:tc>
        <w:tc>
          <w:tcPr>
            <w:tcW w:w="106"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pict>
                <v:line id="直线 117" o:spid="_x0000_s2113" o:spt="20" style="position:absolute;left:0pt;margin-left:9.7pt;margin-top:10.7pt;height:0.05pt;width:399.35pt;z-index:251674624;mso-width-relative:page;mso-height-relative:page;" filled="f" stroked="t" coordsize="21600,21600">
                  <v:path arrowok="t"/>
                  <v:fill on="f" focussize="0,0"/>
                  <v:stroke weight="6pt" color="#000000"/>
                  <v:imagedata o:title=""/>
                  <o:lock v:ext="edit" aspectratio="f"/>
                </v:line>
              </w:pict>
            </w:r>
          </w:p>
        </w:tc>
        <w:tc>
          <w:tcPr>
            <w:tcW w:w="122" w:type="pct"/>
            <w:vAlign w:val="center"/>
          </w:tcPr>
          <w:p>
            <w:pPr>
              <w:spacing w:line="240" w:lineRule="auto"/>
              <w:jc w:val="center"/>
              <w:rPr>
                <w:rFonts w:eastAsia="仿宋_GB2312"/>
                <w:color w:val="000000" w:themeColor="text1"/>
                <w:sz w:val="18"/>
                <w:szCs w:val="18"/>
              </w:rPr>
            </w:pPr>
          </w:p>
        </w:tc>
        <w:tc>
          <w:tcPr>
            <w:tcW w:w="124" w:type="pct"/>
            <w:vAlign w:val="center"/>
          </w:tcPr>
          <w:p>
            <w:pPr>
              <w:spacing w:line="240" w:lineRule="auto"/>
              <w:jc w:val="center"/>
              <w:rPr>
                <w:rFonts w:eastAsia="仿宋_GB2312"/>
                <w:color w:val="000000" w:themeColor="text1"/>
                <w:sz w:val="18"/>
                <w:szCs w:val="18"/>
              </w:rPr>
            </w:pPr>
          </w:p>
        </w:tc>
        <w:tc>
          <w:tcPr>
            <w:tcW w:w="140" w:type="pct"/>
            <w:vAlign w:val="center"/>
          </w:tcPr>
          <w:p>
            <w:pPr>
              <w:spacing w:line="240" w:lineRule="auto"/>
              <w:jc w:val="center"/>
              <w:rPr>
                <w:rFonts w:eastAsia="仿宋_GB2312"/>
                <w:color w:val="000000" w:themeColor="text1"/>
                <w:sz w:val="18"/>
                <w:szCs w:val="18"/>
              </w:rPr>
            </w:pPr>
          </w:p>
        </w:tc>
        <w:tc>
          <w:tcPr>
            <w:tcW w:w="157"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pPr>
          </w:p>
        </w:tc>
        <w:tc>
          <w:tcPr>
            <w:tcW w:w="106"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22" w:type="pct"/>
            <w:vAlign w:val="center"/>
          </w:tcPr>
          <w:p>
            <w:pPr>
              <w:spacing w:line="240" w:lineRule="auto"/>
              <w:jc w:val="center"/>
            </w:pPr>
          </w:p>
        </w:tc>
        <w:tc>
          <w:tcPr>
            <w:tcW w:w="124" w:type="pct"/>
            <w:vAlign w:val="center"/>
          </w:tcPr>
          <w:p>
            <w:pPr>
              <w:spacing w:line="240" w:lineRule="auto"/>
              <w:jc w:val="center"/>
            </w:pPr>
          </w:p>
        </w:tc>
        <w:tc>
          <w:tcPr>
            <w:tcW w:w="140" w:type="pct"/>
            <w:vAlign w:val="center"/>
          </w:tcPr>
          <w:p>
            <w:pPr>
              <w:spacing w:line="240" w:lineRule="auto"/>
              <w:jc w:val="center"/>
            </w:pPr>
          </w:p>
        </w:tc>
        <w:tc>
          <w:tcPr>
            <w:tcW w:w="158" w:type="pct"/>
            <w:vAlign w:val="center"/>
          </w:tcPr>
          <w:p>
            <w:pPr>
              <w:spacing w:line="240" w:lineRule="auto"/>
              <w:jc w:val="center"/>
            </w:pPr>
          </w:p>
        </w:tc>
        <w:tc>
          <w:tcPr>
            <w:tcW w:w="302" w:type="dxa"/>
            <w:vAlign w:val="center"/>
          </w:tcPr>
          <w:p>
            <w:pPr>
              <w:spacing w:line="240" w:lineRule="auto"/>
              <w:jc w:val="center"/>
            </w:pPr>
          </w:p>
        </w:tc>
        <w:tc>
          <w:tcPr>
            <w:tcW w:w="302" w:type="dxa"/>
            <w:vAlign w:val="center"/>
          </w:tcPr>
          <w:p>
            <w:pPr>
              <w:spacing w:line="240" w:lineRule="auto"/>
              <w:jc w:val="center"/>
            </w:pPr>
          </w:p>
        </w:tc>
        <w:tc>
          <w:tcPr>
            <w:tcW w:w="303" w:type="dxa"/>
            <w:vAlign w:val="center"/>
          </w:tcPr>
          <w:p>
            <w:pPr>
              <w:spacing w:line="240" w:lineRule="auto"/>
              <w:jc w:val="center"/>
            </w:pPr>
          </w:p>
        </w:tc>
        <w:tc>
          <w:tcPr>
            <w:tcW w:w="303" w:type="dxa"/>
            <w:vAlign w:val="center"/>
          </w:tcPr>
          <w:p>
            <w:pPr>
              <w:spacing w:line="240" w:lineRule="auto"/>
              <w:jc w:val="center"/>
            </w:pPr>
          </w:p>
        </w:tc>
        <w:tc>
          <w:tcPr>
            <w:tcW w:w="303" w:type="dxa"/>
            <w:vAlign w:val="center"/>
          </w:tcPr>
          <w:p>
            <w:pPr>
              <w:spacing w:line="240" w:lineRule="auto"/>
              <w:jc w:val="center"/>
            </w:pPr>
          </w:p>
        </w:tc>
        <w:tc>
          <w:tcPr>
            <w:tcW w:w="303" w:type="dxa"/>
            <w:vAlign w:val="center"/>
          </w:tcPr>
          <w:p>
            <w:pPr>
              <w:spacing w:line="240" w:lineRule="auto"/>
              <w:jc w:val="center"/>
            </w:pPr>
          </w:p>
        </w:tc>
        <w:tc>
          <w:tcPr>
            <w:tcW w:w="304" w:type="dxa"/>
            <w:vAlign w:val="center"/>
          </w:tcPr>
          <w:p>
            <w:pPr>
              <w:spacing w:line="240" w:lineRule="auto"/>
              <w:jc w:val="center"/>
            </w:pPr>
          </w:p>
        </w:tc>
        <w:tc>
          <w:tcPr>
            <w:tcW w:w="304" w:type="dxa"/>
            <w:vAlign w:val="center"/>
          </w:tcPr>
          <w:p>
            <w:pPr>
              <w:spacing w:line="240" w:lineRule="auto"/>
              <w:jc w:val="center"/>
            </w:pPr>
          </w:p>
        </w:tc>
        <w:tc>
          <w:tcPr>
            <w:tcW w:w="323" w:type="dxa"/>
            <w:vAlign w:val="center"/>
          </w:tcPr>
          <w:p>
            <w:pPr>
              <w:spacing w:line="240" w:lineRule="auto"/>
              <w:jc w:val="center"/>
            </w:pPr>
          </w:p>
        </w:tc>
        <w:tc>
          <w:tcPr>
            <w:tcW w:w="393" w:type="dxa"/>
            <w:vAlign w:val="center"/>
          </w:tcPr>
          <w:p>
            <w:pPr>
              <w:spacing w:line="240" w:lineRule="auto"/>
              <w:jc w:val="center"/>
            </w:pPr>
          </w:p>
        </w:tc>
        <w:tc>
          <w:tcPr>
            <w:tcW w:w="393" w:type="dxa"/>
            <w:vAlign w:val="center"/>
          </w:tcPr>
          <w:p>
            <w:pPr>
              <w:spacing w:line="240" w:lineRule="auto"/>
              <w:jc w:val="center"/>
            </w:pPr>
          </w:p>
        </w:tc>
        <w:tc>
          <w:tcPr>
            <w:tcW w:w="424" w:type="dxa"/>
            <w:vAlign w:val="center"/>
          </w:tcPr>
          <w:p>
            <w:pPr>
              <w:spacing w:line="240" w:lineRule="auto"/>
              <w:jc w:val="cente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39" w:type="pct"/>
            <w:vMerge w:val="continue"/>
            <w:vAlign w:val="center"/>
          </w:tcPr>
          <w:p>
            <w:pPr>
              <w:spacing w:line="240" w:lineRule="auto"/>
              <w:jc w:val="center"/>
              <w:rPr>
                <w:rFonts w:eastAsia="仿宋_GB2312"/>
                <w:b/>
                <w:color w:val="000000" w:themeColor="text1"/>
                <w:sz w:val="18"/>
                <w:szCs w:val="18"/>
                <w:lang w:val="zh-CN"/>
              </w:rPr>
            </w:pPr>
          </w:p>
        </w:tc>
        <w:tc>
          <w:tcPr>
            <w:tcW w:w="652" w:type="pct"/>
            <w:vAlign w:val="center"/>
          </w:tcPr>
          <w:p>
            <w:pPr>
              <w:widowControl/>
              <w:snapToGrid w:val="0"/>
              <w:spacing w:line="240" w:lineRule="auto"/>
              <w:jc w:val="center"/>
              <w:rPr>
                <w:rFonts w:eastAsia="仿宋_GB2312"/>
                <w:color w:val="000000" w:themeColor="text1"/>
                <w:sz w:val="18"/>
                <w:szCs w:val="18"/>
              </w:rPr>
            </w:pPr>
            <w:r>
              <w:rPr>
                <w:rFonts w:eastAsia="仿宋_GB2312"/>
                <w:color w:val="000000" w:themeColor="text1"/>
                <w:kern w:val="2"/>
                <w:sz w:val="18"/>
                <w:szCs w:val="18"/>
              </w:rPr>
              <w:t>绿化用土回覆</w:t>
            </w:r>
          </w:p>
        </w:tc>
        <w:tc>
          <w:tcPr>
            <w:tcW w:w="106"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22" w:type="pct"/>
            <w:vAlign w:val="center"/>
          </w:tcPr>
          <w:p>
            <w:pPr>
              <w:spacing w:line="240" w:lineRule="auto"/>
              <w:jc w:val="center"/>
              <w:rPr>
                <w:rFonts w:eastAsia="仿宋_GB2312"/>
                <w:color w:val="000000" w:themeColor="text1"/>
                <w:sz w:val="18"/>
                <w:szCs w:val="18"/>
              </w:rPr>
            </w:pPr>
          </w:p>
        </w:tc>
        <w:tc>
          <w:tcPr>
            <w:tcW w:w="124" w:type="pct"/>
            <w:vAlign w:val="center"/>
          </w:tcPr>
          <w:p>
            <w:pPr>
              <w:spacing w:line="240" w:lineRule="auto"/>
              <w:jc w:val="center"/>
              <w:rPr>
                <w:rFonts w:eastAsia="仿宋_GB2312"/>
                <w:color w:val="000000" w:themeColor="text1"/>
                <w:sz w:val="18"/>
                <w:szCs w:val="18"/>
              </w:rPr>
            </w:pPr>
          </w:p>
        </w:tc>
        <w:tc>
          <w:tcPr>
            <w:tcW w:w="140" w:type="pct"/>
            <w:vAlign w:val="center"/>
          </w:tcPr>
          <w:p>
            <w:pPr>
              <w:spacing w:line="240" w:lineRule="auto"/>
              <w:jc w:val="center"/>
              <w:rPr>
                <w:rFonts w:eastAsia="仿宋_GB2312"/>
                <w:color w:val="000000" w:themeColor="text1"/>
                <w:sz w:val="18"/>
                <w:szCs w:val="18"/>
              </w:rPr>
            </w:pPr>
          </w:p>
        </w:tc>
        <w:tc>
          <w:tcPr>
            <w:tcW w:w="157"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pPr>
          </w:p>
        </w:tc>
        <w:tc>
          <w:tcPr>
            <w:tcW w:w="106"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22" w:type="pct"/>
            <w:vAlign w:val="center"/>
          </w:tcPr>
          <w:p>
            <w:pPr>
              <w:spacing w:line="240" w:lineRule="auto"/>
              <w:jc w:val="center"/>
            </w:pPr>
          </w:p>
        </w:tc>
        <w:tc>
          <w:tcPr>
            <w:tcW w:w="124" w:type="pct"/>
            <w:vAlign w:val="center"/>
          </w:tcPr>
          <w:p>
            <w:pPr>
              <w:spacing w:line="240" w:lineRule="auto"/>
              <w:jc w:val="center"/>
            </w:pPr>
          </w:p>
        </w:tc>
        <w:tc>
          <w:tcPr>
            <w:tcW w:w="140" w:type="pct"/>
            <w:vAlign w:val="center"/>
          </w:tcPr>
          <w:p>
            <w:pPr>
              <w:spacing w:line="240" w:lineRule="auto"/>
              <w:jc w:val="center"/>
            </w:pPr>
          </w:p>
        </w:tc>
        <w:tc>
          <w:tcPr>
            <w:tcW w:w="158" w:type="pct"/>
            <w:vAlign w:val="center"/>
          </w:tcPr>
          <w:p>
            <w:pPr>
              <w:spacing w:line="240" w:lineRule="auto"/>
              <w:jc w:val="center"/>
            </w:pPr>
          </w:p>
        </w:tc>
        <w:tc>
          <w:tcPr>
            <w:tcW w:w="302" w:type="dxa"/>
            <w:vAlign w:val="center"/>
          </w:tcPr>
          <w:p>
            <w:pPr>
              <w:spacing w:line="240" w:lineRule="auto"/>
              <w:jc w:val="center"/>
            </w:pPr>
          </w:p>
        </w:tc>
        <w:tc>
          <w:tcPr>
            <w:tcW w:w="302" w:type="dxa"/>
            <w:vAlign w:val="center"/>
          </w:tcPr>
          <w:p>
            <w:pPr>
              <w:spacing w:line="240" w:lineRule="auto"/>
              <w:jc w:val="center"/>
            </w:pPr>
          </w:p>
        </w:tc>
        <w:tc>
          <w:tcPr>
            <w:tcW w:w="303" w:type="dxa"/>
            <w:vAlign w:val="center"/>
          </w:tcPr>
          <w:p>
            <w:pPr>
              <w:spacing w:line="240" w:lineRule="auto"/>
              <w:jc w:val="center"/>
            </w:pPr>
          </w:p>
        </w:tc>
        <w:tc>
          <w:tcPr>
            <w:tcW w:w="303" w:type="dxa"/>
            <w:vAlign w:val="center"/>
          </w:tcPr>
          <w:p>
            <w:pPr>
              <w:spacing w:line="240" w:lineRule="auto"/>
              <w:jc w:val="center"/>
            </w:pPr>
          </w:p>
        </w:tc>
        <w:tc>
          <w:tcPr>
            <w:tcW w:w="303" w:type="dxa"/>
            <w:vAlign w:val="center"/>
          </w:tcPr>
          <w:p>
            <w:pPr>
              <w:spacing w:line="240" w:lineRule="auto"/>
              <w:jc w:val="center"/>
            </w:pPr>
          </w:p>
        </w:tc>
        <w:tc>
          <w:tcPr>
            <w:tcW w:w="303" w:type="dxa"/>
            <w:vAlign w:val="center"/>
          </w:tcPr>
          <w:p>
            <w:pPr>
              <w:spacing w:line="240" w:lineRule="auto"/>
              <w:jc w:val="center"/>
            </w:pPr>
          </w:p>
        </w:tc>
        <w:tc>
          <w:tcPr>
            <w:tcW w:w="304" w:type="dxa"/>
            <w:vAlign w:val="center"/>
          </w:tcPr>
          <w:p>
            <w:pPr>
              <w:spacing w:line="240" w:lineRule="auto"/>
              <w:jc w:val="center"/>
            </w:pPr>
            <w:r>
              <w:rPr>
                <w:rFonts w:eastAsia="仿宋_GB2312"/>
                <w:color w:val="000000" w:themeColor="text1"/>
                <w:sz w:val="18"/>
                <w:szCs w:val="18"/>
              </w:rPr>
              <w:pict>
                <v:line id="直线 119" o:spid="_x0000_s2111" o:spt="20" style="position:absolute;left:0pt;margin-left:-4.65pt;margin-top:11.25pt;height:0.7pt;width:14pt;z-index:251675648;mso-width-relative:page;mso-height-relative:page;" filled="f" stroked="t" coordsize="21600,21600">
                  <v:path arrowok="t"/>
                  <v:fill on="f" focussize="0,0"/>
                  <v:stroke weight="6pt" color="#FF0000"/>
                  <v:imagedata o:title=""/>
                  <o:lock v:ext="edit" aspectratio="f"/>
                </v:line>
              </w:pict>
            </w:r>
          </w:p>
        </w:tc>
        <w:tc>
          <w:tcPr>
            <w:tcW w:w="304" w:type="dxa"/>
            <w:vAlign w:val="center"/>
          </w:tcPr>
          <w:p>
            <w:pPr>
              <w:spacing w:line="240" w:lineRule="auto"/>
              <w:jc w:val="center"/>
            </w:pPr>
          </w:p>
        </w:tc>
        <w:tc>
          <w:tcPr>
            <w:tcW w:w="323" w:type="dxa"/>
            <w:vAlign w:val="center"/>
          </w:tcPr>
          <w:p>
            <w:pPr>
              <w:spacing w:line="240" w:lineRule="auto"/>
              <w:jc w:val="center"/>
            </w:pPr>
          </w:p>
        </w:tc>
        <w:tc>
          <w:tcPr>
            <w:tcW w:w="393" w:type="dxa"/>
            <w:vAlign w:val="center"/>
          </w:tcPr>
          <w:p>
            <w:pPr>
              <w:spacing w:line="240" w:lineRule="auto"/>
              <w:jc w:val="center"/>
            </w:pPr>
          </w:p>
        </w:tc>
        <w:tc>
          <w:tcPr>
            <w:tcW w:w="393" w:type="dxa"/>
            <w:vAlign w:val="center"/>
          </w:tcPr>
          <w:p>
            <w:pPr>
              <w:spacing w:line="240" w:lineRule="auto"/>
              <w:jc w:val="center"/>
            </w:pPr>
          </w:p>
        </w:tc>
        <w:tc>
          <w:tcPr>
            <w:tcW w:w="424" w:type="dxa"/>
            <w:vAlign w:val="center"/>
          </w:tcPr>
          <w:p>
            <w:pPr>
              <w:spacing w:line="240" w:lineRule="auto"/>
              <w:jc w:val="cente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39" w:type="pct"/>
            <w:vMerge w:val="continue"/>
            <w:vAlign w:val="center"/>
          </w:tcPr>
          <w:p>
            <w:pPr>
              <w:spacing w:line="240" w:lineRule="auto"/>
              <w:jc w:val="center"/>
              <w:rPr>
                <w:rFonts w:eastAsia="仿宋_GB2312"/>
                <w:b/>
                <w:color w:val="000000" w:themeColor="text1"/>
                <w:sz w:val="18"/>
                <w:szCs w:val="18"/>
                <w:lang w:val="zh-CN"/>
              </w:rPr>
            </w:pPr>
          </w:p>
        </w:tc>
        <w:tc>
          <w:tcPr>
            <w:tcW w:w="652" w:type="pct"/>
            <w:vAlign w:val="center"/>
          </w:tcPr>
          <w:p>
            <w:pPr>
              <w:spacing w:line="240" w:lineRule="auto"/>
              <w:jc w:val="center"/>
              <w:rPr>
                <w:rFonts w:eastAsia="仿宋_GB2312"/>
                <w:color w:val="000000" w:themeColor="text1"/>
                <w:sz w:val="18"/>
                <w:szCs w:val="18"/>
              </w:rPr>
            </w:pPr>
            <w:r>
              <w:rPr>
                <w:rFonts w:hint="eastAsia" w:eastAsia="仿宋_GB2312"/>
                <w:color w:val="000000" w:themeColor="text1"/>
                <w:sz w:val="18"/>
                <w:szCs w:val="18"/>
              </w:rPr>
              <w:t>雨水管线</w:t>
            </w:r>
          </w:p>
        </w:tc>
        <w:tc>
          <w:tcPr>
            <w:tcW w:w="106"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22" w:type="pct"/>
            <w:vAlign w:val="center"/>
          </w:tcPr>
          <w:p>
            <w:pPr>
              <w:spacing w:line="240" w:lineRule="auto"/>
              <w:jc w:val="center"/>
              <w:rPr>
                <w:rFonts w:eastAsia="仿宋_GB2312"/>
                <w:color w:val="000000" w:themeColor="text1"/>
                <w:sz w:val="18"/>
                <w:szCs w:val="18"/>
              </w:rPr>
            </w:pPr>
          </w:p>
        </w:tc>
        <w:tc>
          <w:tcPr>
            <w:tcW w:w="124" w:type="pct"/>
            <w:vAlign w:val="center"/>
          </w:tcPr>
          <w:p>
            <w:pPr>
              <w:spacing w:line="240" w:lineRule="auto"/>
              <w:jc w:val="center"/>
              <w:rPr>
                <w:rFonts w:eastAsia="仿宋_GB2312"/>
                <w:color w:val="000000" w:themeColor="text1"/>
                <w:sz w:val="18"/>
                <w:szCs w:val="18"/>
              </w:rPr>
            </w:pPr>
          </w:p>
        </w:tc>
        <w:tc>
          <w:tcPr>
            <w:tcW w:w="140" w:type="pct"/>
            <w:vAlign w:val="center"/>
          </w:tcPr>
          <w:p>
            <w:pPr>
              <w:spacing w:line="240" w:lineRule="auto"/>
              <w:jc w:val="center"/>
              <w:rPr>
                <w:rFonts w:eastAsia="仿宋_GB2312"/>
                <w:color w:val="000000" w:themeColor="text1"/>
                <w:sz w:val="18"/>
                <w:szCs w:val="18"/>
              </w:rPr>
            </w:pPr>
          </w:p>
        </w:tc>
        <w:tc>
          <w:tcPr>
            <w:tcW w:w="157"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pPr>
          </w:p>
        </w:tc>
        <w:tc>
          <w:tcPr>
            <w:tcW w:w="106"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r>
              <w:rPr>
                <w:rFonts w:eastAsia="仿宋_GB2312"/>
                <w:color w:val="000000" w:themeColor="text1"/>
                <w:sz w:val="18"/>
                <w:szCs w:val="18"/>
              </w:rPr>
              <w:pict>
                <v:line id="_x0000_s2128" o:spid="_x0000_s2128" o:spt="20" style="position:absolute;left:0pt;flip:y;margin-left:9.85pt;margin-top:10.85pt;height:0.15pt;width:16.5pt;z-index:251680768;mso-width-relative:page;mso-height-relative:page;" filled="f" stroked="t" coordsize="21600,21600">
                  <v:path arrowok="t"/>
                  <v:fill on="f" focussize="0,0"/>
                  <v:stroke weight="6pt" color="#FF0000"/>
                  <v:imagedata o:title=""/>
                  <o:lock v:ext="edit" aspectratio="f"/>
                </v:line>
              </w:pict>
            </w:r>
          </w:p>
        </w:tc>
        <w:tc>
          <w:tcPr>
            <w:tcW w:w="107"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22" w:type="pct"/>
            <w:vAlign w:val="center"/>
          </w:tcPr>
          <w:p>
            <w:pPr>
              <w:spacing w:line="240" w:lineRule="auto"/>
              <w:jc w:val="center"/>
            </w:pPr>
          </w:p>
        </w:tc>
        <w:tc>
          <w:tcPr>
            <w:tcW w:w="124" w:type="pct"/>
            <w:vAlign w:val="center"/>
          </w:tcPr>
          <w:p>
            <w:pPr>
              <w:spacing w:line="240" w:lineRule="auto"/>
              <w:jc w:val="center"/>
            </w:pPr>
          </w:p>
        </w:tc>
        <w:tc>
          <w:tcPr>
            <w:tcW w:w="140" w:type="pct"/>
            <w:vAlign w:val="center"/>
          </w:tcPr>
          <w:p>
            <w:pPr>
              <w:spacing w:line="240" w:lineRule="auto"/>
              <w:jc w:val="center"/>
            </w:pPr>
          </w:p>
        </w:tc>
        <w:tc>
          <w:tcPr>
            <w:tcW w:w="158" w:type="pct"/>
            <w:vAlign w:val="center"/>
          </w:tcPr>
          <w:p>
            <w:pPr>
              <w:spacing w:line="240" w:lineRule="auto"/>
              <w:jc w:val="center"/>
            </w:pPr>
          </w:p>
        </w:tc>
        <w:tc>
          <w:tcPr>
            <w:tcW w:w="302" w:type="dxa"/>
            <w:vAlign w:val="center"/>
          </w:tcPr>
          <w:p>
            <w:pPr>
              <w:spacing w:line="240" w:lineRule="auto"/>
              <w:jc w:val="center"/>
            </w:pPr>
          </w:p>
        </w:tc>
        <w:tc>
          <w:tcPr>
            <w:tcW w:w="302" w:type="dxa"/>
            <w:vAlign w:val="center"/>
          </w:tcPr>
          <w:p>
            <w:pPr>
              <w:spacing w:line="240" w:lineRule="auto"/>
              <w:jc w:val="center"/>
            </w:pPr>
          </w:p>
        </w:tc>
        <w:tc>
          <w:tcPr>
            <w:tcW w:w="303" w:type="dxa"/>
            <w:vAlign w:val="center"/>
          </w:tcPr>
          <w:p>
            <w:pPr>
              <w:spacing w:line="240" w:lineRule="auto"/>
              <w:jc w:val="center"/>
            </w:pPr>
          </w:p>
        </w:tc>
        <w:tc>
          <w:tcPr>
            <w:tcW w:w="303" w:type="dxa"/>
            <w:vAlign w:val="center"/>
          </w:tcPr>
          <w:p>
            <w:pPr>
              <w:spacing w:line="240" w:lineRule="auto"/>
              <w:jc w:val="center"/>
            </w:pPr>
          </w:p>
        </w:tc>
        <w:tc>
          <w:tcPr>
            <w:tcW w:w="303" w:type="dxa"/>
            <w:vAlign w:val="center"/>
          </w:tcPr>
          <w:p>
            <w:pPr>
              <w:spacing w:line="240" w:lineRule="auto"/>
              <w:jc w:val="center"/>
            </w:pPr>
          </w:p>
        </w:tc>
        <w:tc>
          <w:tcPr>
            <w:tcW w:w="303" w:type="dxa"/>
            <w:vAlign w:val="center"/>
          </w:tcPr>
          <w:p>
            <w:pPr>
              <w:spacing w:line="240" w:lineRule="auto"/>
              <w:jc w:val="center"/>
            </w:pPr>
          </w:p>
        </w:tc>
        <w:tc>
          <w:tcPr>
            <w:tcW w:w="304" w:type="dxa"/>
            <w:vAlign w:val="center"/>
          </w:tcPr>
          <w:p>
            <w:pPr>
              <w:spacing w:line="240" w:lineRule="auto"/>
              <w:jc w:val="center"/>
            </w:pPr>
          </w:p>
        </w:tc>
        <w:tc>
          <w:tcPr>
            <w:tcW w:w="304" w:type="dxa"/>
            <w:vAlign w:val="center"/>
          </w:tcPr>
          <w:p>
            <w:pPr>
              <w:spacing w:line="240" w:lineRule="auto"/>
              <w:jc w:val="center"/>
            </w:pPr>
          </w:p>
        </w:tc>
        <w:tc>
          <w:tcPr>
            <w:tcW w:w="323" w:type="dxa"/>
            <w:vAlign w:val="center"/>
          </w:tcPr>
          <w:p>
            <w:pPr>
              <w:spacing w:line="240" w:lineRule="auto"/>
              <w:jc w:val="center"/>
            </w:pPr>
          </w:p>
        </w:tc>
        <w:tc>
          <w:tcPr>
            <w:tcW w:w="393" w:type="dxa"/>
            <w:vAlign w:val="center"/>
          </w:tcPr>
          <w:p>
            <w:pPr>
              <w:spacing w:line="240" w:lineRule="auto"/>
              <w:jc w:val="center"/>
            </w:pPr>
          </w:p>
        </w:tc>
        <w:tc>
          <w:tcPr>
            <w:tcW w:w="393" w:type="dxa"/>
            <w:vAlign w:val="center"/>
          </w:tcPr>
          <w:p>
            <w:pPr>
              <w:spacing w:line="240" w:lineRule="auto"/>
              <w:jc w:val="center"/>
            </w:pPr>
          </w:p>
        </w:tc>
        <w:tc>
          <w:tcPr>
            <w:tcW w:w="424" w:type="dxa"/>
            <w:vAlign w:val="center"/>
          </w:tcPr>
          <w:p>
            <w:pPr>
              <w:spacing w:line="240" w:lineRule="auto"/>
              <w:jc w:val="cente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39" w:type="pct"/>
            <w:vMerge w:val="continue"/>
            <w:vAlign w:val="center"/>
          </w:tcPr>
          <w:p>
            <w:pPr>
              <w:spacing w:line="240" w:lineRule="auto"/>
              <w:jc w:val="center"/>
              <w:rPr>
                <w:rFonts w:eastAsia="仿宋_GB2312"/>
                <w:b/>
                <w:color w:val="000000" w:themeColor="text1"/>
                <w:sz w:val="18"/>
                <w:szCs w:val="18"/>
                <w:lang w:val="zh-CN"/>
              </w:rPr>
            </w:pPr>
          </w:p>
        </w:tc>
        <w:tc>
          <w:tcPr>
            <w:tcW w:w="652" w:type="pct"/>
            <w:vAlign w:val="center"/>
          </w:tcPr>
          <w:p>
            <w:pPr>
              <w:spacing w:line="240" w:lineRule="auto"/>
              <w:jc w:val="center"/>
              <w:rPr>
                <w:rFonts w:eastAsia="仿宋_GB2312"/>
                <w:color w:val="000000" w:themeColor="text1"/>
                <w:sz w:val="18"/>
                <w:szCs w:val="18"/>
              </w:rPr>
            </w:pPr>
            <w:r>
              <w:rPr>
                <w:rFonts w:hint="eastAsia" w:eastAsia="仿宋_GB2312"/>
                <w:color w:val="000000" w:themeColor="text1"/>
                <w:sz w:val="18"/>
                <w:szCs w:val="18"/>
              </w:rPr>
              <w:t>雨水口</w:t>
            </w:r>
          </w:p>
        </w:tc>
        <w:tc>
          <w:tcPr>
            <w:tcW w:w="106"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22" w:type="pct"/>
            <w:vAlign w:val="center"/>
          </w:tcPr>
          <w:p>
            <w:pPr>
              <w:spacing w:line="240" w:lineRule="auto"/>
              <w:jc w:val="center"/>
              <w:rPr>
                <w:rFonts w:eastAsia="仿宋_GB2312"/>
                <w:color w:val="000000" w:themeColor="text1"/>
                <w:sz w:val="18"/>
                <w:szCs w:val="18"/>
              </w:rPr>
            </w:pPr>
          </w:p>
        </w:tc>
        <w:tc>
          <w:tcPr>
            <w:tcW w:w="124" w:type="pct"/>
            <w:vAlign w:val="center"/>
          </w:tcPr>
          <w:p>
            <w:pPr>
              <w:spacing w:line="240" w:lineRule="auto"/>
              <w:jc w:val="center"/>
              <w:rPr>
                <w:rFonts w:eastAsia="仿宋_GB2312"/>
                <w:color w:val="000000" w:themeColor="text1"/>
                <w:sz w:val="18"/>
                <w:szCs w:val="18"/>
              </w:rPr>
            </w:pPr>
          </w:p>
        </w:tc>
        <w:tc>
          <w:tcPr>
            <w:tcW w:w="140" w:type="pct"/>
            <w:vAlign w:val="center"/>
          </w:tcPr>
          <w:p>
            <w:pPr>
              <w:spacing w:line="240" w:lineRule="auto"/>
              <w:jc w:val="center"/>
              <w:rPr>
                <w:rFonts w:eastAsia="仿宋_GB2312"/>
                <w:color w:val="000000" w:themeColor="text1"/>
                <w:sz w:val="18"/>
                <w:szCs w:val="18"/>
              </w:rPr>
            </w:pPr>
          </w:p>
        </w:tc>
        <w:tc>
          <w:tcPr>
            <w:tcW w:w="157"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pPr>
          </w:p>
        </w:tc>
        <w:tc>
          <w:tcPr>
            <w:tcW w:w="106"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22" w:type="pct"/>
            <w:vAlign w:val="center"/>
          </w:tcPr>
          <w:p>
            <w:pPr>
              <w:spacing w:line="240" w:lineRule="auto"/>
              <w:jc w:val="center"/>
            </w:pPr>
          </w:p>
        </w:tc>
        <w:tc>
          <w:tcPr>
            <w:tcW w:w="124" w:type="pct"/>
            <w:vAlign w:val="center"/>
          </w:tcPr>
          <w:p>
            <w:pPr>
              <w:spacing w:line="240" w:lineRule="auto"/>
              <w:jc w:val="center"/>
            </w:pPr>
            <w:r>
              <w:rPr>
                <w:rFonts w:eastAsia="仿宋_GB2312"/>
                <w:color w:val="000000" w:themeColor="text1"/>
                <w:sz w:val="18"/>
                <w:szCs w:val="18"/>
              </w:rPr>
              <w:pict>
                <v:line id="_x0000_s2129" o:spid="_x0000_s2129" o:spt="20" style="position:absolute;left:0pt;margin-left:-4.15pt;margin-top:8.85pt;height:0.7pt;width:17.25pt;z-index:251681792;mso-width-relative:page;mso-height-relative:page;" filled="f" stroked="t" coordsize="21600,21600">
                  <v:path arrowok="t"/>
                  <v:fill on="f" focussize="0,0"/>
                  <v:stroke weight="6pt" color="#FF0000"/>
                  <v:imagedata o:title=""/>
                  <o:lock v:ext="edit" aspectratio="f"/>
                </v:line>
              </w:pict>
            </w:r>
          </w:p>
        </w:tc>
        <w:tc>
          <w:tcPr>
            <w:tcW w:w="140" w:type="pct"/>
            <w:vAlign w:val="center"/>
          </w:tcPr>
          <w:p>
            <w:pPr>
              <w:spacing w:line="240" w:lineRule="auto"/>
              <w:jc w:val="center"/>
            </w:pPr>
          </w:p>
        </w:tc>
        <w:tc>
          <w:tcPr>
            <w:tcW w:w="158" w:type="pct"/>
            <w:vAlign w:val="center"/>
          </w:tcPr>
          <w:p>
            <w:pPr>
              <w:spacing w:line="240" w:lineRule="auto"/>
              <w:jc w:val="center"/>
            </w:pPr>
          </w:p>
        </w:tc>
        <w:tc>
          <w:tcPr>
            <w:tcW w:w="302" w:type="dxa"/>
            <w:vAlign w:val="center"/>
          </w:tcPr>
          <w:p>
            <w:pPr>
              <w:spacing w:line="240" w:lineRule="auto"/>
              <w:jc w:val="center"/>
            </w:pPr>
          </w:p>
        </w:tc>
        <w:tc>
          <w:tcPr>
            <w:tcW w:w="302" w:type="dxa"/>
            <w:vAlign w:val="center"/>
          </w:tcPr>
          <w:p>
            <w:pPr>
              <w:spacing w:line="240" w:lineRule="auto"/>
              <w:jc w:val="center"/>
            </w:pPr>
          </w:p>
        </w:tc>
        <w:tc>
          <w:tcPr>
            <w:tcW w:w="303" w:type="dxa"/>
            <w:vAlign w:val="center"/>
          </w:tcPr>
          <w:p>
            <w:pPr>
              <w:spacing w:line="240" w:lineRule="auto"/>
              <w:jc w:val="center"/>
            </w:pPr>
          </w:p>
        </w:tc>
        <w:tc>
          <w:tcPr>
            <w:tcW w:w="303" w:type="dxa"/>
            <w:vAlign w:val="center"/>
          </w:tcPr>
          <w:p>
            <w:pPr>
              <w:spacing w:line="240" w:lineRule="auto"/>
              <w:jc w:val="center"/>
            </w:pPr>
          </w:p>
        </w:tc>
        <w:tc>
          <w:tcPr>
            <w:tcW w:w="303" w:type="dxa"/>
            <w:vAlign w:val="center"/>
          </w:tcPr>
          <w:p>
            <w:pPr>
              <w:spacing w:line="240" w:lineRule="auto"/>
              <w:jc w:val="center"/>
            </w:pPr>
          </w:p>
        </w:tc>
        <w:tc>
          <w:tcPr>
            <w:tcW w:w="303" w:type="dxa"/>
            <w:vAlign w:val="center"/>
          </w:tcPr>
          <w:p>
            <w:pPr>
              <w:spacing w:line="240" w:lineRule="auto"/>
              <w:jc w:val="center"/>
            </w:pPr>
          </w:p>
        </w:tc>
        <w:tc>
          <w:tcPr>
            <w:tcW w:w="304" w:type="dxa"/>
            <w:vAlign w:val="center"/>
          </w:tcPr>
          <w:p>
            <w:pPr>
              <w:spacing w:line="240" w:lineRule="auto"/>
              <w:jc w:val="center"/>
            </w:pPr>
          </w:p>
        </w:tc>
        <w:tc>
          <w:tcPr>
            <w:tcW w:w="304" w:type="dxa"/>
            <w:vAlign w:val="center"/>
          </w:tcPr>
          <w:p>
            <w:pPr>
              <w:spacing w:line="240" w:lineRule="auto"/>
              <w:jc w:val="center"/>
            </w:pPr>
          </w:p>
        </w:tc>
        <w:tc>
          <w:tcPr>
            <w:tcW w:w="323" w:type="dxa"/>
            <w:vAlign w:val="center"/>
          </w:tcPr>
          <w:p>
            <w:pPr>
              <w:spacing w:line="240" w:lineRule="auto"/>
              <w:jc w:val="center"/>
            </w:pPr>
          </w:p>
        </w:tc>
        <w:tc>
          <w:tcPr>
            <w:tcW w:w="393" w:type="dxa"/>
            <w:vAlign w:val="center"/>
          </w:tcPr>
          <w:p>
            <w:pPr>
              <w:spacing w:line="240" w:lineRule="auto"/>
              <w:jc w:val="center"/>
            </w:pPr>
          </w:p>
        </w:tc>
        <w:tc>
          <w:tcPr>
            <w:tcW w:w="393" w:type="dxa"/>
            <w:vAlign w:val="center"/>
          </w:tcPr>
          <w:p>
            <w:pPr>
              <w:spacing w:line="240" w:lineRule="auto"/>
              <w:jc w:val="center"/>
            </w:pPr>
          </w:p>
        </w:tc>
        <w:tc>
          <w:tcPr>
            <w:tcW w:w="424" w:type="dxa"/>
            <w:vAlign w:val="center"/>
          </w:tcPr>
          <w:p>
            <w:pPr>
              <w:spacing w:line="240" w:lineRule="auto"/>
              <w:jc w:val="cente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39" w:type="pct"/>
            <w:vMerge w:val="continue"/>
            <w:vAlign w:val="center"/>
          </w:tcPr>
          <w:p>
            <w:pPr>
              <w:spacing w:line="240" w:lineRule="auto"/>
              <w:jc w:val="center"/>
              <w:rPr>
                <w:rFonts w:eastAsia="仿宋_GB2312"/>
                <w:b/>
                <w:color w:val="000000" w:themeColor="text1"/>
                <w:sz w:val="18"/>
                <w:szCs w:val="18"/>
                <w:lang w:val="zh-CN"/>
              </w:rPr>
            </w:pPr>
          </w:p>
        </w:tc>
        <w:tc>
          <w:tcPr>
            <w:tcW w:w="652"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全面整地</w:t>
            </w:r>
          </w:p>
        </w:tc>
        <w:tc>
          <w:tcPr>
            <w:tcW w:w="106"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22" w:type="pct"/>
            <w:vAlign w:val="center"/>
          </w:tcPr>
          <w:p>
            <w:pPr>
              <w:spacing w:line="240" w:lineRule="auto"/>
              <w:jc w:val="center"/>
              <w:rPr>
                <w:rFonts w:eastAsia="仿宋_GB2312"/>
                <w:color w:val="000000" w:themeColor="text1"/>
                <w:sz w:val="18"/>
                <w:szCs w:val="18"/>
              </w:rPr>
            </w:pPr>
          </w:p>
        </w:tc>
        <w:tc>
          <w:tcPr>
            <w:tcW w:w="124" w:type="pct"/>
            <w:vAlign w:val="center"/>
          </w:tcPr>
          <w:p>
            <w:pPr>
              <w:spacing w:line="240" w:lineRule="auto"/>
              <w:jc w:val="center"/>
              <w:rPr>
                <w:rFonts w:eastAsia="仿宋_GB2312"/>
                <w:color w:val="000000" w:themeColor="text1"/>
                <w:sz w:val="18"/>
                <w:szCs w:val="18"/>
              </w:rPr>
            </w:pPr>
          </w:p>
        </w:tc>
        <w:tc>
          <w:tcPr>
            <w:tcW w:w="140" w:type="pct"/>
            <w:vAlign w:val="center"/>
          </w:tcPr>
          <w:p>
            <w:pPr>
              <w:spacing w:line="240" w:lineRule="auto"/>
              <w:jc w:val="center"/>
              <w:rPr>
                <w:rFonts w:eastAsia="仿宋_GB2312"/>
                <w:color w:val="000000" w:themeColor="text1"/>
                <w:sz w:val="18"/>
                <w:szCs w:val="18"/>
              </w:rPr>
            </w:pPr>
          </w:p>
        </w:tc>
        <w:tc>
          <w:tcPr>
            <w:tcW w:w="157"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pPr>
          </w:p>
        </w:tc>
        <w:tc>
          <w:tcPr>
            <w:tcW w:w="106"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22" w:type="pct"/>
            <w:vAlign w:val="center"/>
          </w:tcPr>
          <w:p>
            <w:pPr>
              <w:spacing w:line="240" w:lineRule="auto"/>
              <w:jc w:val="center"/>
            </w:pPr>
          </w:p>
        </w:tc>
        <w:tc>
          <w:tcPr>
            <w:tcW w:w="124" w:type="pct"/>
            <w:vAlign w:val="center"/>
          </w:tcPr>
          <w:p>
            <w:pPr>
              <w:spacing w:line="240" w:lineRule="auto"/>
              <w:jc w:val="center"/>
            </w:pPr>
          </w:p>
        </w:tc>
        <w:tc>
          <w:tcPr>
            <w:tcW w:w="140" w:type="pct"/>
            <w:vAlign w:val="center"/>
          </w:tcPr>
          <w:p>
            <w:pPr>
              <w:spacing w:line="240" w:lineRule="auto"/>
              <w:jc w:val="center"/>
            </w:pPr>
          </w:p>
        </w:tc>
        <w:tc>
          <w:tcPr>
            <w:tcW w:w="158" w:type="pct"/>
            <w:vAlign w:val="center"/>
          </w:tcPr>
          <w:p>
            <w:pPr>
              <w:spacing w:line="240" w:lineRule="auto"/>
              <w:jc w:val="center"/>
            </w:pPr>
          </w:p>
        </w:tc>
        <w:tc>
          <w:tcPr>
            <w:tcW w:w="302" w:type="dxa"/>
            <w:vAlign w:val="center"/>
          </w:tcPr>
          <w:p>
            <w:pPr>
              <w:spacing w:line="240" w:lineRule="auto"/>
              <w:jc w:val="center"/>
            </w:pPr>
          </w:p>
        </w:tc>
        <w:tc>
          <w:tcPr>
            <w:tcW w:w="302" w:type="dxa"/>
            <w:vAlign w:val="center"/>
          </w:tcPr>
          <w:p>
            <w:pPr>
              <w:spacing w:line="240" w:lineRule="auto"/>
              <w:jc w:val="center"/>
            </w:pPr>
          </w:p>
        </w:tc>
        <w:tc>
          <w:tcPr>
            <w:tcW w:w="303" w:type="dxa"/>
            <w:vAlign w:val="center"/>
          </w:tcPr>
          <w:p>
            <w:pPr>
              <w:spacing w:line="240" w:lineRule="auto"/>
              <w:jc w:val="center"/>
            </w:pPr>
          </w:p>
        </w:tc>
        <w:tc>
          <w:tcPr>
            <w:tcW w:w="303" w:type="dxa"/>
            <w:vAlign w:val="center"/>
          </w:tcPr>
          <w:p>
            <w:pPr>
              <w:spacing w:line="240" w:lineRule="auto"/>
              <w:jc w:val="center"/>
            </w:pPr>
          </w:p>
        </w:tc>
        <w:tc>
          <w:tcPr>
            <w:tcW w:w="303" w:type="dxa"/>
            <w:vAlign w:val="center"/>
          </w:tcPr>
          <w:p>
            <w:pPr>
              <w:spacing w:line="240" w:lineRule="auto"/>
              <w:jc w:val="center"/>
            </w:pPr>
          </w:p>
        </w:tc>
        <w:tc>
          <w:tcPr>
            <w:tcW w:w="303" w:type="dxa"/>
            <w:vAlign w:val="center"/>
          </w:tcPr>
          <w:p>
            <w:pPr>
              <w:spacing w:line="240" w:lineRule="auto"/>
              <w:jc w:val="center"/>
            </w:pPr>
          </w:p>
        </w:tc>
        <w:tc>
          <w:tcPr>
            <w:tcW w:w="304" w:type="dxa"/>
            <w:vAlign w:val="center"/>
          </w:tcPr>
          <w:p>
            <w:pPr>
              <w:spacing w:line="240" w:lineRule="auto"/>
              <w:jc w:val="center"/>
            </w:pPr>
            <w:r>
              <w:rPr>
                <w:rFonts w:eastAsia="仿宋_GB2312"/>
                <w:color w:val="000000" w:themeColor="text1"/>
                <w:sz w:val="18"/>
                <w:szCs w:val="18"/>
              </w:rPr>
              <w:pict>
                <v:line id="直线 120" o:spid="_x0000_s2110" o:spt="20" style="position:absolute;left:0pt;flip:y;margin-left:-4.6pt;margin-top:11.45pt;height:0.1pt;width:15.8pt;z-index:251676672;mso-width-relative:page;mso-height-relative:page;" filled="f" stroked="t" coordsize="21600,21600">
                  <v:path arrowok="t"/>
                  <v:fill on="f" focussize="0,0"/>
                  <v:stroke weight="6pt" color="#FF0000"/>
                  <v:imagedata o:title=""/>
                  <o:lock v:ext="edit" aspectratio="f"/>
                </v:line>
              </w:pict>
            </w:r>
          </w:p>
        </w:tc>
        <w:tc>
          <w:tcPr>
            <w:tcW w:w="304" w:type="dxa"/>
            <w:vAlign w:val="center"/>
          </w:tcPr>
          <w:p>
            <w:pPr>
              <w:spacing w:line="240" w:lineRule="auto"/>
              <w:jc w:val="center"/>
            </w:pPr>
          </w:p>
        </w:tc>
        <w:tc>
          <w:tcPr>
            <w:tcW w:w="323" w:type="dxa"/>
            <w:vAlign w:val="center"/>
          </w:tcPr>
          <w:p>
            <w:pPr>
              <w:spacing w:line="240" w:lineRule="auto"/>
              <w:jc w:val="center"/>
            </w:pPr>
          </w:p>
        </w:tc>
        <w:tc>
          <w:tcPr>
            <w:tcW w:w="393" w:type="dxa"/>
            <w:vAlign w:val="center"/>
          </w:tcPr>
          <w:p>
            <w:pPr>
              <w:spacing w:line="240" w:lineRule="auto"/>
              <w:jc w:val="center"/>
            </w:pPr>
          </w:p>
        </w:tc>
        <w:tc>
          <w:tcPr>
            <w:tcW w:w="393" w:type="dxa"/>
            <w:vAlign w:val="center"/>
          </w:tcPr>
          <w:p>
            <w:pPr>
              <w:spacing w:line="240" w:lineRule="auto"/>
              <w:jc w:val="center"/>
            </w:pPr>
          </w:p>
        </w:tc>
        <w:tc>
          <w:tcPr>
            <w:tcW w:w="424" w:type="dxa"/>
            <w:vAlign w:val="center"/>
          </w:tcPr>
          <w:p>
            <w:pPr>
              <w:spacing w:line="240" w:lineRule="auto"/>
              <w:jc w:val="cente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39" w:type="pct"/>
            <w:vMerge w:val="continue"/>
            <w:vAlign w:val="center"/>
          </w:tcPr>
          <w:p>
            <w:pPr>
              <w:spacing w:line="240" w:lineRule="auto"/>
              <w:jc w:val="center"/>
              <w:rPr>
                <w:rFonts w:eastAsia="仿宋_GB2312"/>
                <w:b/>
                <w:color w:val="000000" w:themeColor="text1"/>
                <w:sz w:val="18"/>
                <w:szCs w:val="18"/>
                <w:lang w:val="zh-CN"/>
              </w:rPr>
            </w:pPr>
          </w:p>
        </w:tc>
        <w:tc>
          <w:tcPr>
            <w:tcW w:w="652" w:type="pct"/>
            <w:vAlign w:val="center"/>
          </w:tcPr>
          <w:p>
            <w:pPr>
              <w:widowControl/>
              <w:snapToGrid w:val="0"/>
              <w:spacing w:line="240" w:lineRule="auto"/>
              <w:jc w:val="center"/>
              <w:rPr>
                <w:rFonts w:eastAsia="仿宋_GB2312"/>
                <w:color w:val="000000" w:themeColor="text1"/>
                <w:kern w:val="2"/>
                <w:sz w:val="18"/>
                <w:szCs w:val="18"/>
              </w:rPr>
            </w:pPr>
            <w:r>
              <w:rPr>
                <w:rFonts w:eastAsia="仿宋_GB2312"/>
                <w:color w:val="000000" w:themeColor="text1"/>
                <w:kern w:val="2"/>
                <w:sz w:val="18"/>
                <w:szCs w:val="18"/>
              </w:rPr>
              <w:t>景观绿化</w:t>
            </w:r>
          </w:p>
        </w:tc>
        <w:tc>
          <w:tcPr>
            <w:tcW w:w="106"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22" w:type="pct"/>
            <w:vAlign w:val="center"/>
          </w:tcPr>
          <w:p>
            <w:pPr>
              <w:spacing w:line="240" w:lineRule="auto"/>
              <w:jc w:val="center"/>
              <w:rPr>
                <w:rFonts w:eastAsia="仿宋_GB2312"/>
                <w:color w:val="000000" w:themeColor="text1"/>
                <w:sz w:val="18"/>
                <w:szCs w:val="18"/>
              </w:rPr>
            </w:pPr>
          </w:p>
        </w:tc>
        <w:tc>
          <w:tcPr>
            <w:tcW w:w="124" w:type="pct"/>
            <w:vAlign w:val="center"/>
          </w:tcPr>
          <w:p>
            <w:pPr>
              <w:spacing w:line="240" w:lineRule="auto"/>
              <w:jc w:val="center"/>
              <w:rPr>
                <w:rFonts w:eastAsia="仿宋_GB2312"/>
                <w:color w:val="000000" w:themeColor="text1"/>
                <w:sz w:val="18"/>
                <w:szCs w:val="18"/>
              </w:rPr>
            </w:pPr>
          </w:p>
        </w:tc>
        <w:tc>
          <w:tcPr>
            <w:tcW w:w="140" w:type="pct"/>
            <w:vAlign w:val="center"/>
          </w:tcPr>
          <w:p>
            <w:pPr>
              <w:spacing w:line="240" w:lineRule="auto"/>
              <w:jc w:val="center"/>
              <w:rPr>
                <w:rFonts w:eastAsia="仿宋_GB2312"/>
                <w:color w:val="000000" w:themeColor="text1"/>
                <w:sz w:val="18"/>
                <w:szCs w:val="18"/>
              </w:rPr>
            </w:pPr>
          </w:p>
        </w:tc>
        <w:tc>
          <w:tcPr>
            <w:tcW w:w="157"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pPr>
          </w:p>
        </w:tc>
        <w:tc>
          <w:tcPr>
            <w:tcW w:w="106"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22" w:type="pct"/>
            <w:vAlign w:val="center"/>
          </w:tcPr>
          <w:p>
            <w:pPr>
              <w:spacing w:line="240" w:lineRule="auto"/>
              <w:jc w:val="center"/>
            </w:pPr>
          </w:p>
        </w:tc>
        <w:tc>
          <w:tcPr>
            <w:tcW w:w="124" w:type="pct"/>
            <w:vAlign w:val="center"/>
          </w:tcPr>
          <w:p>
            <w:pPr>
              <w:spacing w:line="240" w:lineRule="auto"/>
              <w:jc w:val="center"/>
            </w:pPr>
          </w:p>
        </w:tc>
        <w:tc>
          <w:tcPr>
            <w:tcW w:w="140" w:type="pct"/>
            <w:vAlign w:val="center"/>
          </w:tcPr>
          <w:p>
            <w:pPr>
              <w:spacing w:line="240" w:lineRule="auto"/>
              <w:jc w:val="center"/>
            </w:pPr>
          </w:p>
        </w:tc>
        <w:tc>
          <w:tcPr>
            <w:tcW w:w="158" w:type="pct"/>
            <w:vAlign w:val="center"/>
          </w:tcPr>
          <w:p>
            <w:pPr>
              <w:spacing w:line="240" w:lineRule="auto"/>
              <w:jc w:val="center"/>
            </w:pPr>
          </w:p>
        </w:tc>
        <w:tc>
          <w:tcPr>
            <w:tcW w:w="302" w:type="dxa"/>
            <w:vAlign w:val="center"/>
          </w:tcPr>
          <w:p>
            <w:pPr>
              <w:spacing w:line="240" w:lineRule="auto"/>
              <w:jc w:val="center"/>
            </w:pPr>
          </w:p>
        </w:tc>
        <w:tc>
          <w:tcPr>
            <w:tcW w:w="302" w:type="dxa"/>
            <w:vAlign w:val="center"/>
          </w:tcPr>
          <w:p>
            <w:pPr>
              <w:spacing w:line="240" w:lineRule="auto"/>
              <w:jc w:val="center"/>
            </w:pPr>
          </w:p>
        </w:tc>
        <w:tc>
          <w:tcPr>
            <w:tcW w:w="303" w:type="dxa"/>
            <w:vAlign w:val="center"/>
          </w:tcPr>
          <w:p>
            <w:pPr>
              <w:spacing w:line="240" w:lineRule="auto"/>
              <w:jc w:val="center"/>
            </w:pPr>
          </w:p>
        </w:tc>
        <w:tc>
          <w:tcPr>
            <w:tcW w:w="303" w:type="dxa"/>
            <w:vAlign w:val="center"/>
          </w:tcPr>
          <w:p>
            <w:pPr>
              <w:spacing w:line="240" w:lineRule="auto"/>
              <w:jc w:val="center"/>
            </w:pPr>
          </w:p>
        </w:tc>
        <w:tc>
          <w:tcPr>
            <w:tcW w:w="303" w:type="dxa"/>
            <w:vAlign w:val="center"/>
          </w:tcPr>
          <w:p>
            <w:pPr>
              <w:spacing w:line="240" w:lineRule="auto"/>
              <w:jc w:val="center"/>
            </w:pPr>
          </w:p>
        </w:tc>
        <w:tc>
          <w:tcPr>
            <w:tcW w:w="303" w:type="dxa"/>
            <w:vAlign w:val="center"/>
          </w:tcPr>
          <w:p>
            <w:pPr>
              <w:spacing w:line="240" w:lineRule="auto"/>
              <w:jc w:val="center"/>
            </w:pPr>
          </w:p>
        </w:tc>
        <w:tc>
          <w:tcPr>
            <w:tcW w:w="304" w:type="dxa"/>
            <w:vAlign w:val="center"/>
          </w:tcPr>
          <w:p>
            <w:pPr>
              <w:spacing w:line="240" w:lineRule="auto"/>
              <w:jc w:val="center"/>
            </w:pPr>
            <w:r>
              <w:rPr>
                <w:rFonts w:eastAsia="仿宋_GB2312"/>
                <w:color w:val="000000" w:themeColor="text1"/>
                <w:sz w:val="18"/>
                <w:szCs w:val="18"/>
              </w:rPr>
              <w:pict>
                <v:line id="_x0000_s2109" o:spid="_x0000_s2109" o:spt="20" style="position:absolute;left:0pt;margin-left:-4.5pt;margin-top:9.85pt;height:0.95pt;width:31.1pt;z-index:251677696;mso-width-relative:page;mso-height-relative:page;" filled="f" stroked="t" coordsize="21600,21600">
                  <v:path arrowok="t"/>
                  <v:fill on="f" focussize="0,0"/>
                  <v:stroke weight="6pt" color="#00B050"/>
                  <v:imagedata o:title=""/>
                  <o:lock v:ext="edit" aspectratio="f"/>
                </v:line>
              </w:pict>
            </w:r>
          </w:p>
        </w:tc>
        <w:tc>
          <w:tcPr>
            <w:tcW w:w="304" w:type="dxa"/>
            <w:vAlign w:val="center"/>
          </w:tcPr>
          <w:p>
            <w:pPr>
              <w:spacing w:line="240" w:lineRule="auto"/>
              <w:jc w:val="center"/>
            </w:pPr>
          </w:p>
        </w:tc>
        <w:tc>
          <w:tcPr>
            <w:tcW w:w="323" w:type="dxa"/>
            <w:vAlign w:val="center"/>
          </w:tcPr>
          <w:p>
            <w:pPr>
              <w:spacing w:line="240" w:lineRule="auto"/>
              <w:jc w:val="center"/>
            </w:pPr>
          </w:p>
        </w:tc>
        <w:tc>
          <w:tcPr>
            <w:tcW w:w="393" w:type="dxa"/>
            <w:vAlign w:val="center"/>
          </w:tcPr>
          <w:p>
            <w:pPr>
              <w:spacing w:line="240" w:lineRule="auto"/>
              <w:jc w:val="center"/>
            </w:pPr>
          </w:p>
        </w:tc>
        <w:tc>
          <w:tcPr>
            <w:tcW w:w="393" w:type="dxa"/>
            <w:vAlign w:val="center"/>
          </w:tcPr>
          <w:p>
            <w:pPr>
              <w:spacing w:line="240" w:lineRule="auto"/>
              <w:jc w:val="center"/>
            </w:pPr>
          </w:p>
        </w:tc>
        <w:tc>
          <w:tcPr>
            <w:tcW w:w="424" w:type="dxa"/>
            <w:vAlign w:val="center"/>
          </w:tcPr>
          <w:p>
            <w:pPr>
              <w:spacing w:line="240" w:lineRule="auto"/>
              <w:jc w:val="cente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39" w:type="pct"/>
            <w:vMerge w:val="continue"/>
            <w:vAlign w:val="center"/>
          </w:tcPr>
          <w:p>
            <w:pPr>
              <w:spacing w:line="240" w:lineRule="auto"/>
              <w:jc w:val="center"/>
              <w:rPr>
                <w:rFonts w:eastAsia="仿宋_GB2312"/>
                <w:b/>
                <w:color w:val="000000" w:themeColor="text1"/>
                <w:sz w:val="18"/>
                <w:szCs w:val="18"/>
                <w:lang w:val="zh-CN"/>
              </w:rPr>
            </w:pPr>
          </w:p>
        </w:tc>
        <w:tc>
          <w:tcPr>
            <w:tcW w:w="652" w:type="pct"/>
            <w:vAlign w:val="center"/>
          </w:tcPr>
          <w:p>
            <w:pPr>
              <w:spacing w:line="240" w:lineRule="auto"/>
              <w:jc w:val="center"/>
              <w:rPr>
                <w:rFonts w:eastAsia="仿宋_GB2312"/>
                <w:color w:val="000000" w:themeColor="text1"/>
                <w:kern w:val="2"/>
                <w:sz w:val="18"/>
                <w:szCs w:val="18"/>
              </w:rPr>
            </w:pPr>
            <w:r>
              <w:rPr>
                <w:rFonts w:eastAsia="仿宋_GB2312"/>
                <w:color w:val="000000" w:themeColor="text1"/>
                <w:sz w:val="18"/>
                <w:szCs w:val="18"/>
              </w:rPr>
              <w:t>密目网覆盖</w:t>
            </w:r>
          </w:p>
        </w:tc>
        <w:tc>
          <w:tcPr>
            <w:tcW w:w="106"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pict>
                <v:line id="直线 4" o:spid="_x0000_s2108" o:spt="20" style="position:absolute;left:0pt;margin-left:9pt;margin-top:12.45pt;height:0.05pt;width:17.75pt;z-index:251673600;mso-width-relative:page;mso-height-relative:page;" filled="f" stroked="t" coordsize="21600,21600">
                  <v:path arrowok="t"/>
                  <v:fill on="f" focussize="0,0"/>
                  <v:stroke weight="6pt" color="#7030A0"/>
                  <v:imagedata o:title=""/>
                  <o:lock v:ext="edit" aspectratio="f"/>
                </v:line>
              </w:pict>
            </w:r>
          </w:p>
        </w:tc>
        <w:tc>
          <w:tcPr>
            <w:tcW w:w="122" w:type="pct"/>
            <w:vAlign w:val="center"/>
          </w:tcPr>
          <w:p>
            <w:pPr>
              <w:spacing w:line="240" w:lineRule="auto"/>
              <w:jc w:val="center"/>
              <w:rPr>
                <w:rFonts w:eastAsia="仿宋_GB2312"/>
                <w:color w:val="000000" w:themeColor="text1"/>
                <w:sz w:val="18"/>
                <w:szCs w:val="18"/>
              </w:rPr>
            </w:pPr>
          </w:p>
        </w:tc>
        <w:tc>
          <w:tcPr>
            <w:tcW w:w="124" w:type="pct"/>
            <w:vAlign w:val="center"/>
          </w:tcPr>
          <w:p>
            <w:pPr>
              <w:spacing w:line="240" w:lineRule="auto"/>
              <w:jc w:val="center"/>
              <w:rPr>
                <w:rFonts w:eastAsia="仿宋_GB2312"/>
                <w:color w:val="000000" w:themeColor="text1"/>
                <w:sz w:val="18"/>
                <w:szCs w:val="18"/>
              </w:rPr>
            </w:pPr>
          </w:p>
        </w:tc>
        <w:tc>
          <w:tcPr>
            <w:tcW w:w="140" w:type="pct"/>
            <w:vAlign w:val="center"/>
          </w:tcPr>
          <w:p>
            <w:pPr>
              <w:spacing w:line="240" w:lineRule="auto"/>
              <w:jc w:val="center"/>
              <w:rPr>
                <w:rFonts w:eastAsia="仿宋_GB2312"/>
                <w:color w:val="000000" w:themeColor="text1"/>
                <w:sz w:val="18"/>
                <w:szCs w:val="18"/>
              </w:rPr>
            </w:pPr>
          </w:p>
        </w:tc>
        <w:tc>
          <w:tcPr>
            <w:tcW w:w="157"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pPr>
          </w:p>
        </w:tc>
        <w:tc>
          <w:tcPr>
            <w:tcW w:w="106"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22" w:type="pct"/>
            <w:vAlign w:val="center"/>
          </w:tcPr>
          <w:p>
            <w:pPr>
              <w:spacing w:line="240" w:lineRule="auto"/>
              <w:jc w:val="center"/>
            </w:pPr>
          </w:p>
        </w:tc>
        <w:tc>
          <w:tcPr>
            <w:tcW w:w="124" w:type="pct"/>
            <w:vAlign w:val="center"/>
          </w:tcPr>
          <w:p>
            <w:pPr>
              <w:spacing w:line="240" w:lineRule="auto"/>
              <w:jc w:val="center"/>
            </w:pPr>
          </w:p>
        </w:tc>
        <w:tc>
          <w:tcPr>
            <w:tcW w:w="140" w:type="pct"/>
            <w:vAlign w:val="center"/>
          </w:tcPr>
          <w:p>
            <w:pPr>
              <w:spacing w:line="240" w:lineRule="auto"/>
              <w:jc w:val="center"/>
            </w:pPr>
          </w:p>
        </w:tc>
        <w:tc>
          <w:tcPr>
            <w:tcW w:w="158" w:type="pct"/>
            <w:vAlign w:val="center"/>
          </w:tcPr>
          <w:p>
            <w:pPr>
              <w:spacing w:line="240" w:lineRule="auto"/>
              <w:jc w:val="center"/>
            </w:pPr>
          </w:p>
        </w:tc>
        <w:tc>
          <w:tcPr>
            <w:tcW w:w="302" w:type="dxa"/>
            <w:vAlign w:val="center"/>
          </w:tcPr>
          <w:p>
            <w:pPr>
              <w:spacing w:line="240" w:lineRule="auto"/>
              <w:jc w:val="center"/>
            </w:pPr>
          </w:p>
        </w:tc>
        <w:tc>
          <w:tcPr>
            <w:tcW w:w="302" w:type="dxa"/>
            <w:vAlign w:val="center"/>
          </w:tcPr>
          <w:p>
            <w:pPr>
              <w:spacing w:line="240" w:lineRule="auto"/>
              <w:jc w:val="center"/>
            </w:pPr>
          </w:p>
        </w:tc>
        <w:tc>
          <w:tcPr>
            <w:tcW w:w="303" w:type="dxa"/>
            <w:vAlign w:val="center"/>
          </w:tcPr>
          <w:p>
            <w:pPr>
              <w:spacing w:line="240" w:lineRule="auto"/>
              <w:jc w:val="center"/>
            </w:pPr>
          </w:p>
        </w:tc>
        <w:tc>
          <w:tcPr>
            <w:tcW w:w="303" w:type="dxa"/>
            <w:vAlign w:val="center"/>
          </w:tcPr>
          <w:p>
            <w:pPr>
              <w:spacing w:line="240" w:lineRule="auto"/>
              <w:jc w:val="center"/>
            </w:pPr>
          </w:p>
        </w:tc>
        <w:tc>
          <w:tcPr>
            <w:tcW w:w="303" w:type="dxa"/>
            <w:vAlign w:val="center"/>
          </w:tcPr>
          <w:p>
            <w:pPr>
              <w:spacing w:line="240" w:lineRule="auto"/>
              <w:jc w:val="center"/>
            </w:pPr>
          </w:p>
        </w:tc>
        <w:tc>
          <w:tcPr>
            <w:tcW w:w="303" w:type="dxa"/>
            <w:vAlign w:val="center"/>
          </w:tcPr>
          <w:p>
            <w:pPr>
              <w:spacing w:line="240" w:lineRule="auto"/>
              <w:jc w:val="center"/>
            </w:pPr>
          </w:p>
        </w:tc>
        <w:tc>
          <w:tcPr>
            <w:tcW w:w="304" w:type="dxa"/>
            <w:vAlign w:val="center"/>
          </w:tcPr>
          <w:p>
            <w:pPr>
              <w:spacing w:line="240" w:lineRule="auto"/>
              <w:jc w:val="center"/>
            </w:pPr>
          </w:p>
        </w:tc>
        <w:tc>
          <w:tcPr>
            <w:tcW w:w="304" w:type="dxa"/>
            <w:vAlign w:val="center"/>
          </w:tcPr>
          <w:p>
            <w:pPr>
              <w:spacing w:line="240" w:lineRule="auto"/>
              <w:jc w:val="center"/>
            </w:pPr>
          </w:p>
        </w:tc>
        <w:tc>
          <w:tcPr>
            <w:tcW w:w="323" w:type="dxa"/>
            <w:vAlign w:val="center"/>
          </w:tcPr>
          <w:p>
            <w:pPr>
              <w:spacing w:line="240" w:lineRule="auto"/>
              <w:jc w:val="center"/>
            </w:pPr>
          </w:p>
        </w:tc>
        <w:tc>
          <w:tcPr>
            <w:tcW w:w="393" w:type="dxa"/>
            <w:vAlign w:val="center"/>
          </w:tcPr>
          <w:p>
            <w:pPr>
              <w:spacing w:line="240" w:lineRule="auto"/>
              <w:jc w:val="center"/>
            </w:pPr>
          </w:p>
        </w:tc>
        <w:tc>
          <w:tcPr>
            <w:tcW w:w="393" w:type="dxa"/>
            <w:vAlign w:val="center"/>
          </w:tcPr>
          <w:p>
            <w:pPr>
              <w:spacing w:line="240" w:lineRule="auto"/>
              <w:jc w:val="center"/>
            </w:pPr>
          </w:p>
        </w:tc>
        <w:tc>
          <w:tcPr>
            <w:tcW w:w="424" w:type="dxa"/>
            <w:vAlign w:val="center"/>
          </w:tcPr>
          <w:p>
            <w:pPr>
              <w:spacing w:line="240" w:lineRule="auto"/>
              <w:jc w:val="cente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39" w:type="pct"/>
            <w:vMerge w:val="continue"/>
            <w:vAlign w:val="center"/>
          </w:tcPr>
          <w:p>
            <w:pPr>
              <w:spacing w:line="240" w:lineRule="auto"/>
              <w:jc w:val="center"/>
              <w:rPr>
                <w:rFonts w:eastAsia="仿宋_GB2312"/>
                <w:b/>
                <w:color w:val="000000" w:themeColor="text1"/>
                <w:sz w:val="18"/>
                <w:szCs w:val="18"/>
                <w:lang w:val="zh-CN"/>
              </w:rPr>
            </w:pPr>
          </w:p>
        </w:tc>
        <w:tc>
          <w:tcPr>
            <w:tcW w:w="652" w:type="pct"/>
            <w:vAlign w:val="center"/>
          </w:tcPr>
          <w:p>
            <w:pPr>
              <w:spacing w:line="240" w:lineRule="auto"/>
              <w:jc w:val="center"/>
              <w:rPr>
                <w:rFonts w:eastAsia="仿宋_GB2312"/>
                <w:color w:val="000000" w:themeColor="text1"/>
                <w:kern w:val="2"/>
                <w:sz w:val="18"/>
                <w:szCs w:val="18"/>
              </w:rPr>
            </w:pPr>
            <w:r>
              <w:rPr>
                <w:rFonts w:eastAsia="仿宋_GB2312"/>
                <w:color w:val="000000" w:themeColor="text1"/>
                <w:sz w:val="18"/>
                <w:szCs w:val="18"/>
              </w:rPr>
              <w:t>编织袋土砌体</w:t>
            </w:r>
          </w:p>
        </w:tc>
        <w:tc>
          <w:tcPr>
            <w:tcW w:w="106"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22"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pict>
                <v:line id="_x0000_s2130" o:spid="_x0000_s2130" o:spt="20" style="position:absolute;left:0pt;flip:y;margin-left:-5.4pt;margin-top:10.45pt;height:0.8pt;width:16.95pt;z-index:251682816;mso-width-relative:page;mso-height-relative:page;" filled="f" stroked="t" coordsize="21600,21600">
                  <v:path arrowok="t"/>
                  <v:fill on="f" focussize="0,0"/>
                  <v:stroke weight="6pt" color="#7030A0"/>
                  <v:imagedata o:title=""/>
                  <o:lock v:ext="edit" aspectratio="f"/>
                </v:line>
              </w:pict>
            </w:r>
          </w:p>
        </w:tc>
        <w:tc>
          <w:tcPr>
            <w:tcW w:w="124" w:type="pct"/>
            <w:vAlign w:val="center"/>
          </w:tcPr>
          <w:p>
            <w:pPr>
              <w:spacing w:line="240" w:lineRule="auto"/>
              <w:jc w:val="center"/>
              <w:rPr>
                <w:rFonts w:eastAsia="仿宋_GB2312"/>
                <w:color w:val="000000" w:themeColor="text1"/>
                <w:sz w:val="18"/>
                <w:szCs w:val="18"/>
              </w:rPr>
            </w:pPr>
          </w:p>
        </w:tc>
        <w:tc>
          <w:tcPr>
            <w:tcW w:w="140" w:type="pct"/>
            <w:vAlign w:val="center"/>
          </w:tcPr>
          <w:p>
            <w:pPr>
              <w:spacing w:line="240" w:lineRule="auto"/>
              <w:jc w:val="center"/>
              <w:rPr>
                <w:rFonts w:eastAsia="仿宋_GB2312"/>
                <w:color w:val="000000" w:themeColor="text1"/>
                <w:sz w:val="18"/>
                <w:szCs w:val="18"/>
              </w:rPr>
            </w:pPr>
          </w:p>
        </w:tc>
        <w:tc>
          <w:tcPr>
            <w:tcW w:w="157"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pPr>
          </w:p>
        </w:tc>
        <w:tc>
          <w:tcPr>
            <w:tcW w:w="106"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22" w:type="pct"/>
            <w:vAlign w:val="center"/>
          </w:tcPr>
          <w:p>
            <w:pPr>
              <w:spacing w:line="240" w:lineRule="auto"/>
              <w:jc w:val="center"/>
            </w:pPr>
          </w:p>
        </w:tc>
        <w:tc>
          <w:tcPr>
            <w:tcW w:w="124" w:type="pct"/>
            <w:vAlign w:val="center"/>
          </w:tcPr>
          <w:p>
            <w:pPr>
              <w:spacing w:line="240" w:lineRule="auto"/>
              <w:jc w:val="center"/>
            </w:pPr>
          </w:p>
        </w:tc>
        <w:tc>
          <w:tcPr>
            <w:tcW w:w="140" w:type="pct"/>
            <w:vAlign w:val="center"/>
          </w:tcPr>
          <w:p>
            <w:pPr>
              <w:spacing w:line="240" w:lineRule="auto"/>
              <w:jc w:val="center"/>
            </w:pPr>
          </w:p>
        </w:tc>
        <w:tc>
          <w:tcPr>
            <w:tcW w:w="158" w:type="pct"/>
            <w:vAlign w:val="center"/>
          </w:tcPr>
          <w:p>
            <w:pPr>
              <w:spacing w:line="240" w:lineRule="auto"/>
              <w:jc w:val="center"/>
            </w:pPr>
          </w:p>
        </w:tc>
        <w:tc>
          <w:tcPr>
            <w:tcW w:w="302" w:type="dxa"/>
            <w:vAlign w:val="center"/>
          </w:tcPr>
          <w:p>
            <w:pPr>
              <w:spacing w:line="240" w:lineRule="auto"/>
              <w:jc w:val="center"/>
            </w:pPr>
          </w:p>
        </w:tc>
        <w:tc>
          <w:tcPr>
            <w:tcW w:w="302" w:type="dxa"/>
            <w:vAlign w:val="center"/>
          </w:tcPr>
          <w:p>
            <w:pPr>
              <w:spacing w:line="240" w:lineRule="auto"/>
              <w:jc w:val="center"/>
            </w:pPr>
          </w:p>
        </w:tc>
        <w:tc>
          <w:tcPr>
            <w:tcW w:w="303" w:type="dxa"/>
            <w:vAlign w:val="center"/>
          </w:tcPr>
          <w:p>
            <w:pPr>
              <w:spacing w:line="240" w:lineRule="auto"/>
              <w:jc w:val="center"/>
            </w:pPr>
          </w:p>
        </w:tc>
        <w:tc>
          <w:tcPr>
            <w:tcW w:w="303" w:type="dxa"/>
            <w:vAlign w:val="center"/>
          </w:tcPr>
          <w:p>
            <w:pPr>
              <w:spacing w:line="240" w:lineRule="auto"/>
              <w:jc w:val="center"/>
            </w:pPr>
          </w:p>
        </w:tc>
        <w:tc>
          <w:tcPr>
            <w:tcW w:w="303" w:type="dxa"/>
            <w:vAlign w:val="center"/>
          </w:tcPr>
          <w:p>
            <w:pPr>
              <w:spacing w:line="240" w:lineRule="auto"/>
              <w:jc w:val="center"/>
            </w:pPr>
          </w:p>
        </w:tc>
        <w:tc>
          <w:tcPr>
            <w:tcW w:w="303" w:type="dxa"/>
            <w:vAlign w:val="center"/>
          </w:tcPr>
          <w:p>
            <w:pPr>
              <w:spacing w:line="240" w:lineRule="auto"/>
              <w:jc w:val="center"/>
            </w:pPr>
          </w:p>
        </w:tc>
        <w:tc>
          <w:tcPr>
            <w:tcW w:w="304" w:type="dxa"/>
            <w:vAlign w:val="center"/>
          </w:tcPr>
          <w:p>
            <w:pPr>
              <w:spacing w:line="240" w:lineRule="auto"/>
              <w:jc w:val="center"/>
            </w:pPr>
          </w:p>
        </w:tc>
        <w:tc>
          <w:tcPr>
            <w:tcW w:w="304" w:type="dxa"/>
            <w:vAlign w:val="center"/>
          </w:tcPr>
          <w:p>
            <w:pPr>
              <w:spacing w:line="240" w:lineRule="auto"/>
              <w:jc w:val="center"/>
            </w:pPr>
          </w:p>
        </w:tc>
        <w:tc>
          <w:tcPr>
            <w:tcW w:w="323" w:type="dxa"/>
            <w:vAlign w:val="center"/>
          </w:tcPr>
          <w:p>
            <w:pPr>
              <w:spacing w:line="240" w:lineRule="auto"/>
              <w:jc w:val="center"/>
            </w:pPr>
          </w:p>
        </w:tc>
        <w:tc>
          <w:tcPr>
            <w:tcW w:w="393" w:type="dxa"/>
            <w:vAlign w:val="center"/>
          </w:tcPr>
          <w:p>
            <w:pPr>
              <w:spacing w:line="240" w:lineRule="auto"/>
              <w:jc w:val="center"/>
            </w:pPr>
          </w:p>
        </w:tc>
        <w:tc>
          <w:tcPr>
            <w:tcW w:w="393" w:type="dxa"/>
            <w:vAlign w:val="center"/>
          </w:tcPr>
          <w:p>
            <w:pPr>
              <w:spacing w:line="240" w:lineRule="auto"/>
              <w:jc w:val="center"/>
            </w:pPr>
          </w:p>
        </w:tc>
        <w:tc>
          <w:tcPr>
            <w:tcW w:w="424" w:type="dxa"/>
            <w:vAlign w:val="center"/>
          </w:tcPr>
          <w:p>
            <w:pPr>
              <w:spacing w:line="240" w:lineRule="auto"/>
              <w:jc w:val="cente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39" w:type="pct"/>
            <w:vMerge w:val="continue"/>
            <w:vAlign w:val="center"/>
          </w:tcPr>
          <w:p>
            <w:pPr>
              <w:spacing w:line="240" w:lineRule="auto"/>
              <w:jc w:val="center"/>
              <w:rPr>
                <w:rFonts w:eastAsia="仿宋_GB2312"/>
                <w:b/>
                <w:color w:val="000000" w:themeColor="text1"/>
                <w:sz w:val="18"/>
                <w:szCs w:val="18"/>
                <w:lang w:val="zh-CN"/>
              </w:rPr>
            </w:pPr>
          </w:p>
        </w:tc>
        <w:tc>
          <w:tcPr>
            <w:tcW w:w="652" w:type="pct"/>
            <w:vAlign w:val="center"/>
          </w:tcPr>
          <w:p>
            <w:pPr>
              <w:spacing w:line="240" w:lineRule="auto"/>
              <w:jc w:val="center"/>
              <w:rPr>
                <w:rFonts w:eastAsia="仿宋_GB2312"/>
                <w:color w:val="000000" w:themeColor="text1"/>
                <w:kern w:val="2"/>
                <w:sz w:val="18"/>
                <w:szCs w:val="18"/>
              </w:rPr>
            </w:pPr>
            <w:r>
              <w:rPr>
                <w:rFonts w:eastAsia="仿宋_GB2312"/>
                <w:color w:val="000000" w:themeColor="text1"/>
                <w:sz w:val="18"/>
                <w:szCs w:val="18"/>
              </w:rPr>
              <w:t>编织袋装土拆除</w:t>
            </w:r>
          </w:p>
        </w:tc>
        <w:tc>
          <w:tcPr>
            <w:tcW w:w="106"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07" w:type="pct"/>
            <w:vAlign w:val="center"/>
          </w:tcPr>
          <w:p>
            <w:pPr>
              <w:spacing w:line="240" w:lineRule="auto"/>
              <w:jc w:val="center"/>
              <w:rPr>
                <w:rFonts w:eastAsia="仿宋_GB2312"/>
                <w:color w:val="000000" w:themeColor="text1"/>
                <w:sz w:val="18"/>
                <w:szCs w:val="18"/>
              </w:rPr>
            </w:pPr>
          </w:p>
        </w:tc>
        <w:tc>
          <w:tcPr>
            <w:tcW w:w="122" w:type="pct"/>
            <w:vAlign w:val="center"/>
          </w:tcPr>
          <w:p>
            <w:pPr>
              <w:spacing w:line="240" w:lineRule="auto"/>
              <w:jc w:val="center"/>
              <w:rPr>
                <w:rFonts w:eastAsia="仿宋_GB2312"/>
                <w:color w:val="000000" w:themeColor="text1"/>
                <w:sz w:val="18"/>
                <w:szCs w:val="18"/>
              </w:rPr>
            </w:pPr>
          </w:p>
        </w:tc>
        <w:tc>
          <w:tcPr>
            <w:tcW w:w="124" w:type="pct"/>
            <w:vAlign w:val="center"/>
          </w:tcPr>
          <w:p>
            <w:pPr>
              <w:spacing w:line="240" w:lineRule="auto"/>
              <w:jc w:val="center"/>
              <w:rPr>
                <w:rFonts w:eastAsia="仿宋_GB2312"/>
                <w:color w:val="000000" w:themeColor="text1"/>
                <w:sz w:val="18"/>
                <w:szCs w:val="18"/>
              </w:rPr>
            </w:pPr>
          </w:p>
        </w:tc>
        <w:tc>
          <w:tcPr>
            <w:tcW w:w="140" w:type="pct"/>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pict>
                <v:line id="_x0000_s2131" o:spid="_x0000_s2131" o:spt="20" style="position:absolute;left:0pt;margin-left:-3.9pt;margin-top:11.1pt;height:0.05pt;width:18.55pt;z-index:251683840;mso-width-relative:page;mso-height-relative:page;" filled="f" stroked="t" coordsize="21600,21600">
                  <v:path arrowok="t"/>
                  <v:fill on="f" focussize="0,0"/>
                  <v:stroke weight="6pt" color="#7030A0"/>
                  <v:imagedata o:title=""/>
                  <o:lock v:ext="edit" aspectratio="f"/>
                </v:line>
              </w:pict>
            </w:r>
          </w:p>
        </w:tc>
        <w:tc>
          <w:tcPr>
            <w:tcW w:w="157"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rPr>
                <w:rFonts w:eastAsia="仿宋_GB2312"/>
                <w:color w:val="000000" w:themeColor="text1"/>
                <w:sz w:val="18"/>
                <w:szCs w:val="18"/>
              </w:rPr>
            </w:pPr>
          </w:p>
        </w:tc>
        <w:tc>
          <w:tcPr>
            <w:tcW w:w="106" w:type="pct"/>
            <w:vAlign w:val="center"/>
          </w:tcPr>
          <w:p>
            <w:pPr>
              <w:spacing w:line="240" w:lineRule="auto"/>
              <w:jc w:val="center"/>
            </w:pPr>
          </w:p>
        </w:tc>
        <w:tc>
          <w:tcPr>
            <w:tcW w:w="106"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07" w:type="pct"/>
            <w:vAlign w:val="center"/>
          </w:tcPr>
          <w:p>
            <w:pPr>
              <w:spacing w:line="240" w:lineRule="auto"/>
              <w:jc w:val="center"/>
            </w:pPr>
          </w:p>
        </w:tc>
        <w:tc>
          <w:tcPr>
            <w:tcW w:w="122" w:type="pct"/>
            <w:vAlign w:val="center"/>
          </w:tcPr>
          <w:p>
            <w:pPr>
              <w:spacing w:line="240" w:lineRule="auto"/>
              <w:jc w:val="center"/>
            </w:pPr>
          </w:p>
        </w:tc>
        <w:tc>
          <w:tcPr>
            <w:tcW w:w="124" w:type="pct"/>
            <w:vAlign w:val="center"/>
          </w:tcPr>
          <w:p>
            <w:pPr>
              <w:spacing w:line="240" w:lineRule="auto"/>
              <w:jc w:val="center"/>
            </w:pPr>
          </w:p>
        </w:tc>
        <w:tc>
          <w:tcPr>
            <w:tcW w:w="140" w:type="pct"/>
            <w:vAlign w:val="center"/>
          </w:tcPr>
          <w:p>
            <w:pPr>
              <w:spacing w:line="240" w:lineRule="auto"/>
              <w:jc w:val="center"/>
            </w:pPr>
          </w:p>
        </w:tc>
        <w:tc>
          <w:tcPr>
            <w:tcW w:w="158" w:type="pct"/>
            <w:vAlign w:val="center"/>
          </w:tcPr>
          <w:p>
            <w:pPr>
              <w:spacing w:line="240" w:lineRule="auto"/>
              <w:jc w:val="center"/>
            </w:pPr>
          </w:p>
        </w:tc>
        <w:tc>
          <w:tcPr>
            <w:tcW w:w="302" w:type="dxa"/>
            <w:vAlign w:val="center"/>
          </w:tcPr>
          <w:p>
            <w:pPr>
              <w:spacing w:line="240" w:lineRule="auto"/>
              <w:jc w:val="center"/>
            </w:pPr>
          </w:p>
        </w:tc>
        <w:tc>
          <w:tcPr>
            <w:tcW w:w="302" w:type="dxa"/>
            <w:vAlign w:val="center"/>
          </w:tcPr>
          <w:p>
            <w:pPr>
              <w:spacing w:line="240" w:lineRule="auto"/>
              <w:jc w:val="center"/>
            </w:pPr>
          </w:p>
        </w:tc>
        <w:tc>
          <w:tcPr>
            <w:tcW w:w="303" w:type="dxa"/>
            <w:vAlign w:val="center"/>
          </w:tcPr>
          <w:p>
            <w:pPr>
              <w:spacing w:line="240" w:lineRule="auto"/>
              <w:jc w:val="center"/>
            </w:pPr>
          </w:p>
        </w:tc>
        <w:tc>
          <w:tcPr>
            <w:tcW w:w="303" w:type="dxa"/>
            <w:vAlign w:val="center"/>
          </w:tcPr>
          <w:p>
            <w:pPr>
              <w:spacing w:line="240" w:lineRule="auto"/>
              <w:jc w:val="center"/>
            </w:pPr>
          </w:p>
        </w:tc>
        <w:tc>
          <w:tcPr>
            <w:tcW w:w="303" w:type="dxa"/>
            <w:vAlign w:val="center"/>
          </w:tcPr>
          <w:p>
            <w:pPr>
              <w:spacing w:line="240" w:lineRule="auto"/>
              <w:jc w:val="center"/>
            </w:pPr>
          </w:p>
        </w:tc>
        <w:tc>
          <w:tcPr>
            <w:tcW w:w="303" w:type="dxa"/>
            <w:vAlign w:val="center"/>
          </w:tcPr>
          <w:p>
            <w:pPr>
              <w:spacing w:line="240" w:lineRule="auto"/>
              <w:jc w:val="center"/>
            </w:pPr>
          </w:p>
        </w:tc>
        <w:tc>
          <w:tcPr>
            <w:tcW w:w="304" w:type="dxa"/>
            <w:vAlign w:val="center"/>
          </w:tcPr>
          <w:p>
            <w:pPr>
              <w:spacing w:line="240" w:lineRule="auto"/>
              <w:jc w:val="center"/>
            </w:pPr>
          </w:p>
        </w:tc>
        <w:tc>
          <w:tcPr>
            <w:tcW w:w="304" w:type="dxa"/>
            <w:vAlign w:val="center"/>
          </w:tcPr>
          <w:p>
            <w:pPr>
              <w:spacing w:line="240" w:lineRule="auto"/>
              <w:jc w:val="center"/>
            </w:pPr>
          </w:p>
        </w:tc>
        <w:tc>
          <w:tcPr>
            <w:tcW w:w="323" w:type="dxa"/>
            <w:vAlign w:val="center"/>
          </w:tcPr>
          <w:p>
            <w:pPr>
              <w:spacing w:line="240" w:lineRule="auto"/>
              <w:jc w:val="center"/>
            </w:pPr>
          </w:p>
        </w:tc>
        <w:tc>
          <w:tcPr>
            <w:tcW w:w="393" w:type="dxa"/>
            <w:vAlign w:val="center"/>
          </w:tcPr>
          <w:p>
            <w:pPr>
              <w:spacing w:line="240" w:lineRule="auto"/>
              <w:jc w:val="center"/>
            </w:pPr>
          </w:p>
        </w:tc>
        <w:tc>
          <w:tcPr>
            <w:tcW w:w="393" w:type="dxa"/>
            <w:vAlign w:val="center"/>
          </w:tcPr>
          <w:p>
            <w:pPr>
              <w:spacing w:line="240" w:lineRule="auto"/>
              <w:jc w:val="center"/>
            </w:pPr>
          </w:p>
        </w:tc>
        <w:tc>
          <w:tcPr>
            <w:tcW w:w="424" w:type="dxa"/>
            <w:vAlign w:val="center"/>
          </w:tcPr>
          <w:p>
            <w:pPr>
              <w:spacing w:line="240" w:lineRule="auto"/>
              <w:jc w:val="center"/>
            </w:pPr>
          </w:p>
        </w:tc>
      </w:tr>
    </w:tbl>
    <w:p>
      <w:pPr>
        <w:tabs>
          <w:tab w:val="left" w:pos="5905"/>
        </w:tabs>
        <w:jc w:val="center"/>
        <w:rPr>
          <w:rFonts w:eastAsia="仿宋_GB2312"/>
          <w:b/>
          <w:color w:val="000000" w:themeColor="text1"/>
          <w:szCs w:val="24"/>
        </w:rPr>
      </w:pPr>
    </w:p>
    <w:p>
      <w:pPr>
        <w:tabs>
          <w:tab w:val="left" w:pos="5905"/>
        </w:tabs>
        <w:jc w:val="center"/>
        <w:rPr>
          <w:rFonts w:eastAsia="仿宋_GB2312"/>
          <w:b/>
          <w:color w:val="000000" w:themeColor="text1"/>
          <w:szCs w:val="24"/>
          <w:highlight w:val="none"/>
        </w:rPr>
        <w:sectPr>
          <w:pgSz w:w="16838" w:h="11906" w:orient="landscape"/>
          <w:pgMar w:top="1797" w:right="1440" w:bottom="1797" w:left="1440" w:header="851" w:footer="992" w:gutter="0"/>
          <w:cols w:space="720" w:num="1"/>
          <w:docGrid w:linePitch="312" w:charSpace="0"/>
        </w:sectPr>
      </w:pPr>
      <w:r>
        <w:rPr>
          <w:rFonts w:eastAsia="仿宋_GB2312"/>
          <w:b/>
          <w:color w:val="000000" w:themeColor="text1"/>
          <w:szCs w:val="24"/>
          <w:highlight w:val="none"/>
        </w:rPr>
        <w:t>图5-2  水土保持措施实施进度图</w:t>
      </w:r>
    </w:p>
    <w:p>
      <w:pPr>
        <w:pStyle w:val="3"/>
        <w:spacing w:before="0" w:after="0" w:line="360" w:lineRule="auto"/>
        <w:rPr>
          <w:rFonts w:eastAsia="仿宋_GB2312"/>
          <w:color w:val="000000" w:themeColor="text1"/>
          <w:sz w:val="28"/>
          <w:szCs w:val="28"/>
        </w:rPr>
      </w:pPr>
      <w:bookmarkStart w:id="46" w:name="_Toc15030"/>
      <w:r>
        <w:rPr>
          <w:rFonts w:eastAsia="仿宋_GB2312"/>
          <w:color w:val="000000" w:themeColor="text1"/>
          <w:sz w:val="28"/>
          <w:szCs w:val="28"/>
        </w:rPr>
        <w:t>6.水土保持监测</w:t>
      </w:r>
      <w:bookmarkEnd w:id="46"/>
    </w:p>
    <w:p>
      <w:pPr>
        <w:pStyle w:val="4"/>
        <w:spacing w:before="0" w:after="0" w:line="360" w:lineRule="auto"/>
        <w:rPr>
          <w:rFonts w:ascii="Times New Roman" w:hAnsi="Times New Roman" w:eastAsia="仿宋_GB2312"/>
          <w:color w:val="000000" w:themeColor="text1"/>
          <w:sz w:val="28"/>
          <w:szCs w:val="28"/>
        </w:rPr>
      </w:pPr>
      <w:bookmarkStart w:id="47" w:name="_Toc10108"/>
      <w:r>
        <w:rPr>
          <w:rFonts w:ascii="Times New Roman" w:hAnsi="Times New Roman" w:eastAsia="仿宋_GB2312"/>
          <w:color w:val="000000" w:themeColor="text1"/>
          <w:sz w:val="28"/>
          <w:szCs w:val="28"/>
        </w:rPr>
        <w:t>6.1范围和时段</w:t>
      </w:r>
      <w:bookmarkEnd w:id="47"/>
    </w:p>
    <w:p>
      <w:pPr>
        <w:spacing w:line="360" w:lineRule="auto"/>
        <w:rPr>
          <w:rFonts w:eastAsia="仿宋_GB2312"/>
          <w:b/>
          <w:color w:val="000000" w:themeColor="text1"/>
        </w:rPr>
      </w:pPr>
      <w:r>
        <w:rPr>
          <w:rFonts w:eastAsia="仿宋_GB2312"/>
          <w:b/>
          <w:color w:val="000000" w:themeColor="text1"/>
        </w:rPr>
        <w:t>6.1.1监测的范围</w:t>
      </w:r>
    </w:p>
    <w:p>
      <w:pPr>
        <w:pStyle w:val="54"/>
        <w:ind w:firstLine="480"/>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根据《生产建设项目水土保持监测与评价标准》（GB/T 51240-2018），确定本项目监测范围为水土流失防治责任范围。监测范围面积</w:t>
      </w:r>
      <w:r>
        <w:rPr>
          <w:rFonts w:hint="eastAsia" w:ascii="Times New Roman" w:hAnsi="Times New Roman" w:eastAsia="仿宋_GB2312" w:cs="Times New Roman"/>
          <w:color w:val="000000" w:themeColor="text1"/>
          <w:sz w:val="24"/>
          <w:szCs w:val="24"/>
          <w:lang w:val="en-US" w:eastAsia="zh-CN"/>
        </w:rPr>
        <w:t>1.30</w:t>
      </w:r>
      <w:r>
        <w:rPr>
          <w:rFonts w:ascii="Times New Roman" w:hAnsi="Times New Roman" w:eastAsia="仿宋_GB2312" w:cs="Times New Roman"/>
          <w:color w:val="000000" w:themeColor="text1"/>
          <w:sz w:val="24"/>
          <w:szCs w:val="24"/>
        </w:rPr>
        <w:t>hm</w:t>
      </w:r>
      <w:r>
        <w:rPr>
          <w:rFonts w:ascii="Times New Roman" w:hAnsi="Times New Roman" w:eastAsia="仿宋_GB2312" w:cs="Times New Roman"/>
          <w:color w:val="000000" w:themeColor="text1"/>
          <w:sz w:val="24"/>
          <w:szCs w:val="24"/>
          <w:vertAlign w:val="superscript"/>
        </w:rPr>
        <w:t>2</w:t>
      </w:r>
      <w:r>
        <w:rPr>
          <w:rFonts w:ascii="Times New Roman" w:hAnsi="Times New Roman" w:eastAsia="仿宋_GB2312" w:cs="Times New Roman"/>
          <w:color w:val="000000" w:themeColor="text1"/>
          <w:sz w:val="24"/>
          <w:szCs w:val="24"/>
        </w:rPr>
        <w:t>。</w:t>
      </w:r>
    </w:p>
    <w:p>
      <w:pPr>
        <w:spacing w:line="360" w:lineRule="auto"/>
        <w:rPr>
          <w:rFonts w:eastAsia="仿宋_GB2312"/>
          <w:b/>
          <w:color w:val="000000" w:themeColor="text1"/>
          <w:highlight w:val="none"/>
        </w:rPr>
      </w:pPr>
      <w:r>
        <w:rPr>
          <w:rFonts w:eastAsia="仿宋_GB2312"/>
          <w:b/>
          <w:color w:val="000000" w:themeColor="text1"/>
          <w:highlight w:val="none"/>
        </w:rPr>
        <w:t>6.1.2监测的时段</w:t>
      </w:r>
    </w:p>
    <w:p>
      <w:pPr>
        <w:pStyle w:val="54"/>
        <w:ind w:firstLine="480"/>
        <w:rPr>
          <w:rFonts w:ascii="Times New Roman" w:hAnsi="Times New Roman" w:eastAsia="仿宋_GB2312" w:cs="Times New Roman"/>
          <w:color w:val="000000" w:themeColor="text1"/>
          <w:sz w:val="24"/>
          <w:szCs w:val="24"/>
          <w:highlight w:val="cyan"/>
        </w:rPr>
      </w:pPr>
      <w:r>
        <w:rPr>
          <w:rFonts w:ascii="Times New Roman" w:hAnsi="Times New Roman" w:eastAsia="仿宋_GB2312" w:cs="Times New Roman"/>
          <w:color w:val="000000" w:themeColor="text1"/>
          <w:sz w:val="24"/>
          <w:szCs w:val="24"/>
        </w:rPr>
        <w:t>根据《生产建设项目水土保持技术标准》（GB 50433-2018）和《生产建设项目水土保持监测与评价标准》（GB/T 51240-2018）的要求，本工程为新建建设类项目，结合本</w:t>
      </w:r>
      <w:r>
        <w:rPr>
          <w:rFonts w:hint="eastAsia" w:ascii="Times New Roman" w:hAnsi="Times New Roman" w:eastAsia="仿宋_GB2312" w:cs="Times New Roman"/>
          <w:color w:val="000000" w:themeColor="text1"/>
          <w:sz w:val="24"/>
          <w:szCs w:val="24"/>
        </w:rPr>
        <w:t>项目</w:t>
      </w:r>
      <w:r>
        <w:rPr>
          <w:rFonts w:ascii="Times New Roman" w:hAnsi="Times New Roman" w:eastAsia="仿宋_GB2312" w:cs="Times New Roman"/>
          <w:color w:val="000000" w:themeColor="text1"/>
          <w:sz w:val="24"/>
          <w:szCs w:val="24"/>
        </w:rPr>
        <w:t>的建设工期和工程特点，确定本工程水土保持监测的时段从项目开工开始至设计水平年结束。本项目</w:t>
      </w:r>
      <w:r>
        <w:rPr>
          <w:rFonts w:hint="eastAsia" w:ascii="Times New Roman" w:hAnsi="Times New Roman" w:eastAsia="仿宋_GB2312" w:cs="Times New Roman"/>
          <w:color w:val="000000" w:themeColor="text1"/>
          <w:sz w:val="24"/>
          <w:szCs w:val="24"/>
          <w:lang w:val="en-US" w:eastAsia="zh-CN"/>
        </w:rPr>
        <w:t>已</w:t>
      </w:r>
      <w:r>
        <w:rPr>
          <w:rFonts w:hint="eastAsia" w:ascii="Times New Roman" w:hAnsi="Times New Roman" w:eastAsia="仿宋_GB2312" w:cs="Times New Roman"/>
          <w:color w:val="000000" w:themeColor="text1"/>
          <w:sz w:val="24"/>
          <w:szCs w:val="24"/>
        </w:rPr>
        <w:t>于</w:t>
      </w:r>
      <w:r>
        <w:rPr>
          <w:rFonts w:ascii="Times New Roman" w:hAnsi="Times New Roman" w:eastAsia="仿宋_GB2312" w:cs="Times New Roman"/>
          <w:color w:val="000000" w:themeColor="text1"/>
          <w:sz w:val="24"/>
          <w:szCs w:val="24"/>
        </w:rPr>
        <w:t>202</w:t>
      </w:r>
      <w:r>
        <w:rPr>
          <w:rFonts w:hint="eastAsia" w:ascii="Times New Roman" w:hAnsi="Times New Roman" w:eastAsia="仿宋_GB2312" w:cs="Times New Roman"/>
          <w:color w:val="000000" w:themeColor="text1"/>
          <w:sz w:val="24"/>
          <w:szCs w:val="24"/>
          <w:lang w:val="en-US" w:eastAsia="zh-CN"/>
        </w:rPr>
        <w:t>1</w:t>
      </w:r>
      <w:r>
        <w:rPr>
          <w:rFonts w:ascii="Times New Roman" w:hAnsi="Times New Roman" w:eastAsia="仿宋_GB2312" w:cs="Times New Roman"/>
          <w:color w:val="000000" w:themeColor="text1"/>
          <w:sz w:val="24"/>
          <w:szCs w:val="24"/>
        </w:rPr>
        <w:t>年</w:t>
      </w:r>
      <w:r>
        <w:rPr>
          <w:rFonts w:hint="eastAsia" w:ascii="Times New Roman" w:hAnsi="Times New Roman" w:eastAsia="仿宋_GB2312" w:cs="Times New Roman"/>
          <w:color w:val="000000" w:themeColor="text1"/>
          <w:sz w:val="24"/>
          <w:szCs w:val="24"/>
          <w:lang w:val="en-US" w:eastAsia="zh-CN"/>
        </w:rPr>
        <w:t>9</w:t>
      </w:r>
      <w:r>
        <w:rPr>
          <w:rFonts w:ascii="Times New Roman" w:hAnsi="Times New Roman" w:eastAsia="仿宋_GB2312" w:cs="Times New Roman"/>
          <w:color w:val="000000" w:themeColor="text1"/>
          <w:sz w:val="24"/>
          <w:szCs w:val="24"/>
        </w:rPr>
        <w:t>月开工，</w:t>
      </w:r>
      <w:r>
        <w:rPr>
          <w:rFonts w:hint="eastAsia" w:ascii="Times New Roman" w:hAnsi="Times New Roman" w:eastAsia="仿宋_GB2312" w:cs="Times New Roman"/>
          <w:color w:val="000000" w:themeColor="text1"/>
          <w:sz w:val="24"/>
          <w:szCs w:val="24"/>
        </w:rPr>
        <w:t>于</w:t>
      </w:r>
      <w:r>
        <w:rPr>
          <w:rFonts w:ascii="Times New Roman" w:hAnsi="Times New Roman" w:eastAsia="仿宋_GB2312" w:cs="Times New Roman"/>
          <w:color w:val="000000" w:themeColor="text1"/>
          <w:sz w:val="24"/>
          <w:szCs w:val="24"/>
        </w:rPr>
        <w:t>202</w:t>
      </w:r>
      <w:r>
        <w:rPr>
          <w:rFonts w:hint="eastAsia" w:ascii="Times New Roman" w:hAnsi="Times New Roman" w:eastAsia="仿宋_GB2312" w:cs="Times New Roman"/>
          <w:color w:val="000000" w:themeColor="text1"/>
          <w:sz w:val="24"/>
          <w:szCs w:val="24"/>
        </w:rPr>
        <w:t>3</w:t>
      </w:r>
      <w:r>
        <w:rPr>
          <w:rFonts w:ascii="Times New Roman" w:hAnsi="Times New Roman" w:eastAsia="仿宋_GB2312" w:cs="Times New Roman"/>
          <w:color w:val="000000" w:themeColor="text1"/>
          <w:sz w:val="24"/>
          <w:szCs w:val="24"/>
        </w:rPr>
        <w:t>年</w:t>
      </w:r>
      <w:r>
        <w:rPr>
          <w:rFonts w:hint="eastAsia" w:ascii="Times New Roman" w:hAnsi="Times New Roman" w:eastAsia="仿宋_GB2312" w:cs="Times New Roman"/>
          <w:color w:val="000000" w:themeColor="text1"/>
          <w:sz w:val="24"/>
          <w:szCs w:val="24"/>
        </w:rPr>
        <w:t>12</w:t>
      </w:r>
      <w:r>
        <w:rPr>
          <w:rFonts w:ascii="Times New Roman" w:hAnsi="Times New Roman" w:eastAsia="仿宋_GB2312" w:cs="Times New Roman"/>
          <w:color w:val="000000" w:themeColor="text1"/>
          <w:sz w:val="24"/>
          <w:szCs w:val="24"/>
        </w:rPr>
        <w:t>月完工。</w:t>
      </w:r>
      <w:r>
        <w:rPr>
          <w:rFonts w:hint="eastAsia" w:ascii="Times New Roman" w:hAnsi="Times New Roman" w:eastAsia="仿宋_GB2312" w:cs="Times New Roman"/>
          <w:color w:val="000000" w:themeColor="text1"/>
          <w:sz w:val="24"/>
          <w:szCs w:val="24"/>
        </w:rPr>
        <w:t>设计水平年为2024年12月，</w:t>
      </w:r>
      <w:r>
        <w:rPr>
          <w:rFonts w:ascii="Times New Roman" w:hAnsi="Times New Roman" w:eastAsia="仿宋_GB2312" w:cs="Times New Roman"/>
          <w:color w:val="000000" w:themeColor="text1"/>
          <w:sz w:val="24"/>
          <w:szCs w:val="24"/>
        </w:rPr>
        <w:t>结合实际情况确定本方案总的监测时间段为202</w:t>
      </w:r>
      <w:r>
        <w:rPr>
          <w:rFonts w:hint="eastAsia" w:ascii="Times New Roman" w:hAnsi="Times New Roman" w:eastAsia="仿宋_GB2312" w:cs="Times New Roman"/>
          <w:color w:val="000000" w:themeColor="text1"/>
          <w:sz w:val="24"/>
          <w:szCs w:val="24"/>
          <w:lang w:val="en-US" w:eastAsia="zh-CN"/>
        </w:rPr>
        <w:t>3</w:t>
      </w:r>
      <w:r>
        <w:rPr>
          <w:rFonts w:ascii="Times New Roman" w:hAnsi="Times New Roman" w:eastAsia="仿宋_GB2312" w:cs="Times New Roman"/>
          <w:color w:val="000000" w:themeColor="text1"/>
          <w:sz w:val="24"/>
          <w:szCs w:val="24"/>
        </w:rPr>
        <w:t>年</w:t>
      </w:r>
      <w:r>
        <w:rPr>
          <w:rFonts w:hint="eastAsia" w:ascii="Times New Roman" w:hAnsi="Times New Roman" w:eastAsia="仿宋_GB2312" w:cs="Times New Roman"/>
          <w:color w:val="000000" w:themeColor="text1"/>
          <w:sz w:val="24"/>
          <w:szCs w:val="24"/>
          <w:lang w:val="en-US" w:eastAsia="zh-CN"/>
        </w:rPr>
        <w:t>2</w:t>
      </w:r>
      <w:r>
        <w:rPr>
          <w:rFonts w:ascii="Times New Roman" w:hAnsi="Times New Roman" w:eastAsia="仿宋_GB2312" w:cs="Times New Roman"/>
          <w:color w:val="000000" w:themeColor="text1"/>
          <w:sz w:val="24"/>
          <w:szCs w:val="24"/>
        </w:rPr>
        <w:t>月至202</w:t>
      </w:r>
      <w:r>
        <w:rPr>
          <w:rFonts w:hint="eastAsia" w:ascii="Times New Roman" w:hAnsi="Times New Roman" w:eastAsia="仿宋_GB2312" w:cs="Times New Roman"/>
          <w:color w:val="000000" w:themeColor="text1"/>
          <w:sz w:val="24"/>
          <w:szCs w:val="24"/>
        </w:rPr>
        <w:t>4</w:t>
      </w:r>
      <w:r>
        <w:rPr>
          <w:rFonts w:ascii="Times New Roman" w:hAnsi="Times New Roman" w:eastAsia="仿宋_GB2312" w:cs="Times New Roman"/>
          <w:color w:val="000000" w:themeColor="text1"/>
          <w:sz w:val="24"/>
          <w:szCs w:val="24"/>
        </w:rPr>
        <w:t>年12月。</w:t>
      </w:r>
    </w:p>
    <w:p>
      <w:pPr>
        <w:pStyle w:val="4"/>
        <w:spacing w:before="0" w:after="0" w:line="360" w:lineRule="auto"/>
        <w:rPr>
          <w:rFonts w:ascii="Times New Roman" w:hAnsi="Times New Roman" w:eastAsia="仿宋_GB2312"/>
          <w:color w:val="000000" w:themeColor="text1"/>
          <w:sz w:val="28"/>
          <w:szCs w:val="28"/>
        </w:rPr>
      </w:pPr>
      <w:bookmarkStart w:id="48" w:name="_Toc13164"/>
      <w:r>
        <w:rPr>
          <w:rFonts w:ascii="Times New Roman" w:hAnsi="Times New Roman" w:eastAsia="仿宋_GB2312"/>
          <w:color w:val="000000" w:themeColor="text1"/>
          <w:sz w:val="28"/>
          <w:szCs w:val="28"/>
        </w:rPr>
        <w:t>6.2内容和方法</w:t>
      </w:r>
      <w:bookmarkEnd w:id="48"/>
    </w:p>
    <w:p>
      <w:pPr>
        <w:spacing w:line="360" w:lineRule="auto"/>
        <w:rPr>
          <w:rFonts w:eastAsia="仿宋_GB2312"/>
          <w:b/>
          <w:color w:val="000000" w:themeColor="text1"/>
        </w:rPr>
      </w:pPr>
      <w:r>
        <w:rPr>
          <w:rFonts w:eastAsia="仿宋_GB2312"/>
          <w:b/>
          <w:color w:val="000000" w:themeColor="text1"/>
        </w:rPr>
        <w:t>6.2.1监测内容</w:t>
      </w:r>
    </w:p>
    <w:p>
      <w:pPr>
        <w:spacing w:line="360" w:lineRule="auto"/>
        <w:ind w:firstLine="480" w:firstLineChars="200"/>
        <w:rPr>
          <w:rFonts w:eastAsia="仿宋_GB2312"/>
          <w:color w:val="000000" w:themeColor="text1"/>
        </w:rPr>
      </w:pPr>
      <w:r>
        <w:rPr>
          <w:rFonts w:eastAsia="仿宋_GB2312"/>
          <w:color w:val="000000" w:themeColor="text1"/>
        </w:rPr>
        <w:t>本方案水土保持监测内容主要为：水土流失本底值、</w:t>
      </w:r>
      <w:r>
        <w:rPr>
          <w:rFonts w:eastAsia="仿宋_GB2312"/>
          <w:color w:val="000000" w:themeColor="text1"/>
          <w:szCs w:val="24"/>
        </w:rPr>
        <w:t>水土流失自然影响因素</w:t>
      </w:r>
      <w:r>
        <w:rPr>
          <w:rFonts w:eastAsia="仿宋_GB2312"/>
          <w:color w:val="000000" w:themeColor="text1"/>
        </w:rPr>
        <w:t>、扰动土地、水土流失状况、水土流失防治成效、水土流失危害。</w:t>
      </w:r>
    </w:p>
    <w:p>
      <w:pPr>
        <w:spacing w:line="360" w:lineRule="auto"/>
        <w:ind w:firstLine="480" w:firstLineChars="200"/>
        <w:rPr>
          <w:rFonts w:eastAsia="仿宋_GB2312"/>
          <w:color w:val="000000" w:themeColor="text1"/>
        </w:rPr>
      </w:pPr>
      <w:r>
        <w:rPr>
          <w:rFonts w:eastAsia="仿宋_GB2312"/>
          <w:color w:val="000000" w:themeColor="text1"/>
        </w:rPr>
        <w:t>（1）水土流失本底值</w:t>
      </w:r>
    </w:p>
    <w:p>
      <w:pPr>
        <w:spacing w:line="360" w:lineRule="auto"/>
        <w:ind w:firstLine="480" w:firstLineChars="200"/>
        <w:rPr>
          <w:rFonts w:eastAsia="仿宋_GB2312"/>
          <w:color w:val="000000" w:themeColor="text1"/>
        </w:rPr>
      </w:pPr>
      <w:r>
        <w:rPr>
          <w:rFonts w:eastAsia="仿宋_GB2312"/>
          <w:color w:val="000000" w:themeColor="text1"/>
        </w:rPr>
        <w:t>为了反映项目建设前后水土流失状况变化程度，在施工前期对项目区具有代表性的施工场地进行水土流失本底值监测，使施工期间的监测数据具有可比性。</w:t>
      </w:r>
    </w:p>
    <w:p>
      <w:pPr>
        <w:spacing w:line="360" w:lineRule="auto"/>
        <w:ind w:firstLine="480" w:firstLineChars="200"/>
        <w:rPr>
          <w:rFonts w:eastAsia="仿宋_GB2312"/>
          <w:color w:val="000000" w:themeColor="text1"/>
          <w:szCs w:val="24"/>
        </w:rPr>
      </w:pPr>
      <w:r>
        <w:rPr>
          <w:rFonts w:eastAsia="仿宋_GB2312"/>
          <w:color w:val="000000" w:themeColor="text1"/>
          <w:szCs w:val="24"/>
        </w:rPr>
        <w:t>（2）水土流失自然影响因素</w:t>
      </w:r>
    </w:p>
    <w:p>
      <w:pPr>
        <w:spacing w:line="360" w:lineRule="auto"/>
        <w:ind w:firstLine="480" w:firstLineChars="200"/>
        <w:rPr>
          <w:rFonts w:eastAsia="仿宋_GB2312"/>
          <w:color w:val="000000" w:themeColor="text1"/>
          <w:szCs w:val="24"/>
        </w:rPr>
      </w:pPr>
      <w:r>
        <w:rPr>
          <w:rFonts w:eastAsia="仿宋_GB2312"/>
          <w:color w:val="000000" w:themeColor="text1"/>
          <w:szCs w:val="24"/>
        </w:rPr>
        <w:t>主要包括气象水文、地形地貌、地表组成物质、植被等自然影响因素；项目征占地和水土流失防治责任范围变化情况等。</w:t>
      </w:r>
    </w:p>
    <w:p>
      <w:pPr>
        <w:spacing w:line="360" w:lineRule="auto"/>
        <w:ind w:firstLine="480" w:firstLineChars="200"/>
        <w:rPr>
          <w:rFonts w:eastAsia="仿宋_GB2312"/>
          <w:color w:val="000000" w:themeColor="text1"/>
        </w:rPr>
      </w:pPr>
      <w:r>
        <w:rPr>
          <w:rFonts w:eastAsia="仿宋_GB2312"/>
          <w:color w:val="000000" w:themeColor="text1"/>
        </w:rPr>
        <w:t>（3）扰动土地</w:t>
      </w:r>
    </w:p>
    <w:p>
      <w:pPr>
        <w:spacing w:line="360" w:lineRule="auto"/>
        <w:ind w:firstLine="480" w:firstLineChars="200"/>
        <w:rPr>
          <w:rFonts w:eastAsia="仿宋_GB2312"/>
          <w:color w:val="000000" w:themeColor="text1"/>
          <w:szCs w:val="24"/>
        </w:rPr>
      </w:pPr>
      <w:r>
        <w:rPr>
          <w:rFonts w:eastAsia="仿宋_GB2312"/>
          <w:color w:val="000000" w:themeColor="text1"/>
          <w:szCs w:val="24"/>
        </w:rPr>
        <w:t>主要包括实际发生的永久和临时占地、扰动地表植被面积、永久和临时弃渣量及变化情况等。</w:t>
      </w:r>
    </w:p>
    <w:p>
      <w:pPr>
        <w:spacing w:line="360" w:lineRule="auto"/>
        <w:ind w:firstLine="480" w:firstLineChars="200"/>
        <w:rPr>
          <w:rFonts w:eastAsia="仿宋_GB2312"/>
          <w:color w:val="000000" w:themeColor="text1"/>
          <w:szCs w:val="24"/>
        </w:rPr>
      </w:pPr>
      <w:r>
        <w:rPr>
          <w:rFonts w:eastAsia="仿宋_GB2312"/>
          <w:color w:val="000000" w:themeColor="text1"/>
          <w:szCs w:val="24"/>
        </w:rPr>
        <w:t>（4）水土流失状况</w:t>
      </w:r>
    </w:p>
    <w:p>
      <w:pPr>
        <w:spacing w:line="360" w:lineRule="auto"/>
        <w:ind w:firstLine="480" w:firstLineChars="200"/>
        <w:rPr>
          <w:rFonts w:eastAsia="仿宋_GB2312"/>
          <w:color w:val="000000" w:themeColor="text1"/>
        </w:rPr>
      </w:pPr>
      <w:r>
        <w:rPr>
          <w:rFonts w:eastAsia="仿宋_GB2312"/>
          <w:color w:val="000000" w:themeColor="text1"/>
          <w:szCs w:val="24"/>
        </w:rPr>
        <w:t>主要包括土壤侵蚀类型、形式、面积、分布及强度；各监测分区及其重点对象的土壤流失量。</w:t>
      </w:r>
    </w:p>
    <w:p>
      <w:pPr>
        <w:spacing w:line="360" w:lineRule="auto"/>
        <w:ind w:firstLine="480" w:firstLineChars="200"/>
        <w:rPr>
          <w:rFonts w:eastAsia="仿宋_GB2312"/>
          <w:color w:val="000000" w:themeColor="text1"/>
        </w:rPr>
      </w:pPr>
      <w:r>
        <w:rPr>
          <w:rFonts w:eastAsia="仿宋_GB2312"/>
          <w:color w:val="000000" w:themeColor="text1"/>
        </w:rPr>
        <w:t>（5）水土流失防治成效</w:t>
      </w:r>
    </w:p>
    <w:p>
      <w:pPr>
        <w:pStyle w:val="2"/>
        <w:spacing w:line="360" w:lineRule="auto"/>
        <w:ind w:left="0" w:leftChars="0" w:firstLine="480" w:firstLineChars="200"/>
        <w:rPr>
          <w:rFonts w:eastAsia="仿宋_GB2312"/>
          <w:color w:val="000000" w:themeColor="text1"/>
        </w:rPr>
      </w:pPr>
      <w:r>
        <w:rPr>
          <w:rFonts w:eastAsia="仿宋_GB2312"/>
          <w:color w:val="000000" w:themeColor="text1"/>
          <w:szCs w:val="24"/>
        </w:rPr>
        <w:t>主要包括实际采取水土保持工程、植物和临时措施的位置、数量，以及实施水土保持措施前后的防治效果对比情况等。</w:t>
      </w:r>
    </w:p>
    <w:p>
      <w:pPr>
        <w:spacing w:line="360" w:lineRule="auto"/>
        <w:ind w:firstLine="480" w:firstLineChars="200"/>
        <w:rPr>
          <w:rFonts w:eastAsia="仿宋_GB2312"/>
          <w:color w:val="000000" w:themeColor="text1"/>
          <w:szCs w:val="24"/>
        </w:rPr>
      </w:pPr>
      <w:r>
        <w:rPr>
          <w:rFonts w:eastAsia="仿宋_GB2312"/>
          <w:color w:val="000000" w:themeColor="text1"/>
          <w:szCs w:val="24"/>
        </w:rPr>
        <w:t>（6）</w:t>
      </w:r>
      <w:r>
        <w:rPr>
          <w:rFonts w:eastAsia="仿宋_GB2312"/>
          <w:color w:val="000000" w:themeColor="text1"/>
        </w:rPr>
        <w:t>水土流失危害</w:t>
      </w:r>
    </w:p>
    <w:p>
      <w:pPr>
        <w:spacing w:line="360" w:lineRule="auto"/>
        <w:ind w:firstLine="480" w:firstLineChars="200"/>
        <w:rPr>
          <w:rFonts w:eastAsia="仿宋_GB2312"/>
          <w:color w:val="000000" w:themeColor="text1"/>
          <w:szCs w:val="24"/>
        </w:rPr>
      </w:pPr>
      <w:r>
        <w:rPr>
          <w:rFonts w:eastAsia="仿宋_GB2312"/>
          <w:color w:val="000000" w:themeColor="text1"/>
          <w:szCs w:val="24"/>
        </w:rPr>
        <w:t>主要包括水土流失对主体工程造成危害的方式、数量和程度。</w:t>
      </w:r>
    </w:p>
    <w:p>
      <w:pPr>
        <w:spacing w:line="360" w:lineRule="auto"/>
        <w:rPr>
          <w:rFonts w:eastAsia="仿宋_GB2312"/>
          <w:snapToGrid w:val="0"/>
          <w:color w:val="000000" w:themeColor="text1"/>
          <w:szCs w:val="24"/>
        </w:rPr>
      </w:pPr>
      <w:r>
        <w:rPr>
          <w:rFonts w:eastAsia="仿宋_GB2312"/>
          <w:b/>
          <w:color w:val="000000" w:themeColor="text1"/>
        </w:rPr>
        <w:t>6.2.2监测方法</w:t>
      </w:r>
    </w:p>
    <w:p>
      <w:pPr>
        <w:spacing w:line="360" w:lineRule="auto"/>
        <w:ind w:firstLine="480" w:firstLineChars="200"/>
        <w:rPr>
          <w:rFonts w:eastAsia="仿宋_GB2312"/>
          <w:snapToGrid w:val="0"/>
          <w:color w:val="000000" w:themeColor="text1"/>
          <w:szCs w:val="24"/>
        </w:rPr>
      </w:pPr>
      <w:r>
        <w:rPr>
          <w:rFonts w:eastAsia="仿宋_GB2312"/>
          <w:color w:val="000000" w:themeColor="text1"/>
        </w:rPr>
        <w:t>根据《水利部办公厅关于进一步加强生产建设项目水土保持监测工作的通知》（办水保〔2020〕161号），</w:t>
      </w:r>
      <w:r>
        <w:rPr>
          <w:rFonts w:eastAsia="仿宋_GB2312"/>
          <w:color w:val="000000" w:themeColor="text1"/>
          <w:szCs w:val="24"/>
        </w:rPr>
        <w:t>监测单位应当针对不同监测内容和重点，综合采取地面观测、实地调查量测、无人机遥感等多种方式，充分运用互联网+大数据等高新信息技术手段，不断提高监测质量和水平，实现对生产建设项目水土流失的定量监测和过程控制。补充监测采用历史遥感影像分析、现场调查和资料查阅等方法</w:t>
      </w:r>
      <w:r>
        <w:rPr>
          <w:rFonts w:eastAsia="仿宋_GB2312"/>
          <w:snapToGrid w:val="0"/>
          <w:color w:val="000000" w:themeColor="text1"/>
          <w:szCs w:val="24"/>
        </w:rPr>
        <w:t>。</w:t>
      </w:r>
    </w:p>
    <w:p>
      <w:pPr>
        <w:spacing w:line="360" w:lineRule="auto"/>
        <w:ind w:firstLine="480" w:firstLineChars="200"/>
        <w:rPr>
          <w:rFonts w:eastAsia="仿宋_GB2312"/>
          <w:color w:val="000000" w:themeColor="text1"/>
          <w:szCs w:val="24"/>
        </w:rPr>
      </w:pPr>
      <w:r>
        <w:rPr>
          <w:rFonts w:eastAsia="仿宋_GB2312"/>
          <w:color w:val="000000" w:themeColor="text1"/>
          <w:szCs w:val="24"/>
        </w:rPr>
        <w:t>（1）补充监测</w:t>
      </w:r>
    </w:p>
    <w:p>
      <w:pPr>
        <w:spacing w:line="360" w:lineRule="auto"/>
        <w:ind w:firstLine="480" w:firstLineChars="200"/>
        <w:rPr>
          <w:rFonts w:eastAsia="仿宋_GB2312"/>
          <w:snapToGrid w:val="0"/>
          <w:color w:val="000000" w:themeColor="text1"/>
          <w:szCs w:val="24"/>
        </w:rPr>
      </w:pPr>
      <w:r>
        <w:rPr>
          <w:rFonts w:eastAsia="仿宋_GB2312"/>
          <w:color w:val="000000" w:themeColor="text1"/>
          <w:szCs w:val="24"/>
        </w:rPr>
        <w:t>补充监测采用历史遥感影像分析、现场调查和资料查阅等方法。</w:t>
      </w:r>
    </w:p>
    <w:p>
      <w:pPr>
        <w:spacing w:line="360" w:lineRule="auto"/>
        <w:ind w:firstLine="480" w:firstLineChars="200"/>
        <w:rPr>
          <w:rFonts w:eastAsia="仿宋_GB2312"/>
          <w:color w:val="000000" w:themeColor="text1"/>
        </w:rPr>
      </w:pPr>
      <w:r>
        <w:rPr>
          <w:rFonts w:eastAsia="仿宋_GB2312"/>
          <w:color w:val="000000" w:themeColor="text1"/>
        </w:rPr>
        <w:t>（2）地面观测</w:t>
      </w:r>
    </w:p>
    <w:p>
      <w:pPr>
        <w:spacing w:line="360" w:lineRule="auto"/>
        <w:ind w:firstLine="480" w:firstLineChars="200"/>
        <w:rPr>
          <w:rFonts w:eastAsia="仿宋_GB2312"/>
          <w:color w:val="000000" w:themeColor="text1"/>
        </w:rPr>
      </w:pPr>
      <w:r>
        <w:rPr>
          <w:rFonts w:eastAsia="仿宋_GB2312"/>
          <w:color w:val="000000" w:themeColor="text1"/>
        </w:rPr>
        <w:t>1）测钎法</w:t>
      </w:r>
    </w:p>
    <w:p>
      <w:pPr>
        <w:spacing w:line="360" w:lineRule="auto"/>
        <w:ind w:firstLine="480" w:firstLineChars="200"/>
        <w:rPr>
          <w:rFonts w:eastAsia="仿宋_GB2312"/>
          <w:color w:val="000000" w:themeColor="text1"/>
        </w:rPr>
      </w:pPr>
      <w:r>
        <w:rPr>
          <w:rFonts w:eastAsia="仿宋_GB2312"/>
          <w:color w:val="000000" w:themeColor="text1"/>
        </w:rPr>
        <w:t>在选定的坡面上，将φ0.5cm～φ1.0cm，长50cm～100cm的测钎按相距1m×1m纵横各3排垂直插入坡面，测钎顶端与坡面齐平，并在顶端上涂上红漆，编号记录。每次暴雨后和汛期终了、大风过后以及时段末，观测测钎顶端露出地面的高度，计算土壤侵蚀深度和土壤侵蚀量。</w:t>
      </w:r>
    </w:p>
    <w:p>
      <w:pPr>
        <w:spacing w:line="360" w:lineRule="auto"/>
        <w:ind w:firstLine="480" w:firstLineChars="200"/>
        <w:rPr>
          <w:rFonts w:eastAsia="仿宋_GB2312"/>
          <w:color w:val="000000" w:themeColor="text1"/>
        </w:rPr>
      </w:pPr>
      <w:r>
        <w:rPr>
          <w:rFonts w:eastAsia="仿宋_GB2312"/>
          <w:color w:val="000000" w:themeColor="text1"/>
        </w:rPr>
        <w:t>2）侵蚀沟量测法</w:t>
      </w:r>
    </w:p>
    <w:p>
      <w:pPr>
        <w:spacing w:line="360" w:lineRule="auto"/>
        <w:ind w:firstLine="480" w:firstLineChars="200"/>
        <w:rPr>
          <w:rFonts w:eastAsia="仿宋_GB2312"/>
          <w:color w:val="000000" w:themeColor="text1"/>
        </w:rPr>
      </w:pPr>
      <w:r>
        <w:rPr>
          <w:rFonts w:eastAsia="仿宋_GB2312"/>
          <w:color w:val="000000" w:themeColor="text1"/>
        </w:rPr>
        <w:t>重点监测边坡的水蚀量测，量测坡面（与测钎法同一坡面）形成初期的坡度、坡长、地面组成物质、容重等，典型场次降雨或多降雨后侵蚀沟数量、深度、长度进行测量，计算得出小区沟蚀量。</w:t>
      </w:r>
    </w:p>
    <w:p>
      <w:pPr>
        <w:spacing w:line="360" w:lineRule="auto"/>
        <w:ind w:firstLine="480" w:firstLineChars="200"/>
        <w:rPr>
          <w:rFonts w:eastAsia="仿宋_GB2312"/>
          <w:color w:val="000000" w:themeColor="text1"/>
        </w:rPr>
      </w:pPr>
      <w:r>
        <w:rPr>
          <w:rFonts w:eastAsia="仿宋_GB2312"/>
          <w:color w:val="000000" w:themeColor="text1"/>
        </w:rPr>
        <w:t>（2）实地调查量测</w:t>
      </w:r>
    </w:p>
    <w:p>
      <w:pPr>
        <w:spacing w:line="360" w:lineRule="auto"/>
        <w:ind w:firstLine="480" w:firstLineChars="200"/>
        <w:rPr>
          <w:rFonts w:eastAsia="仿宋_GB2312"/>
          <w:color w:val="000000" w:themeColor="text1"/>
        </w:rPr>
      </w:pPr>
      <w:r>
        <w:rPr>
          <w:rFonts w:eastAsia="仿宋_GB2312"/>
          <w:color w:val="000000" w:themeColor="text1"/>
        </w:rPr>
        <w:t>地形、地貌植被的扰动面积及扰动强度的变化，采用实地量测、地形测量等方法，对地形和植被的变化进行监测。</w:t>
      </w:r>
    </w:p>
    <w:p>
      <w:pPr>
        <w:spacing w:line="360" w:lineRule="auto"/>
        <w:ind w:firstLine="480" w:firstLineChars="200"/>
        <w:rPr>
          <w:rFonts w:eastAsia="仿宋_GB2312"/>
          <w:color w:val="000000" w:themeColor="text1"/>
        </w:rPr>
      </w:pPr>
      <w:r>
        <w:rPr>
          <w:rFonts w:eastAsia="仿宋_GB2312"/>
          <w:color w:val="000000" w:themeColor="text1"/>
        </w:rPr>
        <w:t>（3）</w:t>
      </w:r>
      <w:r>
        <w:rPr>
          <w:rFonts w:eastAsia="仿宋_GB2312"/>
          <w:color w:val="000000" w:themeColor="text1"/>
          <w:szCs w:val="24"/>
        </w:rPr>
        <w:t>无人机遥感</w:t>
      </w:r>
    </w:p>
    <w:p>
      <w:pPr>
        <w:spacing w:line="360" w:lineRule="auto"/>
        <w:ind w:firstLine="480" w:firstLineChars="200"/>
        <w:rPr>
          <w:rFonts w:eastAsia="仿宋_GB2312"/>
          <w:color w:val="000000" w:themeColor="text1"/>
        </w:rPr>
      </w:pPr>
      <w:r>
        <w:rPr>
          <w:rFonts w:eastAsia="仿宋_GB2312"/>
          <w:color w:val="000000" w:themeColor="text1"/>
        </w:rPr>
        <w:t>采用航拍技术，采集航拍影像资料通过软件处理，形成鸟瞰图、正射影像图、矢量化数据等，可科学、完整、有效、直观的反映现场情况，为水土保持监测工作提供科学依据。</w:t>
      </w:r>
    </w:p>
    <w:p>
      <w:pPr>
        <w:spacing w:line="360" w:lineRule="auto"/>
        <w:rPr>
          <w:rFonts w:eastAsia="仿宋_GB2312"/>
          <w:b/>
          <w:color w:val="000000" w:themeColor="text1"/>
        </w:rPr>
      </w:pPr>
      <w:r>
        <w:rPr>
          <w:rFonts w:eastAsia="仿宋_GB2312"/>
          <w:b/>
          <w:color w:val="000000" w:themeColor="text1"/>
        </w:rPr>
        <w:t>6.2.3监测频次</w:t>
      </w:r>
    </w:p>
    <w:p>
      <w:pPr>
        <w:spacing w:line="360" w:lineRule="auto"/>
        <w:ind w:firstLine="480" w:firstLineChars="200"/>
        <w:jc w:val="both"/>
        <w:rPr>
          <w:rFonts w:eastAsia="仿宋_GB2312"/>
          <w:color w:val="000000" w:themeColor="text1"/>
        </w:rPr>
      </w:pPr>
      <w:r>
        <w:rPr>
          <w:rFonts w:eastAsia="仿宋_GB2312"/>
          <w:color w:val="000000" w:themeColor="text1"/>
        </w:rPr>
        <w:t>根据《水利部办公厅关于进一步加强生产建设项目水土保持监测工作的通知》（办水保〔2020〕161号），监测频次要求如下：</w:t>
      </w:r>
    </w:p>
    <w:p>
      <w:pPr>
        <w:spacing w:line="360" w:lineRule="auto"/>
        <w:ind w:firstLine="480" w:firstLineChars="200"/>
        <w:rPr>
          <w:rFonts w:eastAsia="仿宋_GB2312"/>
          <w:color w:val="000000" w:themeColor="text1"/>
        </w:rPr>
      </w:pPr>
      <w:r>
        <w:rPr>
          <w:rFonts w:eastAsia="仿宋_GB2312"/>
          <w:color w:val="000000" w:themeColor="text1"/>
        </w:rPr>
        <w:t>水土流失本底值在开工前</w:t>
      </w:r>
      <w:r>
        <w:rPr>
          <w:rFonts w:eastAsia="仿宋_GB2312"/>
          <w:color w:val="000000" w:themeColor="text1"/>
          <w:szCs w:val="24"/>
        </w:rPr>
        <w:t>应</w:t>
      </w:r>
      <w:r>
        <w:rPr>
          <w:rFonts w:eastAsia="仿宋_GB2312"/>
          <w:color w:val="000000" w:themeColor="text1"/>
        </w:rPr>
        <w:t>至少监测1次。</w:t>
      </w:r>
    </w:p>
    <w:p>
      <w:pPr>
        <w:spacing w:line="360" w:lineRule="auto"/>
        <w:ind w:firstLine="480" w:firstLineChars="200"/>
        <w:rPr>
          <w:rFonts w:eastAsia="仿宋_GB2312"/>
          <w:color w:val="000000" w:themeColor="text1"/>
          <w:szCs w:val="24"/>
        </w:rPr>
      </w:pPr>
      <w:r>
        <w:rPr>
          <w:rFonts w:eastAsia="仿宋_GB2312"/>
          <w:color w:val="000000" w:themeColor="text1"/>
          <w:szCs w:val="24"/>
        </w:rPr>
        <w:t>水土流失影响因素应至少每年监测1次。</w:t>
      </w:r>
    </w:p>
    <w:p>
      <w:pPr>
        <w:spacing w:line="360" w:lineRule="auto"/>
        <w:ind w:firstLine="480" w:firstLineChars="200"/>
        <w:jc w:val="both"/>
        <w:rPr>
          <w:rFonts w:eastAsia="仿宋_GB2312"/>
          <w:color w:val="000000" w:themeColor="text1"/>
        </w:rPr>
      </w:pPr>
      <w:r>
        <w:rPr>
          <w:rFonts w:eastAsia="仿宋_GB2312"/>
          <w:color w:val="000000" w:themeColor="text1"/>
        </w:rPr>
        <w:t>扰动土地应至少每月监测1次。</w:t>
      </w:r>
    </w:p>
    <w:p>
      <w:pPr>
        <w:spacing w:line="360" w:lineRule="auto"/>
        <w:ind w:firstLine="480" w:firstLineChars="200"/>
        <w:jc w:val="both"/>
        <w:rPr>
          <w:rFonts w:eastAsia="仿宋_GB2312"/>
          <w:color w:val="000000" w:themeColor="text1"/>
        </w:rPr>
      </w:pPr>
      <w:r>
        <w:rPr>
          <w:rFonts w:eastAsia="仿宋_GB2312"/>
          <w:color w:val="000000" w:themeColor="text1"/>
        </w:rPr>
        <w:t>水土流失状况应至少每月监测1次，发生强降水等情况后应及时加测。其中土壤流失量结合拦挡、排水等措施，设置必要的控制站，进行定量观测。</w:t>
      </w:r>
    </w:p>
    <w:p>
      <w:pPr>
        <w:spacing w:line="360" w:lineRule="auto"/>
        <w:ind w:firstLine="480" w:firstLineChars="200"/>
        <w:jc w:val="both"/>
        <w:rPr>
          <w:rFonts w:eastAsia="仿宋_GB2312"/>
          <w:color w:val="000000" w:themeColor="text1"/>
        </w:rPr>
      </w:pPr>
      <w:r>
        <w:rPr>
          <w:rFonts w:eastAsia="仿宋_GB2312"/>
          <w:color w:val="000000" w:themeColor="text1"/>
        </w:rPr>
        <w:t>水土流失防治成效应至少每季度监测1次，其中临时措施应至少每月监测1次。</w:t>
      </w:r>
    </w:p>
    <w:p>
      <w:pPr>
        <w:spacing w:line="360" w:lineRule="auto"/>
        <w:ind w:firstLine="480" w:firstLineChars="200"/>
        <w:jc w:val="both"/>
        <w:rPr>
          <w:rFonts w:eastAsia="仿宋_GB2312"/>
          <w:b/>
          <w:color w:val="000000" w:themeColor="text1"/>
          <w:szCs w:val="24"/>
        </w:rPr>
      </w:pPr>
      <w:r>
        <w:rPr>
          <w:rFonts w:eastAsia="仿宋_GB2312"/>
          <w:color w:val="000000" w:themeColor="text1"/>
        </w:rPr>
        <w:t>水土流失危害应结合上述监测内容一并开展。</w:t>
      </w:r>
    </w:p>
    <w:tbl>
      <w:tblPr>
        <w:tblStyle w:val="23"/>
        <w:tblW w:w="4999"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1231"/>
        <w:gridCol w:w="3749"/>
        <w:gridCol w:w="1281"/>
        <w:gridCol w:w="146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2" w:type="pc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时段</w:t>
            </w:r>
          </w:p>
        </w:tc>
        <w:tc>
          <w:tcPr>
            <w:tcW w:w="2920" w:type="pct"/>
            <w:gridSpan w:val="2"/>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监测内容</w:t>
            </w:r>
          </w:p>
        </w:tc>
        <w:tc>
          <w:tcPr>
            <w:tcW w:w="751" w:type="pc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监测方法</w:t>
            </w:r>
          </w:p>
        </w:tc>
        <w:tc>
          <w:tcPr>
            <w:tcW w:w="856" w:type="pc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2" w:type="pct"/>
            <w:vMerge w:val="restar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施工准备期</w:t>
            </w:r>
          </w:p>
        </w:tc>
        <w:tc>
          <w:tcPr>
            <w:tcW w:w="722" w:type="pc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水土流失本底值</w:t>
            </w:r>
          </w:p>
        </w:tc>
        <w:tc>
          <w:tcPr>
            <w:tcW w:w="2197" w:type="pct"/>
            <w:tcBorders>
              <w:tl2br w:val="nil"/>
              <w:tr2bl w:val="nil"/>
            </w:tcBorders>
            <w:vAlign w:val="center"/>
          </w:tcPr>
          <w:p>
            <w:pPr>
              <w:spacing w:line="240" w:lineRule="auto"/>
              <w:rPr>
                <w:rFonts w:eastAsia="仿宋_GB2312"/>
                <w:bCs/>
                <w:color w:val="000000" w:themeColor="text1"/>
                <w:sz w:val="21"/>
                <w:szCs w:val="21"/>
              </w:rPr>
            </w:pPr>
            <w:r>
              <w:rPr>
                <w:rFonts w:eastAsia="仿宋_GB2312"/>
                <w:bCs/>
                <w:color w:val="000000" w:themeColor="text1"/>
                <w:sz w:val="21"/>
                <w:szCs w:val="21"/>
              </w:rPr>
              <w:t>气象水文、降雨、地形地貌、地表物质组成、植被等情况</w:t>
            </w:r>
          </w:p>
        </w:tc>
        <w:tc>
          <w:tcPr>
            <w:tcW w:w="751" w:type="pc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调查监测</w:t>
            </w:r>
          </w:p>
        </w:tc>
        <w:tc>
          <w:tcPr>
            <w:tcW w:w="856" w:type="pc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color w:val="000000" w:themeColor="text1"/>
                <w:sz w:val="21"/>
                <w:szCs w:val="21"/>
              </w:rPr>
              <w:t>1次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2" w:type="pct"/>
            <w:vMerge w:val="continue"/>
            <w:tcBorders>
              <w:tl2br w:val="nil"/>
              <w:tr2bl w:val="nil"/>
            </w:tcBorders>
            <w:vAlign w:val="center"/>
          </w:tcPr>
          <w:p>
            <w:pPr>
              <w:spacing w:line="240" w:lineRule="auto"/>
              <w:jc w:val="center"/>
              <w:rPr>
                <w:rFonts w:eastAsia="仿宋_GB2312"/>
                <w:bCs/>
                <w:color w:val="000000" w:themeColor="text1"/>
                <w:sz w:val="21"/>
                <w:szCs w:val="21"/>
              </w:rPr>
            </w:pPr>
          </w:p>
        </w:tc>
        <w:tc>
          <w:tcPr>
            <w:tcW w:w="722" w:type="pc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水土流失</w:t>
            </w:r>
          </w:p>
          <w:p>
            <w:pPr>
              <w:spacing w:line="240" w:lineRule="auto"/>
              <w:jc w:val="center"/>
              <w:rPr>
                <w:rFonts w:eastAsia="仿宋_GB2312"/>
                <w:bCs/>
                <w:color w:val="000000" w:themeColor="text1"/>
                <w:sz w:val="21"/>
                <w:szCs w:val="21"/>
              </w:rPr>
            </w:pPr>
            <w:r>
              <w:rPr>
                <w:rFonts w:eastAsia="仿宋_GB2312"/>
                <w:bCs/>
                <w:color w:val="000000" w:themeColor="text1"/>
                <w:sz w:val="21"/>
                <w:szCs w:val="21"/>
              </w:rPr>
              <w:t>影响因素</w:t>
            </w:r>
          </w:p>
        </w:tc>
        <w:tc>
          <w:tcPr>
            <w:tcW w:w="2197" w:type="pct"/>
            <w:tcBorders>
              <w:tl2br w:val="nil"/>
              <w:tr2bl w:val="nil"/>
            </w:tcBorders>
            <w:vAlign w:val="center"/>
          </w:tcPr>
          <w:p>
            <w:pPr>
              <w:spacing w:line="240" w:lineRule="auto"/>
              <w:rPr>
                <w:rFonts w:eastAsia="仿宋_GB2312"/>
                <w:bCs/>
                <w:color w:val="000000" w:themeColor="text1"/>
                <w:sz w:val="21"/>
                <w:szCs w:val="21"/>
              </w:rPr>
            </w:pPr>
            <w:r>
              <w:rPr>
                <w:rFonts w:eastAsia="仿宋_GB2312"/>
                <w:bCs/>
                <w:color w:val="000000" w:themeColor="text1"/>
                <w:sz w:val="21"/>
                <w:szCs w:val="21"/>
              </w:rPr>
              <w:t>项目建设对原地表、水土保持设施、植被的压占和损毁情况</w:t>
            </w:r>
          </w:p>
        </w:tc>
        <w:tc>
          <w:tcPr>
            <w:tcW w:w="751" w:type="pc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调查监测</w:t>
            </w:r>
          </w:p>
        </w:tc>
        <w:tc>
          <w:tcPr>
            <w:tcW w:w="856" w:type="pc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color w:val="000000" w:themeColor="text1"/>
                <w:sz w:val="21"/>
                <w:szCs w:val="21"/>
              </w:rPr>
              <w:t>1次/年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2" w:type="pct"/>
            <w:vMerge w:val="restar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建</w:t>
            </w:r>
          </w:p>
          <w:p>
            <w:pPr>
              <w:spacing w:line="240" w:lineRule="auto"/>
              <w:jc w:val="center"/>
              <w:rPr>
                <w:rFonts w:eastAsia="仿宋_GB2312"/>
                <w:bCs/>
                <w:color w:val="000000" w:themeColor="text1"/>
                <w:sz w:val="21"/>
                <w:szCs w:val="21"/>
              </w:rPr>
            </w:pPr>
            <w:r>
              <w:rPr>
                <w:rFonts w:eastAsia="仿宋_GB2312"/>
                <w:bCs/>
                <w:color w:val="000000" w:themeColor="text1"/>
                <w:sz w:val="21"/>
                <w:szCs w:val="21"/>
              </w:rPr>
              <w:t>设</w:t>
            </w:r>
          </w:p>
          <w:p>
            <w:pPr>
              <w:spacing w:line="240" w:lineRule="auto"/>
              <w:jc w:val="center"/>
              <w:rPr>
                <w:rFonts w:eastAsia="仿宋_GB2312"/>
                <w:bCs/>
                <w:color w:val="000000" w:themeColor="text1"/>
                <w:sz w:val="21"/>
                <w:szCs w:val="21"/>
              </w:rPr>
            </w:pPr>
            <w:r>
              <w:rPr>
                <w:rFonts w:eastAsia="仿宋_GB2312"/>
                <w:bCs/>
                <w:color w:val="000000" w:themeColor="text1"/>
                <w:sz w:val="21"/>
                <w:szCs w:val="21"/>
              </w:rPr>
              <w:t>期</w:t>
            </w:r>
          </w:p>
        </w:tc>
        <w:tc>
          <w:tcPr>
            <w:tcW w:w="722" w:type="pc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扰动土地</w:t>
            </w:r>
          </w:p>
        </w:tc>
        <w:tc>
          <w:tcPr>
            <w:tcW w:w="2197" w:type="pct"/>
            <w:tcBorders>
              <w:tl2br w:val="nil"/>
              <w:tr2bl w:val="nil"/>
            </w:tcBorders>
            <w:vAlign w:val="center"/>
          </w:tcPr>
          <w:p>
            <w:pPr>
              <w:spacing w:line="240" w:lineRule="auto"/>
              <w:rPr>
                <w:rFonts w:eastAsia="仿宋_GB2312"/>
                <w:bCs/>
                <w:color w:val="000000" w:themeColor="text1"/>
                <w:sz w:val="21"/>
                <w:szCs w:val="21"/>
              </w:rPr>
            </w:pPr>
            <w:r>
              <w:rPr>
                <w:rFonts w:eastAsia="仿宋_GB2312"/>
                <w:bCs/>
                <w:color w:val="000000" w:themeColor="text1"/>
                <w:sz w:val="21"/>
                <w:szCs w:val="21"/>
              </w:rPr>
              <w:t>扰动土地的类型、面积</w:t>
            </w:r>
          </w:p>
        </w:tc>
        <w:tc>
          <w:tcPr>
            <w:tcW w:w="751" w:type="pc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调查监测</w:t>
            </w:r>
          </w:p>
        </w:tc>
        <w:tc>
          <w:tcPr>
            <w:tcW w:w="856" w:type="pct"/>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至少每月1次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2" w:type="pct"/>
            <w:vMerge w:val="continue"/>
            <w:tcBorders>
              <w:tl2br w:val="nil"/>
              <w:tr2bl w:val="nil"/>
            </w:tcBorders>
            <w:vAlign w:val="center"/>
          </w:tcPr>
          <w:p>
            <w:pPr>
              <w:spacing w:line="240" w:lineRule="auto"/>
              <w:jc w:val="center"/>
              <w:rPr>
                <w:rFonts w:eastAsia="仿宋_GB2312"/>
                <w:bCs/>
                <w:color w:val="000000" w:themeColor="text1"/>
                <w:sz w:val="21"/>
                <w:szCs w:val="21"/>
              </w:rPr>
            </w:pPr>
          </w:p>
        </w:tc>
        <w:tc>
          <w:tcPr>
            <w:tcW w:w="722" w:type="pct"/>
            <w:vMerge w:val="restar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水土流失</w:t>
            </w:r>
          </w:p>
          <w:p>
            <w:pPr>
              <w:spacing w:line="240" w:lineRule="auto"/>
              <w:jc w:val="center"/>
              <w:rPr>
                <w:rFonts w:eastAsia="仿宋_GB2312"/>
                <w:bCs/>
                <w:color w:val="000000" w:themeColor="text1"/>
                <w:sz w:val="21"/>
                <w:szCs w:val="21"/>
              </w:rPr>
            </w:pPr>
            <w:r>
              <w:rPr>
                <w:rFonts w:eastAsia="仿宋_GB2312"/>
                <w:bCs/>
                <w:color w:val="000000" w:themeColor="text1"/>
                <w:sz w:val="21"/>
                <w:szCs w:val="21"/>
              </w:rPr>
              <w:t>状况</w:t>
            </w:r>
          </w:p>
        </w:tc>
        <w:tc>
          <w:tcPr>
            <w:tcW w:w="2197" w:type="pct"/>
            <w:tcBorders>
              <w:tl2br w:val="nil"/>
              <w:tr2bl w:val="nil"/>
            </w:tcBorders>
            <w:vAlign w:val="center"/>
          </w:tcPr>
          <w:p>
            <w:pPr>
              <w:spacing w:line="240" w:lineRule="auto"/>
              <w:rPr>
                <w:rFonts w:eastAsia="仿宋_GB2312"/>
                <w:bCs/>
                <w:color w:val="000000" w:themeColor="text1"/>
                <w:sz w:val="21"/>
                <w:szCs w:val="21"/>
              </w:rPr>
            </w:pPr>
            <w:r>
              <w:rPr>
                <w:rFonts w:eastAsia="仿宋_GB2312"/>
                <w:bCs/>
                <w:color w:val="000000" w:themeColor="text1"/>
                <w:sz w:val="21"/>
                <w:szCs w:val="21"/>
              </w:rPr>
              <w:t>水土流失的类型、形式、面积、分布及强度</w:t>
            </w:r>
          </w:p>
        </w:tc>
        <w:tc>
          <w:tcPr>
            <w:tcW w:w="751" w:type="pc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定位监测</w:t>
            </w:r>
          </w:p>
        </w:tc>
        <w:tc>
          <w:tcPr>
            <w:tcW w:w="856" w:type="pc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color w:val="000000" w:themeColor="text1"/>
                <w:sz w:val="21"/>
                <w:szCs w:val="21"/>
              </w:rPr>
              <w:t>至少每月1次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2" w:type="pct"/>
            <w:vMerge w:val="continue"/>
            <w:tcBorders>
              <w:tl2br w:val="nil"/>
              <w:tr2bl w:val="nil"/>
            </w:tcBorders>
            <w:vAlign w:val="center"/>
          </w:tcPr>
          <w:p>
            <w:pPr>
              <w:spacing w:line="240" w:lineRule="auto"/>
              <w:jc w:val="center"/>
              <w:rPr>
                <w:rFonts w:eastAsia="仿宋_GB2312"/>
                <w:bCs/>
                <w:color w:val="000000" w:themeColor="text1"/>
                <w:sz w:val="21"/>
                <w:szCs w:val="21"/>
              </w:rPr>
            </w:pPr>
          </w:p>
        </w:tc>
        <w:tc>
          <w:tcPr>
            <w:tcW w:w="722" w:type="pct"/>
            <w:vMerge w:val="continue"/>
            <w:tcBorders>
              <w:tl2br w:val="nil"/>
              <w:tr2bl w:val="nil"/>
            </w:tcBorders>
            <w:vAlign w:val="center"/>
          </w:tcPr>
          <w:p>
            <w:pPr>
              <w:spacing w:line="240" w:lineRule="auto"/>
              <w:jc w:val="center"/>
              <w:rPr>
                <w:rFonts w:eastAsia="仿宋_GB2312"/>
                <w:bCs/>
                <w:color w:val="000000" w:themeColor="text1"/>
                <w:sz w:val="21"/>
                <w:szCs w:val="21"/>
              </w:rPr>
            </w:pPr>
          </w:p>
        </w:tc>
        <w:tc>
          <w:tcPr>
            <w:tcW w:w="2197" w:type="pct"/>
            <w:tcBorders>
              <w:tl2br w:val="nil"/>
              <w:tr2bl w:val="nil"/>
            </w:tcBorders>
            <w:vAlign w:val="center"/>
          </w:tcPr>
          <w:p>
            <w:pPr>
              <w:spacing w:line="240" w:lineRule="auto"/>
              <w:rPr>
                <w:rFonts w:eastAsia="仿宋_GB2312"/>
                <w:bCs/>
                <w:color w:val="000000" w:themeColor="text1"/>
                <w:sz w:val="21"/>
                <w:szCs w:val="21"/>
              </w:rPr>
            </w:pPr>
            <w:r>
              <w:rPr>
                <w:rFonts w:eastAsia="仿宋_GB2312"/>
                <w:bCs/>
                <w:color w:val="000000" w:themeColor="text1"/>
                <w:sz w:val="21"/>
                <w:szCs w:val="21"/>
              </w:rPr>
              <w:t>土壤流失量</w:t>
            </w:r>
          </w:p>
        </w:tc>
        <w:tc>
          <w:tcPr>
            <w:tcW w:w="751" w:type="pc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定位监测</w:t>
            </w:r>
          </w:p>
        </w:tc>
        <w:tc>
          <w:tcPr>
            <w:tcW w:w="856" w:type="pc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color w:val="000000" w:themeColor="text1"/>
                <w:sz w:val="21"/>
                <w:szCs w:val="21"/>
              </w:rPr>
              <w:t>至少每月1次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2" w:type="pct"/>
            <w:vMerge w:val="continue"/>
            <w:tcBorders>
              <w:tl2br w:val="nil"/>
              <w:tr2bl w:val="nil"/>
            </w:tcBorders>
            <w:vAlign w:val="center"/>
          </w:tcPr>
          <w:p>
            <w:pPr>
              <w:spacing w:line="240" w:lineRule="auto"/>
              <w:jc w:val="center"/>
              <w:rPr>
                <w:rFonts w:eastAsia="仿宋_GB2312"/>
                <w:bCs/>
                <w:color w:val="000000" w:themeColor="text1"/>
                <w:sz w:val="21"/>
                <w:szCs w:val="21"/>
              </w:rPr>
            </w:pPr>
          </w:p>
        </w:tc>
        <w:tc>
          <w:tcPr>
            <w:tcW w:w="722" w:type="pct"/>
            <w:vMerge w:val="restar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水土流失危害</w:t>
            </w:r>
          </w:p>
        </w:tc>
        <w:tc>
          <w:tcPr>
            <w:tcW w:w="2197" w:type="pct"/>
            <w:tcBorders>
              <w:tl2br w:val="nil"/>
              <w:tr2bl w:val="nil"/>
            </w:tcBorders>
            <w:vAlign w:val="center"/>
          </w:tcPr>
          <w:p>
            <w:pPr>
              <w:spacing w:line="240" w:lineRule="auto"/>
              <w:rPr>
                <w:rFonts w:eastAsia="仿宋_GB2312"/>
                <w:bCs/>
                <w:color w:val="000000" w:themeColor="text1"/>
                <w:sz w:val="21"/>
                <w:szCs w:val="21"/>
              </w:rPr>
            </w:pPr>
            <w:r>
              <w:rPr>
                <w:rFonts w:eastAsia="仿宋_GB2312"/>
                <w:bCs/>
                <w:color w:val="000000" w:themeColor="text1"/>
                <w:sz w:val="21"/>
                <w:szCs w:val="21"/>
              </w:rPr>
              <w:t>对主体工程造成危害的方式、数量和程度</w:t>
            </w:r>
          </w:p>
        </w:tc>
        <w:tc>
          <w:tcPr>
            <w:tcW w:w="751" w:type="pc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color w:val="000000" w:themeColor="text1"/>
                <w:sz w:val="21"/>
                <w:szCs w:val="21"/>
              </w:rPr>
              <w:t>调查监测</w:t>
            </w:r>
          </w:p>
        </w:tc>
        <w:tc>
          <w:tcPr>
            <w:tcW w:w="856" w:type="pct"/>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1次/3个月</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2" w:type="pct"/>
            <w:vMerge w:val="continue"/>
            <w:tcBorders>
              <w:tl2br w:val="nil"/>
              <w:tr2bl w:val="nil"/>
            </w:tcBorders>
            <w:vAlign w:val="center"/>
          </w:tcPr>
          <w:p>
            <w:pPr>
              <w:spacing w:line="240" w:lineRule="auto"/>
              <w:jc w:val="center"/>
              <w:rPr>
                <w:rFonts w:eastAsia="仿宋_GB2312"/>
                <w:bCs/>
                <w:color w:val="000000" w:themeColor="text1"/>
                <w:sz w:val="21"/>
                <w:szCs w:val="21"/>
              </w:rPr>
            </w:pPr>
          </w:p>
        </w:tc>
        <w:tc>
          <w:tcPr>
            <w:tcW w:w="722" w:type="pct"/>
            <w:vMerge w:val="continue"/>
            <w:tcBorders>
              <w:tl2br w:val="nil"/>
              <w:tr2bl w:val="nil"/>
            </w:tcBorders>
            <w:vAlign w:val="center"/>
          </w:tcPr>
          <w:p>
            <w:pPr>
              <w:spacing w:line="240" w:lineRule="auto"/>
              <w:jc w:val="center"/>
              <w:rPr>
                <w:rFonts w:eastAsia="仿宋_GB2312"/>
                <w:bCs/>
                <w:color w:val="000000" w:themeColor="text1"/>
                <w:sz w:val="21"/>
                <w:szCs w:val="21"/>
              </w:rPr>
            </w:pPr>
          </w:p>
        </w:tc>
        <w:tc>
          <w:tcPr>
            <w:tcW w:w="2197" w:type="pct"/>
            <w:tcBorders>
              <w:tl2br w:val="nil"/>
              <w:tr2bl w:val="nil"/>
            </w:tcBorders>
            <w:vAlign w:val="center"/>
          </w:tcPr>
          <w:p>
            <w:pPr>
              <w:spacing w:line="240" w:lineRule="auto"/>
              <w:rPr>
                <w:rFonts w:eastAsia="仿宋_GB2312"/>
                <w:bCs/>
                <w:color w:val="000000" w:themeColor="text1"/>
                <w:sz w:val="21"/>
                <w:szCs w:val="21"/>
              </w:rPr>
            </w:pPr>
            <w:r>
              <w:rPr>
                <w:rFonts w:eastAsia="仿宋_GB2312"/>
                <w:bCs/>
                <w:color w:val="000000" w:themeColor="text1"/>
                <w:sz w:val="21"/>
                <w:szCs w:val="21"/>
              </w:rPr>
              <w:t>对周边重大工程造成的危害</w:t>
            </w:r>
          </w:p>
        </w:tc>
        <w:tc>
          <w:tcPr>
            <w:tcW w:w="751" w:type="pc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color w:val="000000" w:themeColor="text1"/>
                <w:sz w:val="21"/>
                <w:szCs w:val="21"/>
              </w:rPr>
              <w:t>调查监测</w:t>
            </w:r>
          </w:p>
        </w:tc>
        <w:tc>
          <w:tcPr>
            <w:tcW w:w="856" w:type="pct"/>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1次/3个月</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2" w:type="pct"/>
            <w:vMerge w:val="continue"/>
            <w:tcBorders>
              <w:tl2br w:val="nil"/>
              <w:tr2bl w:val="nil"/>
            </w:tcBorders>
            <w:vAlign w:val="center"/>
          </w:tcPr>
          <w:p>
            <w:pPr>
              <w:spacing w:line="240" w:lineRule="auto"/>
              <w:jc w:val="center"/>
              <w:rPr>
                <w:rFonts w:eastAsia="仿宋_GB2312"/>
                <w:bCs/>
                <w:color w:val="000000" w:themeColor="text1"/>
                <w:sz w:val="21"/>
                <w:szCs w:val="21"/>
              </w:rPr>
            </w:pPr>
          </w:p>
        </w:tc>
        <w:tc>
          <w:tcPr>
            <w:tcW w:w="722" w:type="pct"/>
            <w:vMerge w:val="restar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水土流失防治成效</w:t>
            </w:r>
          </w:p>
        </w:tc>
        <w:tc>
          <w:tcPr>
            <w:tcW w:w="2197" w:type="pct"/>
            <w:tcBorders>
              <w:tl2br w:val="nil"/>
              <w:tr2bl w:val="nil"/>
            </w:tcBorders>
            <w:vAlign w:val="center"/>
          </w:tcPr>
          <w:p>
            <w:pPr>
              <w:spacing w:line="240" w:lineRule="auto"/>
              <w:rPr>
                <w:rFonts w:eastAsia="仿宋_GB2312"/>
                <w:bCs/>
                <w:color w:val="000000" w:themeColor="text1"/>
                <w:sz w:val="21"/>
                <w:szCs w:val="21"/>
              </w:rPr>
            </w:pPr>
            <w:r>
              <w:rPr>
                <w:rFonts w:eastAsia="仿宋_GB2312"/>
                <w:bCs/>
                <w:color w:val="000000" w:themeColor="text1"/>
                <w:sz w:val="21"/>
                <w:szCs w:val="21"/>
              </w:rPr>
              <w:t>植物措施的种类、面积、分布、生长情况、成活率、保存率和林草覆盖率</w:t>
            </w:r>
          </w:p>
        </w:tc>
        <w:tc>
          <w:tcPr>
            <w:tcW w:w="751" w:type="pc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定位监测</w:t>
            </w:r>
          </w:p>
        </w:tc>
        <w:tc>
          <w:tcPr>
            <w:tcW w:w="856" w:type="pc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color w:val="000000" w:themeColor="text1"/>
                <w:sz w:val="21"/>
                <w:szCs w:val="21"/>
              </w:rPr>
              <w:t>1次/3个月</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2" w:type="pct"/>
            <w:vMerge w:val="continue"/>
            <w:tcBorders>
              <w:tl2br w:val="nil"/>
              <w:tr2bl w:val="nil"/>
            </w:tcBorders>
            <w:vAlign w:val="center"/>
          </w:tcPr>
          <w:p>
            <w:pPr>
              <w:spacing w:line="240" w:lineRule="auto"/>
              <w:jc w:val="center"/>
              <w:rPr>
                <w:rFonts w:eastAsia="仿宋_GB2312"/>
                <w:bCs/>
                <w:color w:val="000000" w:themeColor="text1"/>
                <w:sz w:val="21"/>
                <w:szCs w:val="21"/>
              </w:rPr>
            </w:pPr>
          </w:p>
        </w:tc>
        <w:tc>
          <w:tcPr>
            <w:tcW w:w="722" w:type="pct"/>
            <w:vMerge w:val="continue"/>
            <w:tcBorders>
              <w:tl2br w:val="nil"/>
              <w:tr2bl w:val="nil"/>
            </w:tcBorders>
            <w:vAlign w:val="center"/>
          </w:tcPr>
          <w:p>
            <w:pPr>
              <w:spacing w:line="240" w:lineRule="auto"/>
              <w:jc w:val="center"/>
              <w:rPr>
                <w:rFonts w:eastAsia="仿宋_GB2312"/>
                <w:bCs/>
                <w:color w:val="000000" w:themeColor="text1"/>
                <w:sz w:val="21"/>
                <w:szCs w:val="21"/>
              </w:rPr>
            </w:pPr>
          </w:p>
        </w:tc>
        <w:tc>
          <w:tcPr>
            <w:tcW w:w="2197" w:type="pct"/>
            <w:tcBorders>
              <w:tl2br w:val="nil"/>
              <w:tr2bl w:val="nil"/>
            </w:tcBorders>
            <w:vAlign w:val="center"/>
          </w:tcPr>
          <w:p>
            <w:pPr>
              <w:spacing w:line="240" w:lineRule="auto"/>
              <w:rPr>
                <w:rFonts w:eastAsia="仿宋_GB2312"/>
                <w:bCs/>
                <w:color w:val="000000" w:themeColor="text1"/>
                <w:sz w:val="21"/>
                <w:szCs w:val="21"/>
              </w:rPr>
            </w:pPr>
            <w:r>
              <w:rPr>
                <w:rFonts w:eastAsia="仿宋_GB2312"/>
                <w:bCs/>
                <w:color w:val="000000" w:themeColor="text1"/>
                <w:sz w:val="21"/>
                <w:szCs w:val="21"/>
              </w:rPr>
              <w:t>工程措施的类型、数量、分布和完好程度</w:t>
            </w:r>
          </w:p>
        </w:tc>
        <w:tc>
          <w:tcPr>
            <w:tcW w:w="751" w:type="pc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定位监测</w:t>
            </w:r>
          </w:p>
        </w:tc>
        <w:tc>
          <w:tcPr>
            <w:tcW w:w="856" w:type="pc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color w:val="000000" w:themeColor="text1"/>
                <w:sz w:val="21"/>
                <w:szCs w:val="21"/>
              </w:rPr>
              <w:t>1次/3个月</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2" w:type="pct"/>
            <w:vMerge w:val="continue"/>
            <w:tcBorders>
              <w:tl2br w:val="nil"/>
              <w:tr2bl w:val="nil"/>
            </w:tcBorders>
            <w:vAlign w:val="center"/>
          </w:tcPr>
          <w:p>
            <w:pPr>
              <w:spacing w:line="240" w:lineRule="auto"/>
              <w:jc w:val="center"/>
              <w:rPr>
                <w:rFonts w:eastAsia="仿宋_GB2312"/>
                <w:bCs/>
                <w:color w:val="000000" w:themeColor="text1"/>
                <w:sz w:val="21"/>
                <w:szCs w:val="21"/>
              </w:rPr>
            </w:pPr>
          </w:p>
        </w:tc>
        <w:tc>
          <w:tcPr>
            <w:tcW w:w="722" w:type="pct"/>
            <w:vMerge w:val="continue"/>
            <w:tcBorders>
              <w:tl2br w:val="nil"/>
              <w:tr2bl w:val="nil"/>
            </w:tcBorders>
            <w:vAlign w:val="center"/>
          </w:tcPr>
          <w:p>
            <w:pPr>
              <w:spacing w:line="240" w:lineRule="auto"/>
              <w:jc w:val="center"/>
              <w:rPr>
                <w:rFonts w:eastAsia="仿宋_GB2312"/>
                <w:bCs/>
                <w:color w:val="000000" w:themeColor="text1"/>
                <w:sz w:val="21"/>
                <w:szCs w:val="21"/>
              </w:rPr>
            </w:pPr>
          </w:p>
        </w:tc>
        <w:tc>
          <w:tcPr>
            <w:tcW w:w="2197" w:type="pct"/>
            <w:tcBorders>
              <w:tl2br w:val="nil"/>
              <w:tr2bl w:val="nil"/>
            </w:tcBorders>
            <w:vAlign w:val="center"/>
          </w:tcPr>
          <w:p>
            <w:pPr>
              <w:spacing w:line="240" w:lineRule="auto"/>
              <w:rPr>
                <w:rFonts w:eastAsia="仿宋_GB2312"/>
                <w:bCs/>
                <w:color w:val="000000" w:themeColor="text1"/>
                <w:sz w:val="21"/>
                <w:szCs w:val="21"/>
              </w:rPr>
            </w:pPr>
            <w:r>
              <w:rPr>
                <w:rFonts w:eastAsia="仿宋_GB2312"/>
                <w:bCs/>
                <w:color w:val="000000" w:themeColor="text1"/>
                <w:sz w:val="21"/>
                <w:szCs w:val="21"/>
              </w:rPr>
              <w:t>临时措施的类型、数量和分布</w:t>
            </w:r>
          </w:p>
        </w:tc>
        <w:tc>
          <w:tcPr>
            <w:tcW w:w="751" w:type="pc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定位监测</w:t>
            </w:r>
          </w:p>
        </w:tc>
        <w:tc>
          <w:tcPr>
            <w:tcW w:w="856" w:type="pc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color w:val="000000" w:themeColor="text1"/>
                <w:sz w:val="21"/>
                <w:szCs w:val="21"/>
              </w:rPr>
              <w:t>至少每月1次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2" w:type="pct"/>
            <w:vMerge w:val="continue"/>
            <w:tcBorders>
              <w:tl2br w:val="nil"/>
              <w:tr2bl w:val="nil"/>
            </w:tcBorders>
            <w:vAlign w:val="center"/>
          </w:tcPr>
          <w:p>
            <w:pPr>
              <w:spacing w:line="240" w:lineRule="auto"/>
              <w:jc w:val="center"/>
              <w:rPr>
                <w:rFonts w:eastAsia="仿宋_GB2312"/>
                <w:bCs/>
                <w:color w:val="000000" w:themeColor="text1"/>
                <w:sz w:val="21"/>
                <w:szCs w:val="21"/>
              </w:rPr>
            </w:pPr>
          </w:p>
        </w:tc>
        <w:tc>
          <w:tcPr>
            <w:tcW w:w="722" w:type="pct"/>
            <w:vMerge w:val="continue"/>
            <w:tcBorders>
              <w:tl2br w:val="nil"/>
              <w:tr2bl w:val="nil"/>
            </w:tcBorders>
            <w:vAlign w:val="center"/>
          </w:tcPr>
          <w:p>
            <w:pPr>
              <w:spacing w:line="240" w:lineRule="auto"/>
              <w:jc w:val="center"/>
              <w:rPr>
                <w:rFonts w:eastAsia="仿宋_GB2312"/>
                <w:bCs/>
                <w:color w:val="000000" w:themeColor="text1"/>
                <w:sz w:val="21"/>
                <w:szCs w:val="21"/>
              </w:rPr>
            </w:pPr>
          </w:p>
        </w:tc>
        <w:tc>
          <w:tcPr>
            <w:tcW w:w="2197" w:type="pct"/>
            <w:tcBorders>
              <w:tl2br w:val="nil"/>
              <w:tr2bl w:val="nil"/>
            </w:tcBorders>
            <w:vAlign w:val="center"/>
          </w:tcPr>
          <w:p>
            <w:pPr>
              <w:spacing w:line="240" w:lineRule="auto"/>
              <w:rPr>
                <w:rFonts w:eastAsia="仿宋_GB2312"/>
                <w:bCs/>
                <w:color w:val="000000" w:themeColor="text1"/>
                <w:sz w:val="21"/>
                <w:szCs w:val="21"/>
              </w:rPr>
            </w:pPr>
            <w:r>
              <w:rPr>
                <w:rFonts w:eastAsia="仿宋_GB2312"/>
                <w:bCs/>
                <w:color w:val="000000" w:themeColor="text1"/>
                <w:sz w:val="21"/>
                <w:szCs w:val="21"/>
              </w:rPr>
              <w:t>主体工程和各项水土保持措施的实施进展情况</w:t>
            </w:r>
          </w:p>
        </w:tc>
        <w:tc>
          <w:tcPr>
            <w:tcW w:w="751" w:type="pc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color w:val="000000" w:themeColor="text1"/>
                <w:sz w:val="21"/>
                <w:szCs w:val="21"/>
              </w:rPr>
              <w:t>调查监测</w:t>
            </w:r>
          </w:p>
        </w:tc>
        <w:tc>
          <w:tcPr>
            <w:tcW w:w="856" w:type="pct"/>
            <w:tcBorders>
              <w:tl2br w:val="nil"/>
              <w:tr2bl w:val="nil"/>
            </w:tcBorders>
            <w:vAlign w:val="center"/>
          </w:tcPr>
          <w:p>
            <w:pPr>
              <w:pStyle w:val="90"/>
              <w:spacing w:line="240" w:lineRule="auto"/>
              <w:rPr>
                <w:rFonts w:ascii="Times New Roman" w:hAnsi="Times New Roman" w:eastAsia="仿宋_GB2312"/>
                <w:color w:val="000000" w:themeColor="text1"/>
              </w:rPr>
            </w:pPr>
            <w:r>
              <w:rPr>
                <w:rFonts w:ascii="Times New Roman" w:hAnsi="Times New Roman" w:eastAsia="仿宋_GB2312"/>
                <w:color w:val="000000" w:themeColor="text1"/>
                <w:kern w:val="0"/>
              </w:rPr>
              <w:t>1次/3个月</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2" w:type="pct"/>
            <w:vMerge w:val="continue"/>
            <w:tcBorders>
              <w:tl2br w:val="nil"/>
              <w:tr2bl w:val="nil"/>
            </w:tcBorders>
            <w:vAlign w:val="center"/>
          </w:tcPr>
          <w:p>
            <w:pPr>
              <w:spacing w:line="240" w:lineRule="auto"/>
              <w:jc w:val="center"/>
              <w:rPr>
                <w:rFonts w:eastAsia="仿宋_GB2312"/>
                <w:bCs/>
                <w:color w:val="000000" w:themeColor="text1"/>
                <w:sz w:val="21"/>
                <w:szCs w:val="21"/>
              </w:rPr>
            </w:pPr>
          </w:p>
        </w:tc>
        <w:tc>
          <w:tcPr>
            <w:tcW w:w="722" w:type="pct"/>
            <w:vMerge w:val="continue"/>
            <w:tcBorders>
              <w:tl2br w:val="nil"/>
              <w:tr2bl w:val="nil"/>
            </w:tcBorders>
            <w:vAlign w:val="center"/>
          </w:tcPr>
          <w:p>
            <w:pPr>
              <w:spacing w:line="240" w:lineRule="auto"/>
              <w:jc w:val="center"/>
              <w:rPr>
                <w:rFonts w:eastAsia="仿宋_GB2312"/>
                <w:bCs/>
                <w:color w:val="000000" w:themeColor="text1"/>
                <w:sz w:val="21"/>
                <w:szCs w:val="21"/>
              </w:rPr>
            </w:pPr>
          </w:p>
        </w:tc>
        <w:tc>
          <w:tcPr>
            <w:tcW w:w="2197" w:type="pct"/>
            <w:tcBorders>
              <w:tl2br w:val="nil"/>
              <w:tr2bl w:val="nil"/>
            </w:tcBorders>
            <w:vAlign w:val="center"/>
          </w:tcPr>
          <w:p>
            <w:pPr>
              <w:spacing w:line="240" w:lineRule="auto"/>
              <w:rPr>
                <w:rFonts w:eastAsia="仿宋_GB2312"/>
                <w:bCs/>
                <w:color w:val="000000" w:themeColor="text1"/>
                <w:sz w:val="21"/>
                <w:szCs w:val="21"/>
              </w:rPr>
            </w:pPr>
            <w:r>
              <w:rPr>
                <w:rFonts w:eastAsia="仿宋_GB2312"/>
                <w:bCs/>
                <w:color w:val="000000" w:themeColor="text1"/>
                <w:sz w:val="21"/>
                <w:szCs w:val="21"/>
              </w:rPr>
              <w:t>水土保持措施对主体工程安全建设和运行发挥的作用</w:t>
            </w:r>
          </w:p>
        </w:tc>
        <w:tc>
          <w:tcPr>
            <w:tcW w:w="751" w:type="pc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color w:val="000000" w:themeColor="text1"/>
                <w:sz w:val="21"/>
                <w:szCs w:val="21"/>
              </w:rPr>
              <w:t>调查监测</w:t>
            </w:r>
          </w:p>
        </w:tc>
        <w:tc>
          <w:tcPr>
            <w:tcW w:w="856" w:type="pct"/>
            <w:tcBorders>
              <w:tl2br w:val="nil"/>
              <w:tr2bl w:val="nil"/>
            </w:tcBorders>
            <w:vAlign w:val="center"/>
          </w:tcPr>
          <w:p>
            <w:pPr>
              <w:pStyle w:val="90"/>
              <w:spacing w:line="240" w:lineRule="auto"/>
              <w:rPr>
                <w:rFonts w:ascii="Times New Roman" w:hAnsi="Times New Roman" w:eastAsia="仿宋_GB2312"/>
                <w:color w:val="000000" w:themeColor="text1"/>
              </w:rPr>
            </w:pPr>
            <w:r>
              <w:rPr>
                <w:rFonts w:ascii="Times New Roman" w:hAnsi="Times New Roman" w:eastAsia="仿宋_GB2312"/>
                <w:color w:val="000000" w:themeColor="text1"/>
                <w:kern w:val="0"/>
              </w:rPr>
              <w:t>1次/3个月</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2" w:type="pct"/>
            <w:vMerge w:val="continue"/>
            <w:tcBorders>
              <w:tl2br w:val="nil"/>
              <w:tr2bl w:val="nil"/>
            </w:tcBorders>
            <w:vAlign w:val="center"/>
          </w:tcPr>
          <w:p>
            <w:pPr>
              <w:spacing w:line="240" w:lineRule="auto"/>
              <w:jc w:val="center"/>
              <w:rPr>
                <w:rFonts w:eastAsia="仿宋_GB2312"/>
                <w:bCs/>
                <w:color w:val="000000" w:themeColor="text1"/>
                <w:sz w:val="21"/>
                <w:szCs w:val="21"/>
              </w:rPr>
            </w:pPr>
          </w:p>
        </w:tc>
        <w:tc>
          <w:tcPr>
            <w:tcW w:w="722" w:type="pct"/>
            <w:vMerge w:val="continue"/>
            <w:tcBorders>
              <w:tl2br w:val="nil"/>
              <w:tr2bl w:val="nil"/>
            </w:tcBorders>
            <w:vAlign w:val="center"/>
          </w:tcPr>
          <w:p>
            <w:pPr>
              <w:spacing w:line="240" w:lineRule="auto"/>
              <w:jc w:val="center"/>
              <w:rPr>
                <w:rFonts w:eastAsia="仿宋_GB2312"/>
                <w:bCs/>
                <w:color w:val="000000" w:themeColor="text1"/>
                <w:sz w:val="21"/>
                <w:szCs w:val="21"/>
              </w:rPr>
            </w:pPr>
          </w:p>
        </w:tc>
        <w:tc>
          <w:tcPr>
            <w:tcW w:w="2197" w:type="pct"/>
            <w:tcBorders>
              <w:tl2br w:val="nil"/>
              <w:tr2bl w:val="nil"/>
            </w:tcBorders>
            <w:vAlign w:val="center"/>
          </w:tcPr>
          <w:p>
            <w:pPr>
              <w:spacing w:line="240" w:lineRule="auto"/>
              <w:rPr>
                <w:rFonts w:eastAsia="仿宋_GB2312"/>
                <w:bCs/>
                <w:color w:val="000000" w:themeColor="text1"/>
                <w:sz w:val="21"/>
                <w:szCs w:val="21"/>
              </w:rPr>
            </w:pPr>
            <w:r>
              <w:rPr>
                <w:rFonts w:eastAsia="仿宋_GB2312"/>
                <w:bCs/>
                <w:color w:val="000000" w:themeColor="text1"/>
                <w:sz w:val="21"/>
                <w:szCs w:val="21"/>
              </w:rPr>
              <w:t>水土保持措施对周边生态环境发挥的作用</w:t>
            </w:r>
          </w:p>
        </w:tc>
        <w:tc>
          <w:tcPr>
            <w:tcW w:w="751" w:type="pc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color w:val="000000" w:themeColor="text1"/>
                <w:sz w:val="21"/>
                <w:szCs w:val="21"/>
              </w:rPr>
              <w:t>调查监测</w:t>
            </w:r>
          </w:p>
        </w:tc>
        <w:tc>
          <w:tcPr>
            <w:tcW w:w="856" w:type="pct"/>
            <w:tcBorders>
              <w:tl2br w:val="nil"/>
              <w:tr2bl w:val="nil"/>
            </w:tcBorders>
            <w:vAlign w:val="center"/>
          </w:tcPr>
          <w:p>
            <w:pPr>
              <w:pStyle w:val="90"/>
              <w:spacing w:line="240" w:lineRule="auto"/>
              <w:rPr>
                <w:rFonts w:ascii="Times New Roman" w:hAnsi="Times New Roman" w:eastAsia="仿宋_GB2312"/>
                <w:color w:val="000000" w:themeColor="text1"/>
              </w:rPr>
            </w:pPr>
            <w:r>
              <w:rPr>
                <w:rFonts w:ascii="Times New Roman" w:hAnsi="Times New Roman" w:eastAsia="仿宋_GB2312"/>
                <w:color w:val="000000" w:themeColor="text1"/>
                <w:kern w:val="0"/>
              </w:rPr>
              <w:t>1次/3个月</w:t>
            </w:r>
          </w:p>
        </w:tc>
      </w:tr>
    </w:tbl>
    <w:p>
      <w:pPr>
        <w:pStyle w:val="4"/>
        <w:spacing w:before="0" w:after="0" w:line="360" w:lineRule="auto"/>
        <w:rPr>
          <w:rFonts w:ascii="Times New Roman" w:hAnsi="Times New Roman" w:eastAsia="仿宋_GB2312"/>
          <w:color w:val="000000" w:themeColor="text1"/>
          <w:sz w:val="28"/>
          <w:szCs w:val="28"/>
        </w:rPr>
      </w:pPr>
      <w:bookmarkStart w:id="49" w:name="_Toc31814"/>
      <w:r>
        <w:rPr>
          <w:rFonts w:ascii="Times New Roman" w:hAnsi="Times New Roman" w:eastAsia="仿宋_GB2312"/>
          <w:color w:val="000000" w:themeColor="text1"/>
          <w:sz w:val="28"/>
          <w:szCs w:val="28"/>
        </w:rPr>
        <w:t>6.3点位布设</w:t>
      </w:r>
      <w:bookmarkEnd w:id="49"/>
    </w:p>
    <w:p>
      <w:pPr>
        <w:pStyle w:val="54"/>
        <w:ind w:firstLine="480"/>
        <w:rPr>
          <w:rFonts w:ascii="Times New Roman" w:hAnsi="Times New Roman" w:eastAsia="仿宋_GB2312" w:cs="Times New Roman"/>
          <w:b/>
          <w:bCs/>
          <w:color w:val="000000" w:themeColor="text1"/>
          <w:sz w:val="24"/>
          <w:szCs w:val="24"/>
          <w:highlight w:val="cyan"/>
        </w:rPr>
      </w:pPr>
      <w:r>
        <w:rPr>
          <w:rFonts w:ascii="Times New Roman" w:hAnsi="Times New Roman" w:eastAsia="仿宋_GB2312" w:cs="Times New Roman"/>
          <w:color w:val="000000" w:themeColor="text1"/>
          <w:sz w:val="24"/>
          <w:szCs w:val="24"/>
        </w:rPr>
        <w:t>水土保持监测点布设应遵循代表性、方便性、少受干扰的原则。工程建设区共设置</w:t>
      </w:r>
      <w:r>
        <w:rPr>
          <w:rFonts w:hint="eastAsia" w:ascii="Times New Roman" w:hAnsi="Times New Roman" w:eastAsia="仿宋_GB2312" w:cs="Times New Roman"/>
          <w:color w:val="000000" w:themeColor="text1"/>
          <w:sz w:val="24"/>
          <w:szCs w:val="24"/>
        </w:rPr>
        <w:t>1</w:t>
      </w:r>
      <w:r>
        <w:rPr>
          <w:rFonts w:ascii="Times New Roman" w:hAnsi="Times New Roman" w:eastAsia="仿宋_GB2312" w:cs="Times New Roman"/>
          <w:color w:val="000000" w:themeColor="text1"/>
          <w:sz w:val="24"/>
          <w:szCs w:val="24"/>
        </w:rPr>
        <w:t>个监测点位。</w:t>
      </w:r>
    </w:p>
    <w:p>
      <w:pPr>
        <w:pStyle w:val="54"/>
        <w:spacing w:line="240" w:lineRule="auto"/>
        <w:ind w:firstLine="0" w:firstLineChars="0"/>
        <w:jc w:val="center"/>
        <w:rPr>
          <w:rFonts w:ascii="Times New Roman" w:hAnsi="Times New Roman" w:eastAsia="仿宋_GB2312" w:cs="Times New Roman"/>
          <w:color w:val="000000" w:themeColor="text1"/>
          <w:sz w:val="24"/>
          <w:szCs w:val="24"/>
        </w:rPr>
      </w:pPr>
      <w:r>
        <w:rPr>
          <w:rFonts w:ascii="Times New Roman" w:hAnsi="Times New Roman" w:eastAsia="仿宋_GB2312" w:cs="Times New Roman"/>
          <w:b/>
          <w:bCs/>
          <w:color w:val="000000" w:themeColor="text1"/>
          <w:sz w:val="24"/>
          <w:szCs w:val="24"/>
        </w:rPr>
        <w:t>表6-2  监测点位一览表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4860"/>
        <w:gridCol w:w="2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33" w:type="dxa"/>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分区</w:t>
            </w:r>
          </w:p>
        </w:tc>
        <w:tc>
          <w:tcPr>
            <w:tcW w:w="4860" w:type="dxa"/>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位置及监测点位数量</w:t>
            </w:r>
          </w:p>
        </w:tc>
        <w:tc>
          <w:tcPr>
            <w:tcW w:w="2428" w:type="dxa"/>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监测方法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33" w:type="dxa"/>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工程建设区</w:t>
            </w:r>
          </w:p>
        </w:tc>
        <w:tc>
          <w:tcPr>
            <w:tcW w:w="4860" w:type="dxa"/>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绿化区域1个监测点位</w:t>
            </w:r>
          </w:p>
        </w:tc>
        <w:tc>
          <w:tcPr>
            <w:tcW w:w="2428" w:type="dxa"/>
            <w:vAlign w:val="center"/>
          </w:tcPr>
          <w:p>
            <w:pPr>
              <w:pStyle w:val="77"/>
              <w:rPr>
                <w:rFonts w:ascii="Times New Roman" w:hAnsi="Times New Roman" w:eastAsia="仿宋_GB2312"/>
                <w:color w:val="000000" w:themeColor="text1"/>
              </w:rPr>
            </w:pPr>
            <w:r>
              <w:rPr>
                <w:rFonts w:ascii="Times New Roman" w:hAnsi="Times New Roman" w:eastAsia="仿宋_GB2312"/>
                <w:color w:val="000000" w:themeColor="text1"/>
              </w:rPr>
              <w:t>测钎法</w:t>
            </w:r>
          </w:p>
          <w:p>
            <w:pPr>
              <w:pStyle w:val="77"/>
              <w:rPr>
                <w:rFonts w:ascii="Times New Roman" w:hAnsi="Times New Roman" w:eastAsia="仿宋_GB2312"/>
                <w:color w:val="000000" w:themeColor="text1"/>
              </w:rPr>
            </w:pPr>
            <w:r>
              <w:rPr>
                <w:rFonts w:ascii="Times New Roman" w:hAnsi="Times New Roman" w:eastAsia="仿宋_GB2312"/>
                <w:color w:val="000000" w:themeColor="text1"/>
              </w:rPr>
              <w:t>侵蚀沟量测法</w:t>
            </w:r>
          </w:p>
          <w:p>
            <w:pPr>
              <w:pStyle w:val="77"/>
              <w:rPr>
                <w:rFonts w:ascii="Times New Roman" w:hAnsi="Times New Roman" w:eastAsia="仿宋_GB2312"/>
                <w:color w:val="000000" w:themeColor="text1"/>
              </w:rPr>
            </w:pPr>
            <w:r>
              <w:rPr>
                <w:rFonts w:ascii="Times New Roman" w:hAnsi="Times New Roman" w:eastAsia="仿宋_GB2312"/>
                <w:color w:val="000000" w:themeColor="text1"/>
              </w:rPr>
              <w:t>实地调查量测</w:t>
            </w:r>
          </w:p>
        </w:tc>
      </w:tr>
    </w:tbl>
    <w:p>
      <w:pPr>
        <w:pStyle w:val="4"/>
        <w:spacing w:before="100" w:beforeAutospacing="1" w:after="0" w:line="360" w:lineRule="auto"/>
        <w:rPr>
          <w:rFonts w:ascii="Times New Roman" w:hAnsi="Times New Roman" w:eastAsia="仿宋_GB2312"/>
          <w:color w:val="000000" w:themeColor="text1"/>
          <w:sz w:val="28"/>
          <w:szCs w:val="28"/>
        </w:rPr>
      </w:pPr>
      <w:bookmarkStart w:id="50" w:name="_Toc29035"/>
      <w:r>
        <w:rPr>
          <w:rFonts w:ascii="Times New Roman" w:hAnsi="Times New Roman" w:eastAsia="仿宋_GB2312"/>
          <w:color w:val="000000" w:themeColor="text1"/>
          <w:sz w:val="28"/>
          <w:szCs w:val="28"/>
        </w:rPr>
        <w:t>6.4实施条件和成果</w:t>
      </w:r>
      <w:bookmarkEnd w:id="50"/>
    </w:p>
    <w:p>
      <w:pPr>
        <w:spacing w:line="360" w:lineRule="auto"/>
        <w:rPr>
          <w:rFonts w:eastAsia="仿宋_GB2312"/>
          <w:b/>
          <w:color w:val="000000" w:themeColor="text1"/>
        </w:rPr>
      </w:pPr>
      <w:r>
        <w:rPr>
          <w:rFonts w:eastAsia="仿宋_GB2312"/>
          <w:b/>
          <w:color w:val="000000" w:themeColor="text1"/>
        </w:rPr>
        <w:t>6.4.1监测实施条件</w:t>
      </w:r>
    </w:p>
    <w:p>
      <w:pPr>
        <w:pStyle w:val="54"/>
        <w:ind w:firstLine="480"/>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（1）监测人员</w:t>
      </w:r>
    </w:p>
    <w:p>
      <w:pPr>
        <w:pStyle w:val="54"/>
        <w:ind w:firstLine="480"/>
        <w:rPr>
          <w:rFonts w:ascii="Times New Roman" w:hAnsi="Times New Roman" w:eastAsia="仿宋_GB2312" w:cs="Times New Roman"/>
          <w:b/>
          <w:bCs/>
          <w:color w:val="000000" w:themeColor="text1"/>
          <w:sz w:val="24"/>
          <w:szCs w:val="24"/>
          <w:highlight w:val="cyan"/>
        </w:rPr>
      </w:pPr>
      <w:r>
        <w:rPr>
          <w:rFonts w:ascii="Times New Roman" w:hAnsi="Times New Roman" w:eastAsia="仿宋_GB2312" w:cs="Times New Roman"/>
          <w:color w:val="000000" w:themeColor="text1"/>
          <w:sz w:val="24"/>
          <w:szCs w:val="24"/>
        </w:rPr>
        <w:t>水土保持监测人工包括外业和内业两部分人工。外业内容包括水土保持定点监测勘察、自然状况及生态环境变化调查、水土保持防护效果调查；内业内容包括编制监测实施方案、化验分析、编制监测季度报告表、编制监测总结报告、图件绘制等。监测人员不少于3人，其中1名总监测工程师、1名监测工程师、1名监测员。各项工作内容所需人工及计算方法见表6-3。</w:t>
      </w:r>
    </w:p>
    <w:p>
      <w:pPr>
        <w:pStyle w:val="54"/>
        <w:spacing w:line="240" w:lineRule="auto"/>
        <w:ind w:firstLine="0" w:firstLineChars="0"/>
        <w:jc w:val="center"/>
        <w:rPr>
          <w:rFonts w:ascii="Times New Roman" w:hAnsi="Times New Roman" w:eastAsia="仿宋_GB2312" w:cs="Times New Roman"/>
          <w:b/>
          <w:bCs/>
          <w:color w:val="000000" w:themeColor="text1"/>
          <w:sz w:val="24"/>
          <w:szCs w:val="24"/>
        </w:rPr>
      </w:pPr>
      <w:r>
        <w:rPr>
          <w:rFonts w:ascii="Times New Roman" w:hAnsi="Times New Roman" w:eastAsia="仿宋_GB2312" w:cs="Times New Roman"/>
          <w:b/>
          <w:bCs/>
          <w:color w:val="000000" w:themeColor="text1"/>
          <w:sz w:val="24"/>
          <w:szCs w:val="24"/>
        </w:rPr>
        <w:t>表6-3 监测人工配备</w:t>
      </w:r>
    </w:p>
    <w:tbl>
      <w:tblPr>
        <w:tblStyle w:val="23"/>
        <w:tblW w:w="4998"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934"/>
        <w:gridCol w:w="2152"/>
        <w:gridCol w:w="2061"/>
        <w:gridCol w:w="906"/>
        <w:gridCol w:w="237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4" w:type="pct"/>
            <w:tcMar>
              <w:left w:w="0" w:type="dxa"/>
              <w:right w:w="0" w:type="dxa"/>
            </w:tcMar>
            <w:vAlign w:val="center"/>
          </w:tcPr>
          <w:p>
            <w:pPr>
              <w:widowControl/>
              <w:jc w:val="center"/>
              <w:rPr>
                <w:rFonts w:eastAsia="仿宋_GB2312"/>
                <w:b/>
                <w:color w:val="000000" w:themeColor="text1"/>
                <w:sz w:val="21"/>
                <w:szCs w:val="21"/>
              </w:rPr>
            </w:pPr>
            <w:r>
              <w:rPr>
                <w:rFonts w:eastAsia="仿宋_GB2312"/>
                <w:b/>
                <w:color w:val="000000" w:themeColor="text1"/>
                <w:sz w:val="21"/>
                <w:szCs w:val="21"/>
              </w:rPr>
              <w:t>序号</w:t>
            </w:r>
          </w:p>
        </w:tc>
        <w:tc>
          <w:tcPr>
            <w:tcW w:w="1276" w:type="pct"/>
            <w:vAlign w:val="center"/>
          </w:tcPr>
          <w:p>
            <w:pPr>
              <w:widowControl/>
              <w:jc w:val="center"/>
              <w:rPr>
                <w:rFonts w:eastAsia="仿宋_GB2312"/>
                <w:b/>
                <w:color w:val="000000" w:themeColor="text1"/>
                <w:sz w:val="21"/>
                <w:szCs w:val="21"/>
              </w:rPr>
            </w:pPr>
            <w:r>
              <w:rPr>
                <w:rFonts w:eastAsia="仿宋_GB2312"/>
                <w:b/>
                <w:color w:val="000000" w:themeColor="text1"/>
                <w:sz w:val="21"/>
                <w:szCs w:val="21"/>
              </w:rPr>
              <w:t>时段</w:t>
            </w:r>
          </w:p>
        </w:tc>
        <w:tc>
          <w:tcPr>
            <w:tcW w:w="1222" w:type="pct"/>
            <w:vAlign w:val="center"/>
          </w:tcPr>
          <w:p>
            <w:pPr>
              <w:widowControl/>
              <w:jc w:val="center"/>
              <w:rPr>
                <w:rFonts w:eastAsia="仿宋_GB2312"/>
                <w:b/>
                <w:color w:val="000000" w:themeColor="text1"/>
                <w:sz w:val="21"/>
                <w:szCs w:val="21"/>
              </w:rPr>
            </w:pPr>
            <w:r>
              <w:rPr>
                <w:rFonts w:eastAsia="仿宋_GB2312"/>
                <w:b/>
                <w:color w:val="000000" w:themeColor="text1"/>
                <w:sz w:val="21"/>
                <w:szCs w:val="21"/>
              </w:rPr>
              <w:t>项目名称</w:t>
            </w:r>
          </w:p>
        </w:tc>
        <w:tc>
          <w:tcPr>
            <w:tcW w:w="537" w:type="pct"/>
            <w:vAlign w:val="center"/>
          </w:tcPr>
          <w:p>
            <w:pPr>
              <w:widowControl/>
              <w:jc w:val="center"/>
              <w:rPr>
                <w:rFonts w:eastAsia="仿宋_GB2312"/>
                <w:b/>
                <w:color w:val="000000" w:themeColor="text1"/>
                <w:sz w:val="21"/>
                <w:szCs w:val="21"/>
              </w:rPr>
            </w:pPr>
            <w:r>
              <w:rPr>
                <w:rFonts w:eastAsia="仿宋_GB2312"/>
                <w:b/>
                <w:color w:val="000000" w:themeColor="text1"/>
                <w:sz w:val="21"/>
                <w:szCs w:val="21"/>
              </w:rPr>
              <w:t>人工</w:t>
            </w:r>
          </w:p>
        </w:tc>
        <w:tc>
          <w:tcPr>
            <w:tcW w:w="1408" w:type="pct"/>
            <w:vAlign w:val="center"/>
          </w:tcPr>
          <w:p>
            <w:pPr>
              <w:widowControl/>
              <w:jc w:val="center"/>
              <w:rPr>
                <w:rFonts w:eastAsia="仿宋_GB2312"/>
                <w:b/>
                <w:color w:val="000000" w:themeColor="text1"/>
                <w:sz w:val="21"/>
                <w:szCs w:val="21"/>
              </w:rPr>
            </w:pPr>
            <w:r>
              <w:rPr>
                <w:rFonts w:eastAsia="仿宋_GB2312"/>
                <w:b/>
                <w:color w:val="000000" w:themeColor="text1"/>
                <w:sz w:val="21"/>
                <w:szCs w:val="21"/>
              </w:rPr>
              <w:t>计算方法</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4" w:type="pct"/>
            <w:tcMar>
              <w:left w:w="0" w:type="dxa"/>
              <w:right w:w="0" w:type="dxa"/>
            </w:tcMar>
            <w:vAlign w:val="center"/>
          </w:tcPr>
          <w:p>
            <w:pPr>
              <w:widowControl/>
              <w:jc w:val="center"/>
              <w:rPr>
                <w:rFonts w:eastAsia="仿宋_GB2312"/>
                <w:color w:val="000000" w:themeColor="text1"/>
                <w:sz w:val="21"/>
                <w:szCs w:val="21"/>
              </w:rPr>
            </w:pPr>
            <w:r>
              <w:rPr>
                <w:rFonts w:eastAsia="仿宋_GB2312"/>
                <w:color w:val="000000" w:themeColor="text1"/>
                <w:sz w:val="21"/>
                <w:szCs w:val="21"/>
              </w:rPr>
              <w:t>一</w:t>
            </w:r>
          </w:p>
        </w:tc>
        <w:tc>
          <w:tcPr>
            <w:tcW w:w="2498" w:type="pct"/>
            <w:gridSpan w:val="2"/>
            <w:vAlign w:val="center"/>
          </w:tcPr>
          <w:p>
            <w:pPr>
              <w:widowControl/>
              <w:jc w:val="center"/>
              <w:rPr>
                <w:rFonts w:eastAsia="仿宋_GB2312"/>
                <w:color w:val="000000" w:themeColor="text1"/>
                <w:sz w:val="21"/>
                <w:szCs w:val="21"/>
              </w:rPr>
            </w:pPr>
            <w:r>
              <w:rPr>
                <w:rFonts w:eastAsia="仿宋_GB2312"/>
                <w:color w:val="000000" w:themeColor="text1"/>
                <w:sz w:val="21"/>
                <w:szCs w:val="21"/>
              </w:rPr>
              <w:t>监测外业</w:t>
            </w:r>
          </w:p>
        </w:tc>
        <w:tc>
          <w:tcPr>
            <w:tcW w:w="537"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6</w:t>
            </w:r>
            <w:r>
              <w:rPr>
                <w:rFonts w:hint="eastAsia" w:eastAsia="仿宋_GB2312"/>
                <w:color w:val="000000" w:themeColor="text1"/>
                <w:sz w:val="21"/>
                <w:szCs w:val="21"/>
              </w:rPr>
              <w:t>0</w:t>
            </w:r>
          </w:p>
        </w:tc>
        <w:tc>
          <w:tcPr>
            <w:tcW w:w="1408" w:type="pct"/>
            <w:vAlign w:val="center"/>
          </w:tcPr>
          <w:p>
            <w:pPr>
              <w:widowControl/>
              <w:jc w:val="center"/>
              <w:rPr>
                <w:rFonts w:eastAsia="仿宋_GB2312"/>
                <w:color w:val="000000" w:themeColor="text1"/>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4" w:type="pct"/>
            <w:tcMar>
              <w:left w:w="0" w:type="dxa"/>
              <w:right w:w="0" w:type="dxa"/>
            </w:tcMar>
            <w:vAlign w:val="center"/>
          </w:tcPr>
          <w:p>
            <w:pPr>
              <w:widowControl/>
              <w:jc w:val="center"/>
              <w:rPr>
                <w:rFonts w:eastAsia="仿宋_GB2312"/>
                <w:color w:val="000000" w:themeColor="text1"/>
                <w:sz w:val="21"/>
                <w:szCs w:val="21"/>
              </w:rPr>
            </w:pPr>
            <w:r>
              <w:rPr>
                <w:rFonts w:eastAsia="仿宋_GB2312"/>
                <w:color w:val="000000" w:themeColor="text1"/>
                <w:sz w:val="21"/>
                <w:szCs w:val="21"/>
              </w:rPr>
              <w:t>1</w:t>
            </w:r>
          </w:p>
        </w:tc>
        <w:tc>
          <w:tcPr>
            <w:tcW w:w="1276"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施工准备期前</w:t>
            </w:r>
          </w:p>
        </w:tc>
        <w:tc>
          <w:tcPr>
            <w:tcW w:w="1222"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背景值监测</w:t>
            </w:r>
          </w:p>
        </w:tc>
        <w:tc>
          <w:tcPr>
            <w:tcW w:w="537"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6</w:t>
            </w:r>
          </w:p>
        </w:tc>
        <w:tc>
          <w:tcPr>
            <w:tcW w:w="1408"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3人×1次×2天</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4" w:type="pct"/>
            <w:vMerge w:val="restart"/>
            <w:tcMar>
              <w:left w:w="0" w:type="dxa"/>
              <w:right w:w="0" w:type="dxa"/>
            </w:tcMar>
            <w:vAlign w:val="center"/>
          </w:tcPr>
          <w:p>
            <w:pPr>
              <w:widowControl/>
              <w:jc w:val="center"/>
              <w:rPr>
                <w:rFonts w:eastAsia="仿宋_GB2312"/>
                <w:color w:val="000000" w:themeColor="text1"/>
                <w:sz w:val="21"/>
                <w:szCs w:val="21"/>
              </w:rPr>
            </w:pPr>
            <w:r>
              <w:rPr>
                <w:rFonts w:eastAsia="仿宋_GB2312"/>
                <w:color w:val="000000" w:themeColor="text1"/>
                <w:sz w:val="21"/>
                <w:szCs w:val="21"/>
              </w:rPr>
              <w:t>2</w:t>
            </w:r>
          </w:p>
        </w:tc>
        <w:tc>
          <w:tcPr>
            <w:tcW w:w="1276" w:type="pct"/>
            <w:vMerge w:val="restart"/>
            <w:vAlign w:val="center"/>
          </w:tcPr>
          <w:p>
            <w:pPr>
              <w:widowControl/>
              <w:jc w:val="center"/>
              <w:rPr>
                <w:rFonts w:eastAsia="仿宋_GB2312"/>
                <w:color w:val="000000" w:themeColor="text1"/>
                <w:sz w:val="21"/>
                <w:szCs w:val="21"/>
              </w:rPr>
            </w:pPr>
            <w:r>
              <w:rPr>
                <w:rFonts w:eastAsia="仿宋_GB2312"/>
                <w:color w:val="000000" w:themeColor="text1"/>
                <w:sz w:val="21"/>
                <w:szCs w:val="21"/>
              </w:rPr>
              <w:t>建设期</w:t>
            </w:r>
          </w:p>
        </w:tc>
        <w:tc>
          <w:tcPr>
            <w:tcW w:w="1222"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定点监测</w:t>
            </w:r>
          </w:p>
        </w:tc>
        <w:tc>
          <w:tcPr>
            <w:tcW w:w="537"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3</w:t>
            </w:r>
            <w:r>
              <w:rPr>
                <w:rFonts w:hint="eastAsia" w:eastAsia="仿宋_GB2312"/>
                <w:color w:val="000000" w:themeColor="text1"/>
                <w:sz w:val="21"/>
                <w:szCs w:val="21"/>
              </w:rPr>
              <w:t>0</w:t>
            </w:r>
          </w:p>
        </w:tc>
        <w:tc>
          <w:tcPr>
            <w:tcW w:w="1408"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3人× 1</w:t>
            </w:r>
            <w:r>
              <w:rPr>
                <w:rFonts w:hint="eastAsia" w:eastAsia="仿宋_GB2312"/>
                <w:color w:val="000000" w:themeColor="text1"/>
                <w:sz w:val="21"/>
                <w:szCs w:val="21"/>
              </w:rPr>
              <w:t>0</w:t>
            </w:r>
            <w:r>
              <w:rPr>
                <w:rFonts w:eastAsia="仿宋_GB2312"/>
                <w:color w:val="000000" w:themeColor="text1"/>
                <w:sz w:val="21"/>
                <w:szCs w:val="21"/>
              </w:rPr>
              <w:t>月×1次/月×1天</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4" w:type="pct"/>
            <w:vMerge w:val="continue"/>
            <w:tcMar>
              <w:left w:w="0" w:type="dxa"/>
              <w:right w:w="0" w:type="dxa"/>
            </w:tcMar>
            <w:vAlign w:val="center"/>
          </w:tcPr>
          <w:p>
            <w:pPr>
              <w:widowControl/>
              <w:jc w:val="center"/>
              <w:rPr>
                <w:rFonts w:eastAsia="仿宋_GB2312"/>
                <w:color w:val="000000" w:themeColor="text1"/>
                <w:sz w:val="21"/>
                <w:szCs w:val="21"/>
              </w:rPr>
            </w:pPr>
          </w:p>
        </w:tc>
        <w:tc>
          <w:tcPr>
            <w:tcW w:w="1276" w:type="pct"/>
            <w:vMerge w:val="continue"/>
            <w:vAlign w:val="center"/>
          </w:tcPr>
          <w:p>
            <w:pPr>
              <w:widowControl/>
              <w:jc w:val="center"/>
              <w:rPr>
                <w:rFonts w:eastAsia="仿宋_GB2312"/>
                <w:color w:val="000000" w:themeColor="text1"/>
                <w:sz w:val="21"/>
                <w:szCs w:val="21"/>
              </w:rPr>
            </w:pPr>
          </w:p>
        </w:tc>
        <w:tc>
          <w:tcPr>
            <w:tcW w:w="1222"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自然状况及生态</w:t>
            </w:r>
          </w:p>
          <w:p>
            <w:pPr>
              <w:widowControl/>
              <w:jc w:val="center"/>
              <w:rPr>
                <w:rFonts w:eastAsia="仿宋_GB2312"/>
                <w:color w:val="000000" w:themeColor="text1"/>
                <w:sz w:val="21"/>
                <w:szCs w:val="21"/>
              </w:rPr>
            </w:pPr>
            <w:r>
              <w:rPr>
                <w:rFonts w:eastAsia="仿宋_GB2312"/>
                <w:color w:val="000000" w:themeColor="text1"/>
                <w:sz w:val="21"/>
                <w:szCs w:val="21"/>
              </w:rPr>
              <w:t>环境变化调查</w:t>
            </w:r>
          </w:p>
        </w:tc>
        <w:tc>
          <w:tcPr>
            <w:tcW w:w="537"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12</w:t>
            </w:r>
          </w:p>
        </w:tc>
        <w:tc>
          <w:tcPr>
            <w:tcW w:w="1408"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3人×1天/次×4次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4" w:type="pct"/>
            <w:vMerge w:val="continue"/>
            <w:tcMar>
              <w:left w:w="0" w:type="dxa"/>
              <w:right w:w="0" w:type="dxa"/>
            </w:tcMar>
            <w:vAlign w:val="center"/>
          </w:tcPr>
          <w:p>
            <w:pPr>
              <w:widowControl/>
              <w:jc w:val="center"/>
              <w:rPr>
                <w:rFonts w:eastAsia="仿宋_GB2312"/>
                <w:color w:val="000000" w:themeColor="text1"/>
                <w:sz w:val="21"/>
                <w:szCs w:val="21"/>
              </w:rPr>
            </w:pPr>
          </w:p>
        </w:tc>
        <w:tc>
          <w:tcPr>
            <w:tcW w:w="1276" w:type="pct"/>
            <w:vMerge w:val="continue"/>
            <w:vAlign w:val="center"/>
          </w:tcPr>
          <w:p>
            <w:pPr>
              <w:widowControl/>
              <w:jc w:val="center"/>
              <w:rPr>
                <w:rFonts w:eastAsia="仿宋_GB2312"/>
                <w:color w:val="000000" w:themeColor="text1"/>
                <w:sz w:val="21"/>
                <w:szCs w:val="21"/>
              </w:rPr>
            </w:pPr>
          </w:p>
        </w:tc>
        <w:tc>
          <w:tcPr>
            <w:tcW w:w="1222"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水土保持防护</w:t>
            </w:r>
          </w:p>
          <w:p>
            <w:pPr>
              <w:widowControl/>
              <w:jc w:val="center"/>
              <w:rPr>
                <w:rFonts w:eastAsia="仿宋_GB2312"/>
                <w:color w:val="000000" w:themeColor="text1"/>
                <w:sz w:val="21"/>
                <w:szCs w:val="21"/>
              </w:rPr>
            </w:pPr>
            <w:r>
              <w:rPr>
                <w:rFonts w:eastAsia="仿宋_GB2312"/>
                <w:color w:val="000000" w:themeColor="text1"/>
                <w:sz w:val="21"/>
                <w:szCs w:val="21"/>
              </w:rPr>
              <w:t>效果调查</w:t>
            </w:r>
          </w:p>
        </w:tc>
        <w:tc>
          <w:tcPr>
            <w:tcW w:w="537"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12</w:t>
            </w:r>
          </w:p>
        </w:tc>
        <w:tc>
          <w:tcPr>
            <w:tcW w:w="1408"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3人×1天/次×4次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4" w:type="pct"/>
            <w:tcMar>
              <w:left w:w="0" w:type="dxa"/>
              <w:right w:w="0" w:type="dxa"/>
            </w:tcMar>
            <w:vAlign w:val="center"/>
          </w:tcPr>
          <w:p>
            <w:pPr>
              <w:widowControl/>
              <w:jc w:val="center"/>
              <w:rPr>
                <w:rFonts w:eastAsia="仿宋_GB2312"/>
                <w:color w:val="000000" w:themeColor="text1"/>
                <w:sz w:val="21"/>
                <w:szCs w:val="21"/>
              </w:rPr>
            </w:pPr>
            <w:r>
              <w:rPr>
                <w:rFonts w:eastAsia="仿宋_GB2312"/>
                <w:color w:val="000000" w:themeColor="text1"/>
                <w:sz w:val="21"/>
                <w:szCs w:val="21"/>
              </w:rPr>
              <w:t>二</w:t>
            </w:r>
          </w:p>
        </w:tc>
        <w:tc>
          <w:tcPr>
            <w:tcW w:w="2498" w:type="pct"/>
            <w:gridSpan w:val="2"/>
            <w:vAlign w:val="center"/>
          </w:tcPr>
          <w:p>
            <w:pPr>
              <w:widowControl/>
              <w:jc w:val="center"/>
              <w:rPr>
                <w:rFonts w:eastAsia="仿宋_GB2312"/>
                <w:color w:val="000000" w:themeColor="text1"/>
                <w:sz w:val="21"/>
                <w:szCs w:val="21"/>
              </w:rPr>
            </w:pPr>
            <w:r>
              <w:rPr>
                <w:rFonts w:eastAsia="仿宋_GB2312"/>
                <w:color w:val="000000" w:themeColor="text1"/>
                <w:sz w:val="21"/>
                <w:szCs w:val="21"/>
              </w:rPr>
              <w:t>监测内业</w:t>
            </w:r>
          </w:p>
        </w:tc>
        <w:tc>
          <w:tcPr>
            <w:tcW w:w="537"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3</w:t>
            </w:r>
            <w:r>
              <w:rPr>
                <w:rFonts w:hint="eastAsia" w:eastAsia="仿宋_GB2312"/>
                <w:color w:val="000000" w:themeColor="text1"/>
                <w:sz w:val="21"/>
                <w:szCs w:val="21"/>
              </w:rPr>
              <w:t>2</w:t>
            </w:r>
          </w:p>
        </w:tc>
        <w:tc>
          <w:tcPr>
            <w:tcW w:w="1408" w:type="pct"/>
            <w:vAlign w:val="center"/>
          </w:tcPr>
          <w:p>
            <w:pPr>
              <w:widowControl/>
              <w:jc w:val="center"/>
              <w:rPr>
                <w:rFonts w:eastAsia="仿宋_GB2312"/>
                <w:color w:val="000000" w:themeColor="text1"/>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4" w:type="pct"/>
            <w:tcMar>
              <w:left w:w="0" w:type="dxa"/>
              <w:right w:w="0" w:type="dxa"/>
            </w:tcMar>
            <w:vAlign w:val="center"/>
          </w:tcPr>
          <w:p>
            <w:pPr>
              <w:widowControl/>
              <w:jc w:val="center"/>
              <w:rPr>
                <w:rFonts w:eastAsia="仿宋_GB2312"/>
                <w:color w:val="000000" w:themeColor="text1"/>
                <w:sz w:val="21"/>
                <w:szCs w:val="21"/>
              </w:rPr>
            </w:pPr>
            <w:r>
              <w:rPr>
                <w:rFonts w:eastAsia="仿宋_GB2312"/>
                <w:color w:val="000000" w:themeColor="text1"/>
                <w:sz w:val="21"/>
                <w:szCs w:val="21"/>
              </w:rPr>
              <w:t>1</w:t>
            </w:r>
          </w:p>
        </w:tc>
        <w:tc>
          <w:tcPr>
            <w:tcW w:w="1276"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施工准备期前</w:t>
            </w:r>
          </w:p>
        </w:tc>
        <w:tc>
          <w:tcPr>
            <w:tcW w:w="1222"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编制监测实施方案</w:t>
            </w:r>
          </w:p>
        </w:tc>
        <w:tc>
          <w:tcPr>
            <w:tcW w:w="537"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4</w:t>
            </w:r>
          </w:p>
        </w:tc>
        <w:tc>
          <w:tcPr>
            <w:tcW w:w="1408"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1人×</w:t>
            </w:r>
            <w:r>
              <w:rPr>
                <w:rFonts w:hint="eastAsia" w:eastAsia="仿宋_GB2312"/>
                <w:color w:val="000000" w:themeColor="text1"/>
                <w:sz w:val="21"/>
                <w:szCs w:val="21"/>
              </w:rPr>
              <w:t>4</w:t>
            </w:r>
            <w:r>
              <w:rPr>
                <w:rFonts w:eastAsia="仿宋_GB2312"/>
                <w:color w:val="000000" w:themeColor="text1"/>
                <w:sz w:val="21"/>
                <w:szCs w:val="21"/>
              </w:rPr>
              <w:t>天</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4" w:type="pct"/>
            <w:tcMar>
              <w:left w:w="0" w:type="dxa"/>
              <w:right w:w="0" w:type="dxa"/>
            </w:tcMar>
            <w:vAlign w:val="center"/>
          </w:tcPr>
          <w:p>
            <w:pPr>
              <w:widowControl/>
              <w:jc w:val="center"/>
              <w:rPr>
                <w:rFonts w:eastAsia="仿宋_GB2312"/>
                <w:color w:val="000000" w:themeColor="text1"/>
                <w:sz w:val="21"/>
                <w:szCs w:val="21"/>
              </w:rPr>
            </w:pPr>
            <w:r>
              <w:rPr>
                <w:rFonts w:eastAsia="仿宋_GB2312"/>
                <w:color w:val="000000" w:themeColor="text1"/>
                <w:sz w:val="21"/>
                <w:szCs w:val="21"/>
              </w:rPr>
              <w:t>2</w:t>
            </w:r>
          </w:p>
        </w:tc>
        <w:tc>
          <w:tcPr>
            <w:tcW w:w="1276"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建设与恢复期</w:t>
            </w:r>
          </w:p>
        </w:tc>
        <w:tc>
          <w:tcPr>
            <w:tcW w:w="1222"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化验分析</w:t>
            </w:r>
          </w:p>
        </w:tc>
        <w:tc>
          <w:tcPr>
            <w:tcW w:w="537"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1</w:t>
            </w:r>
          </w:p>
        </w:tc>
        <w:tc>
          <w:tcPr>
            <w:tcW w:w="1408"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1人×1次×1天</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16" w:hRule="atLeast"/>
          <w:jc w:val="center"/>
        </w:trPr>
        <w:tc>
          <w:tcPr>
            <w:tcW w:w="554" w:type="pct"/>
            <w:tcMar>
              <w:left w:w="0" w:type="dxa"/>
              <w:right w:w="0" w:type="dxa"/>
            </w:tcMar>
            <w:vAlign w:val="center"/>
          </w:tcPr>
          <w:p>
            <w:pPr>
              <w:widowControl/>
              <w:jc w:val="center"/>
              <w:rPr>
                <w:rFonts w:eastAsia="仿宋_GB2312"/>
                <w:color w:val="000000" w:themeColor="text1"/>
                <w:sz w:val="21"/>
                <w:szCs w:val="21"/>
              </w:rPr>
            </w:pPr>
            <w:r>
              <w:rPr>
                <w:rFonts w:eastAsia="仿宋_GB2312"/>
                <w:color w:val="000000" w:themeColor="text1"/>
                <w:sz w:val="21"/>
                <w:szCs w:val="21"/>
              </w:rPr>
              <w:t>3</w:t>
            </w:r>
          </w:p>
        </w:tc>
        <w:tc>
          <w:tcPr>
            <w:tcW w:w="1276"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整个监测时段</w:t>
            </w:r>
          </w:p>
        </w:tc>
        <w:tc>
          <w:tcPr>
            <w:tcW w:w="1222" w:type="pct"/>
            <w:tcBorders>
              <w:bottom w:val="single" w:color="auto" w:sz="4" w:space="0"/>
            </w:tcBorders>
            <w:vAlign w:val="center"/>
          </w:tcPr>
          <w:p>
            <w:pPr>
              <w:widowControl/>
              <w:jc w:val="center"/>
              <w:rPr>
                <w:rFonts w:eastAsia="仿宋_GB2312"/>
                <w:color w:val="000000" w:themeColor="text1"/>
                <w:sz w:val="21"/>
                <w:szCs w:val="21"/>
              </w:rPr>
            </w:pPr>
            <w:r>
              <w:rPr>
                <w:rFonts w:eastAsia="仿宋_GB2312"/>
                <w:color w:val="000000" w:themeColor="text1"/>
                <w:sz w:val="21"/>
                <w:szCs w:val="21"/>
              </w:rPr>
              <w:t>编制监测季度报告表</w:t>
            </w:r>
          </w:p>
        </w:tc>
        <w:tc>
          <w:tcPr>
            <w:tcW w:w="537" w:type="pct"/>
            <w:tcBorders>
              <w:bottom w:val="single" w:color="auto" w:sz="4" w:space="0"/>
            </w:tcBorders>
            <w:vAlign w:val="center"/>
          </w:tcPr>
          <w:p>
            <w:pPr>
              <w:widowControl/>
              <w:jc w:val="center"/>
              <w:rPr>
                <w:rFonts w:eastAsia="仿宋_GB2312"/>
                <w:color w:val="000000" w:themeColor="text1"/>
                <w:sz w:val="21"/>
                <w:szCs w:val="21"/>
              </w:rPr>
            </w:pPr>
            <w:r>
              <w:rPr>
                <w:rFonts w:eastAsia="仿宋_GB2312"/>
                <w:color w:val="000000" w:themeColor="text1"/>
                <w:sz w:val="21"/>
                <w:szCs w:val="21"/>
              </w:rPr>
              <w:t>11</w:t>
            </w:r>
          </w:p>
        </w:tc>
        <w:tc>
          <w:tcPr>
            <w:tcW w:w="1408" w:type="pct"/>
            <w:tcBorders>
              <w:bottom w:val="single" w:color="auto" w:sz="4" w:space="0"/>
            </w:tcBorders>
            <w:vAlign w:val="center"/>
          </w:tcPr>
          <w:p>
            <w:pPr>
              <w:widowControl/>
              <w:jc w:val="center"/>
              <w:rPr>
                <w:rFonts w:eastAsia="仿宋_GB2312"/>
                <w:color w:val="000000" w:themeColor="text1"/>
                <w:sz w:val="21"/>
                <w:szCs w:val="21"/>
              </w:rPr>
            </w:pPr>
            <w:r>
              <w:rPr>
                <w:rFonts w:eastAsia="仿宋_GB2312"/>
                <w:color w:val="000000" w:themeColor="text1"/>
                <w:sz w:val="21"/>
                <w:szCs w:val="21"/>
              </w:rPr>
              <w:t>1人×11次×1天</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4" w:type="pct"/>
            <w:tcMar>
              <w:left w:w="0" w:type="dxa"/>
              <w:right w:w="0" w:type="dxa"/>
            </w:tcMar>
            <w:vAlign w:val="center"/>
          </w:tcPr>
          <w:p>
            <w:pPr>
              <w:widowControl/>
              <w:jc w:val="center"/>
              <w:rPr>
                <w:rFonts w:eastAsia="仿宋_GB2312"/>
                <w:color w:val="000000" w:themeColor="text1"/>
                <w:sz w:val="21"/>
                <w:szCs w:val="21"/>
              </w:rPr>
            </w:pPr>
            <w:r>
              <w:rPr>
                <w:rFonts w:eastAsia="仿宋_GB2312"/>
                <w:color w:val="000000" w:themeColor="text1"/>
                <w:sz w:val="21"/>
                <w:szCs w:val="21"/>
              </w:rPr>
              <w:t>4</w:t>
            </w:r>
          </w:p>
        </w:tc>
        <w:tc>
          <w:tcPr>
            <w:tcW w:w="1276"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植被恢复期末</w:t>
            </w:r>
          </w:p>
        </w:tc>
        <w:tc>
          <w:tcPr>
            <w:tcW w:w="1222"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编制监测总结报告</w:t>
            </w:r>
          </w:p>
        </w:tc>
        <w:tc>
          <w:tcPr>
            <w:tcW w:w="537"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14</w:t>
            </w:r>
          </w:p>
        </w:tc>
        <w:tc>
          <w:tcPr>
            <w:tcW w:w="1408"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1人×14天</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4" w:type="pct"/>
            <w:tcMar>
              <w:left w:w="0" w:type="dxa"/>
              <w:right w:w="0" w:type="dxa"/>
            </w:tcMar>
            <w:vAlign w:val="center"/>
          </w:tcPr>
          <w:p>
            <w:pPr>
              <w:widowControl/>
              <w:jc w:val="center"/>
              <w:rPr>
                <w:rFonts w:eastAsia="仿宋_GB2312"/>
                <w:color w:val="000000" w:themeColor="text1"/>
                <w:sz w:val="21"/>
                <w:szCs w:val="21"/>
              </w:rPr>
            </w:pPr>
            <w:r>
              <w:rPr>
                <w:rFonts w:eastAsia="仿宋_GB2312"/>
                <w:color w:val="000000" w:themeColor="text1"/>
                <w:sz w:val="21"/>
                <w:szCs w:val="21"/>
              </w:rPr>
              <w:t>5</w:t>
            </w:r>
          </w:p>
        </w:tc>
        <w:tc>
          <w:tcPr>
            <w:tcW w:w="1276"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监测时段前后</w:t>
            </w:r>
          </w:p>
        </w:tc>
        <w:tc>
          <w:tcPr>
            <w:tcW w:w="1222"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制图</w:t>
            </w:r>
          </w:p>
        </w:tc>
        <w:tc>
          <w:tcPr>
            <w:tcW w:w="537"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2</w:t>
            </w:r>
          </w:p>
        </w:tc>
        <w:tc>
          <w:tcPr>
            <w:tcW w:w="1408"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1人×1次×2天</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40" w:hRule="atLeast"/>
          <w:jc w:val="center"/>
        </w:trPr>
        <w:tc>
          <w:tcPr>
            <w:tcW w:w="554" w:type="pct"/>
            <w:tcMar>
              <w:left w:w="0" w:type="dxa"/>
              <w:right w:w="0" w:type="dxa"/>
            </w:tcMar>
            <w:vAlign w:val="center"/>
          </w:tcPr>
          <w:p>
            <w:pPr>
              <w:widowControl/>
              <w:jc w:val="center"/>
              <w:rPr>
                <w:rFonts w:eastAsia="仿宋_GB2312"/>
                <w:color w:val="000000" w:themeColor="text1"/>
                <w:sz w:val="21"/>
                <w:szCs w:val="21"/>
              </w:rPr>
            </w:pPr>
          </w:p>
        </w:tc>
        <w:tc>
          <w:tcPr>
            <w:tcW w:w="1276" w:type="pct"/>
            <w:vAlign w:val="center"/>
          </w:tcPr>
          <w:p>
            <w:pPr>
              <w:widowControl/>
              <w:jc w:val="center"/>
              <w:rPr>
                <w:rFonts w:eastAsia="仿宋_GB2312"/>
                <w:color w:val="000000" w:themeColor="text1"/>
                <w:sz w:val="21"/>
                <w:szCs w:val="21"/>
              </w:rPr>
            </w:pPr>
            <w:r>
              <w:rPr>
                <w:rFonts w:eastAsia="仿宋_GB2312"/>
                <w:color w:val="000000" w:themeColor="text1"/>
                <w:sz w:val="21"/>
                <w:szCs w:val="21"/>
              </w:rPr>
              <w:t>合  计</w:t>
            </w:r>
          </w:p>
        </w:tc>
        <w:tc>
          <w:tcPr>
            <w:tcW w:w="1222" w:type="pct"/>
            <w:vAlign w:val="center"/>
          </w:tcPr>
          <w:p>
            <w:pPr>
              <w:widowControl/>
              <w:jc w:val="center"/>
              <w:rPr>
                <w:rFonts w:eastAsia="仿宋_GB2312"/>
                <w:color w:val="000000" w:themeColor="text1"/>
                <w:sz w:val="21"/>
                <w:szCs w:val="21"/>
              </w:rPr>
            </w:pPr>
          </w:p>
        </w:tc>
        <w:tc>
          <w:tcPr>
            <w:tcW w:w="537" w:type="pct"/>
            <w:vAlign w:val="center"/>
          </w:tcPr>
          <w:p>
            <w:pPr>
              <w:widowControl/>
              <w:jc w:val="center"/>
              <w:rPr>
                <w:rFonts w:eastAsia="仿宋_GB2312"/>
                <w:color w:val="000000" w:themeColor="text1"/>
                <w:sz w:val="21"/>
                <w:szCs w:val="21"/>
              </w:rPr>
            </w:pPr>
            <w:r>
              <w:rPr>
                <w:rFonts w:hint="eastAsia" w:eastAsia="仿宋_GB2312"/>
                <w:color w:val="000000" w:themeColor="text1"/>
                <w:sz w:val="21"/>
                <w:szCs w:val="21"/>
              </w:rPr>
              <w:t>92</w:t>
            </w:r>
          </w:p>
        </w:tc>
        <w:tc>
          <w:tcPr>
            <w:tcW w:w="1408" w:type="pct"/>
            <w:vAlign w:val="center"/>
          </w:tcPr>
          <w:p>
            <w:pPr>
              <w:widowControl/>
              <w:jc w:val="center"/>
              <w:rPr>
                <w:rFonts w:eastAsia="仿宋_GB2312"/>
                <w:color w:val="000000" w:themeColor="text1"/>
                <w:sz w:val="21"/>
                <w:szCs w:val="21"/>
              </w:rPr>
            </w:pPr>
          </w:p>
        </w:tc>
      </w:tr>
    </w:tbl>
    <w:p>
      <w:pPr>
        <w:pStyle w:val="54"/>
        <w:ind w:firstLine="480"/>
        <w:rPr>
          <w:rFonts w:ascii="Times New Roman" w:hAnsi="Times New Roman" w:eastAsia="仿宋_GB2312" w:cs="Times New Roman"/>
          <w:color w:val="000000" w:themeColor="text1"/>
          <w:sz w:val="24"/>
          <w:szCs w:val="24"/>
        </w:rPr>
      </w:pPr>
      <w:r>
        <w:rPr>
          <w:rFonts w:ascii="Times New Roman" w:hAnsi="Times New Roman" w:eastAsia="仿宋_GB2312" w:cs="Times New Roman"/>
          <w:color w:val="000000" w:themeColor="text1"/>
          <w:sz w:val="24"/>
          <w:szCs w:val="24"/>
        </w:rPr>
        <w:t>（2）监测设施和设备</w:t>
      </w:r>
    </w:p>
    <w:p>
      <w:pPr>
        <w:pStyle w:val="54"/>
        <w:ind w:firstLine="480"/>
        <w:rPr>
          <w:rFonts w:ascii="Times New Roman" w:hAnsi="Times New Roman" w:cs="Times New Roman"/>
          <w:color w:val="000000" w:themeColor="text1"/>
        </w:rPr>
      </w:pPr>
      <w:r>
        <w:rPr>
          <w:rFonts w:ascii="Times New Roman" w:hAnsi="Times New Roman" w:eastAsia="仿宋_GB2312" w:cs="Times New Roman"/>
          <w:color w:val="000000" w:themeColor="text1"/>
          <w:sz w:val="24"/>
          <w:szCs w:val="24"/>
        </w:rPr>
        <w:t>依据项目实施进度和项目的实际情况，在各个监测点设置临时监测场，便于进行定点观测。按监测内容和监测方法的要求，水土保持监测需要的主要仪器设备有 GPS 定位仪、温度计、比重计、坡度仪、卷尺、测钎、测量设备及其他小型监测设备。监测设施、设备及消耗性材料汇总见表6-4。</w:t>
      </w:r>
    </w:p>
    <w:p>
      <w:pPr>
        <w:jc w:val="center"/>
        <w:rPr>
          <w:rFonts w:eastAsia="仿宋_GB2312"/>
          <w:b/>
          <w:bCs/>
          <w:color w:val="000000" w:themeColor="text1"/>
          <w:highlight w:val="cyan"/>
        </w:rPr>
      </w:pPr>
      <w:r>
        <w:rPr>
          <w:rFonts w:eastAsia="仿宋_GB2312"/>
          <w:b/>
          <w:bCs/>
          <w:color w:val="000000" w:themeColor="text1"/>
          <w:szCs w:val="24"/>
        </w:rPr>
        <w:t xml:space="preserve">表6-4  </w:t>
      </w:r>
      <w:r>
        <w:rPr>
          <w:rFonts w:eastAsia="仿宋_GB2312"/>
          <w:b/>
          <w:bCs/>
          <w:color w:val="000000" w:themeColor="text1"/>
        </w:rPr>
        <w:t>监测设施设备表</w:t>
      </w:r>
    </w:p>
    <w:tbl>
      <w:tblPr>
        <w:tblStyle w:val="23"/>
        <w:tblW w:w="4998"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0" w:type="dxa"/>
          <w:bottom w:w="0" w:type="dxa"/>
          <w:right w:w="0" w:type="dxa"/>
        </w:tblCellMar>
      </w:tblPr>
      <w:tblGrid>
        <w:gridCol w:w="821"/>
        <w:gridCol w:w="2830"/>
        <w:gridCol w:w="1354"/>
        <w:gridCol w:w="1627"/>
        <w:gridCol w:w="1693"/>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93" w:type="pct"/>
            <w:tcBorders>
              <w:tl2br w:val="nil"/>
              <w:tr2bl w:val="nil"/>
            </w:tcBorders>
            <w:vAlign w:val="center"/>
          </w:tcPr>
          <w:p>
            <w:pPr>
              <w:pStyle w:val="99"/>
              <w:spacing w:line="240" w:lineRule="auto"/>
              <w:ind w:left="195" w:right="165"/>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序号</w:t>
            </w:r>
          </w:p>
        </w:tc>
        <w:tc>
          <w:tcPr>
            <w:tcW w:w="1699" w:type="pct"/>
            <w:tcBorders>
              <w:tl2br w:val="nil"/>
              <w:tr2bl w:val="nil"/>
            </w:tcBorders>
            <w:vAlign w:val="center"/>
          </w:tcPr>
          <w:p>
            <w:pPr>
              <w:pStyle w:val="99"/>
              <w:spacing w:line="240" w:lineRule="auto"/>
              <w:ind w:left="177" w:right="14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监测设施与设备</w:t>
            </w:r>
          </w:p>
        </w:tc>
        <w:tc>
          <w:tcPr>
            <w:tcW w:w="813" w:type="pct"/>
            <w:tcBorders>
              <w:tl2br w:val="nil"/>
              <w:tr2bl w:val="nil"/>
            </w:tcBorders>
            <w:vAlign w:val="center"/>
          </w:tcPr>
          <w:p>
            <w:pPr>
              <w:pStyle w:val="99"/>
              <w:spacing w:line="240" w:lineRule="auto"/>
              <w:ind w:left="470" w:right="442"/>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单位</w:t>
            </w:r>
          </w:p>
        </w:tc>
        <w:tc>
          <w:tcPr>
            <w:tcW w:w="977" w:type="pct"/>
            <w:tcBorders>
              <w:tl2br w:val="nil"/>
              <w:tr2bl w:val="nil"/>
            </w:tcBorders>
            <w:vAlign w:val="center"/>
          </w:tcPr>
          <w:p>
            <w:pPr>
              <w:pStyle w:val="99"/>
              <w:spacing w:line="240" w:lineRule="auto"/>
              <w:ind w:left="610" w:right="583"/>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数量</w:t>
            </w:r>
          </w:p>
        </w:tc>
        <w:tc>
          <w:tcPr>
            <w:tcW w:w="1016" w:type="pct"/>
            <w:tcBorders>
              <w:tl2br w:val="nil"/>
              <w:tr2bl w:val="nil"/>
            </w:tcBorders>
            <w:vAlign w:val="center"/>
          </w:tcPr>
          <w:p>
            <w:pPr>
              <w:pStyle w:val="99"/>
              <w:spacing w:line="240" w:lineRule="auto"/>
              <w:ind w:left="220" w:right="191"/>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损耗计费方式</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93" w:type="pct"/>
            <w:tcBorders>
              <w:tl2br w:val="nil"/>
              <w:tr2bl w:val="nil"/>
            </w:tcBorders>
            <w:vAlign w:val="center"/>
          </w:tcPr>
          <w:p>
            <w:pPr>
              <w:pStyle w:val="99"/>
              <w:spacing w:line="240" w:lineRule="auto"/>
              <w:ind w:left="26"/>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一</w:t>
            </w:r>
          </w:p>
        </w:tc>
        <w:tc>
          <w:tcPr>
            <w:tcW w:w="1699" w:type="pct"/>
            <w:tcBorders>
              <w:tl2br w:val="nil"/>
              <w:tr2bl w:val="nil"/>
            </w:tcBorders>
            <w:vAlign w:val="center"/>
          </w:tcPr>
          <w:p>
            <w:pPr>
              <w:pStyle w:val="99"/>
              <w:spacing w:line="240" w:lineRule="auto"/>
              <w:ind w:left="178" w:right="14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消耗性材料</w:t>
            </w:r>
          </w:p>
        </w:tc>
        <w:tc>
          <w:tcPr>
            <w:tcW w:w="813" w:type="pct"/>
            <w:tcBorders>
              <w:tl2br w:val="nil"/>
              <w:tr2bl w:val="nil"/>
            </w:tcBorders>
            <w:vAlign w:val="center"/>
          </w:tcPr>
          <w:p>
            <w:pPr>
              <w:pStyle w:val="99"/>
              <w:spacing w:line="240" w:lineRule="auto"/>
              <w:jc w:val="left"/>
              <w:rPr>
                <w:rFonts w:ascii="Times New Roman" w:hAnsi="Times New Roman" w:eastAsia="仿宋_GB2312" w:cs="Times New Roman"/>
                <w:bCs/>
                <w:color w:val="000000" w:themeColor="text1"/>
                <w:sz w:val="21"/>
                <w:szCs w:val="21"/>
              </w:rPr>
            </w:pPr>
          </w:p>
        </w:tc>
        <w:tc>
          <w:tcPr>
            <w:tcW w:w="977" w:type="pct"/>
            <w:tcBorders>
              <w:tl2br w:val="nil"/>
              <w:tr2bl w:val="nil"/>
            </w:tcBorders>
            <w:vAlign w:val="center"/>
          </w:tcPr>
          <w:p>
            <w:pPr>
              <w:pStyle w:val="99"/>
              <w:spacing w:line="240" w:lineRule="auto"/>
              <w:jc w:val="left"/>
              <w:rPr>
                <w:rFonts w:ascii="Times New Roman" w:hAnsi="Times New Roman" w:eastAsia="仿宋_GB2312" w:cs="Times New Roman"/>
                <w:bCs/>
                <w:color w:val="000000" w:themeColor="text1"/>
                <w:sz w:val="21"/>
                <w:szCs w:val="21"/>
              </w:rPr>
            </w:pPr>
          </w:p>
        </w:tc>
        <w:tc>
          <w:tcPr>
            <w:tcW w:w="1016" w:type="pct"/>
            <w:tcBorders>
              <w:tl2br w:val="nil"/>
              <w:tr2bl w:val="nil"/>
            </w:tcBorders>
            <w:vAlign w:val="center"/>
          </w:tcPr>
          <w:p>
            <w:pPr>
              <w:pStyle w:val="99"/>
              <w:spacing w:line="240" w:lineRule="auto"/>
              <w:jc w:val="left"/>
              <w:rPr>
                <w:rFonts w:ascii="Times New Roman" w:hAnsi="Times New Roman" w:eastAsia="仿宋_GB2312" w:cs="Times New Roman"/>
                <w:bCs/>
                <w:color w:val="000000" w:themeColor="text1"/>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93" w:type="pct"/>
            <w:tcBorders>
              <w:tl2br w:val="nil"/>
              <w:tr2bl w:val="nil"/>
            </w:tcBorders>
            <w:vAlign w:val="center"/>
          </w:tcPr>
          <w:p>
            <w:pPr>
              <w:pStyle w:val="99"/>
              <w:spacing w:before="35" w:line="240" w:lineRule="auto"/>
              <w:ind w:left="2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1</w:t>
            </w:r>
          </w:p>
        </w:tc>
        <w:tc>
          <w:tcPr>
            <w:tcW w:w="1699" w:type="pct"/>
            <w:tcBorders>
              <w:tl2br w:val="nil"/>
              <w:tr2bl w:val="nil"/>
            </w:tcBorders>
            <w:vAlign w:val="center"/>
          </w:tcPr>
          <w:p>
            <w:pPr>
              <w:pStyle w:val="99"/>
              <w:spacing w:before="21" w:line="240" w:lineRule="auto"/>
              <w:ind w:left="178" w:right="14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取样玻璃仪器</w:t>
            </w:r>
          </w:p>
        </w:tc>
        <w:tc>
          <w:tcPr>
            <w:tcW w:w="813" w:type="pct"/>
            <w:tcBorders>
              <w:tl2br w:val="nil"/>
              <w:tr2bl w:val="nil"/>
            </w:tcBorders>
            <w:vAlign w:val="center"/>
          </w:tcPr>
          <w:p>
            <w:pPr>
              <w:pStyle w:val="99"/>
              <w:spacing w:before="21" w:line="240" w:lineRule="auto"/>
              <w:ind w:left="27"/>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套</w:t>
            </w:r>
          </w:p>
        </w:tc>
        <w:tc>
          <w:tcPr>
            <w:tcW w:w="977" w:type="pct"/>
            <w:tcBorders>
              <w:tl2br w:val="nil"/>
              <w:tr2bl w:val="nil"/>
            </w:tcBorders>
            <w:vAlign w:val="center"/>
          </w:tcPr>
          <w:p>
            <w:pPr>
              <w:pStyle w:val="99"/>
              <w:spacing w:before="35" w:line="240" w:lineRule="auto"/>
              <w:ind w:left="27"/>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1</w:t>
            </w:r>
          </w:p>
        </w:tc>
        <w:tc>
          <w:tcPr>
            <w:tcW w:w="1016" w:type="pct"/>
            <w:tcBorders>
              <w:tl2br w:val="nil"/>
              <w:tr2bl w:val="nil"/>
            </w:tcBorders>
            <w:vAlign w:val="center"/>
          </w:tcPr>
          <w:p>
            <w:pPr>
              <w:pStyle w:val="99"/>
              <w:spacing w:before="21" w:line="240" w:lineRule="auto"/>
              <w:ind w:left="220" w:right="190"/>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易损品，全计</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93" w:type="pct"/>
            <w:tcBorders>
              <w:tl2br w:val="nil"/>
              <w:tr2bl w:val="nil"/>
            </w:tcBorders>
            <w:vAlign w:val="center"/>
          </w:tcPr>
          <w:p>
            <w:pPr>
              <w:pStyle w:val="99"/>
              <w:spacing w:before="34" w:line="240" w:lineRule="auto"/>
              <w:ind w:left="2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2</w:t>
            </w:r>
          </w:p>
        </w:tc>
        <w:tc>
          <w:tcPr>
            <w:tcW w:w="1699" w:type="pct"/>
            <w:tcBorders>
              <w:tl2br w:val="nil"/>
              <w:tr2bl w:val="nil"/>
            </w:tcBorders>
            <w:vAlign w:val="center"/>
          </w:tcPr>
          <w:p>
            <w:pPr>
              <w:pStyle w:val="99"/>
              <w:spacing w:before="20" w:line="240" w:lineRule="auto"/>
              <w:ind w:left="178" w:right="14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采样工具</w:t>
            </w:r>
          </w:p>
        </w:tc>
        <w:tc>
          <w:tcPr>
            <w:tcW w:w="813" w:type="pct"/>
            <w:tcBorders>
              <w:tl2br w:val="nil"/>
              <w:tr2bl w:val="nil"/>
            </w:tcBorders>
            <w:vAlign w:val="center"/>
          </w:tcPr>
          <w:p>
            <w:pPr>
              <w:pStyle w:val="99"/>
              <w:spacing w:before="20" w:line="240" w:lineRule="auto"/>
              <w:ind w:left="27"/>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套</w:t>
            </w:r>
          </w:p>
        </w:tc>
        <w:tc>
          <w:tcPr>
            <w:tcW w:w="977" w:type="pct"/>
            <w:tcBorders>
              <w:tl2br w:val="nil"/>
              <w:tr2bl w:val="nil"/>
            </w:tcBorders>
            <w:vAlign w:val="center"/>
          </w:tcPr>
          <w:p>
            <w:pPr>
              <w:pStyle w:val="99"/>
              <w:spacing w:before="34" w:line="240" w:lineRule="auto"/>
              <w:ind w:left="27"/>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1</w:t>
            </w:r>
          </w:p>
        </w:tc>
        <w:tc>
          <w:tcPr>
            <w:tcW w:w="1016" w:type="pct"/>
            <w:tcBorders>
              <w:tl2br w:val="nil"/>
              <w:tr2bl w:val="nil"/>
            </w:tcBorders>
            <w:vAlign w:val="center"/>
          </w:tcPr>
          <w:p>
            <w:pPr>
              <w:pStyle w:val="99"/>
              <w:spacing w:before="20" w:line="240" w:lineRule="auto"/>
              <w:ind w:left="220" w:right="190"/>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易损品，全计</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93" w:type="pct"/>
            <w:tcBorders>
              <w:tl2br w:val="nil"/>
              <w:tr2bl w:val="nil"/>
            </w:tcBorders>
            <w:vAlign w:val="center"/>
          </w:tcPr>
          <w:p>
            <w:pPr>
              <w:pStyle w:val="99"/>
              <w:spacing w:before="35" w:line="240" w:lineRule="auto"/>
              <w:ind w:left="2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3</w:t>
            </w:r>
          </w:p>
        </w:tc>
        <w:tc>
          <w:tcPr>
            <w:tcW w:w="1699" w:type="pct"/>
            <w:tcBorders>
              <w:tl2br w:val="nil"/>
              <w:tr2bl w:val="nil"/>
            </w:tcBorders>
            <w:vAlign w:val="center"/>
          </w:tcPr>
          <w:p>
            <w:pPr>
              <w:pStyle w:val="99"/>
              <w:spacing w:before="21" w:line="240" w:lineRule="auto"/>
              <w:ind w:left="177" w:right="14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围栏网</w:t>
            </w:r>
          </w:p>
        </w:tc>
        <w:tc>
          <w:tcPr>
            <w:tcW w:w="813" w:type="pct"/>
            <w:tcBorders>
              <w:tl2br w:val="nil"/>
              <w:tr2bl w:val="nil"/>
            </w:tcBorders>
            <w:vAlign w:val="center"/>
          </w:tcPr>
          <w:p>
            <w:pPr>
              <w:pStyle w:val="99"/>
              <w:spacing w:before="35" w:line="240" w:lineRule="auto"/>
              <w:ind w:left="28"/>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m</w:t>
            </w:r>
          </w:p>
        </w:tc>
        <w:tc>
          <w:tcPr>
            <w:tcW w:w="977" w:type="pct"/>
            <w:tcBorders>
              <w:tl2br w:val="nil"/>
              <w:tr2bl w:val="nil"/>
            </w:tcBorders>
            <w:vAlign w:val="center"/>
          </w:tcPr>
          <w:p>
            <w:pPr>
              <w:pStyle w:val="99"/>
              <w:spacing w:before="35" w:line="240" w:lineRule="auto"/>
              <w:ind w:left="609" w:right="583"/>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50</w:t>
            </w:r>
          </w:p>
        </w:tc>
        <w:tc>
          <w:tcPr>
            <w:tcW w:w="1016" w:type="pct"/>
            <w:tcBorders>
              <w:tl2br w:val="nil"/>
              <w:tr2bl w:val="nil"/>
            </w:tcBorders>
            <w:vAlign w:val="center"/>
          </w:tcPr>
          <w:p>
            <w:pPr>
              <w:pStyle w:val="99"/>
              <w:spacing w:before="21" w:line="240" w:lineRule="auto"/>
              <w:ind w:left="220" w:right="190"/>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易损品，全计</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93" w:type="pct"/>
            <w:tcBorders>
              <w:tl2br w:val="nil"/>
              <w:tr2bl w:val="nil"/>
            </w:tcBorders>
            <w:vAlign w:val="center"/>
          </w:tcPr>
          <w:p>
            <w:pPr>
              <w:pStyle w:val="99"/>
              <w:spacing w:before="34" w:line="240" w:lineRule="auto"/>
              <w:ind w:left="2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4</w:t>
            </w:r>
          </w:p>
        </w:tc>
        <w:tc>
          <w:tcPr>
            <w:tcW w:w="1699" w:type="pct"/>
            <w:tcBorders>
              <w:tl2br w:val="nil"/>
              <w:tr2bl w:val="nil"/>
            </w:tcBorders>
            <w:vAlign w:val="center"/>
          </w:tcPr>
          <w:p>
            <w:pPr>
              <w:pStyle w:val="99"/>
              <w:spacing w:before="20" w:line="240" w:lineRule="auto"/>
              <w:ind w:left="177" w:right="14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标志绳</w:t>
            </w:r>
          </w:p>
        </w:tc>
        <w:tc>
          <w:tcPr>
            <w:tcW w:w="813" w:type="pct"/>
            <w:tcBorders>
              <w:tl2br w:val="nil"/>
              <w:tr2bl w:val="nil"/>
            </w:tcBorders>
            <w:vAlign w:val="center"/>
          </w:tcPr>
          <w:p>
            <w:pPr>
              <w:pStyle w:val="99"/>
              <w:spacing w:before="34" w:line="240" w:lineRule="auto"/>
              <w:ind w:left="28"/>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m</w:t>
            </w:r>
          </w:p>
        </w:tc>
        <w:tc>
          <w:tcPr>
            <w:tcW w:w="977" w:type="pct"/>
            <w:tcBorders>
              <w:tl2br w:val="nil"/>
              <w:tr2bl w:val="nil"/>
            </w:tcBorders>
            <w:vAlign w:val="center"/>
          </w:tcPr>
          <w:p>
            <w:pPr>
              <w:pStyle w:val="99"/>
              <w:spacing w:before="34" w:line="240" w:lineRule="auto"/>
              <w:ind w:left="608" w:right="583"/>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100</w:t>
            </w:r>
          </w:p>
        </w:tc>
        <w:tc>
          <w:tcPr>
            <w:tcW w:w="1016" w:type="pct"/>
            <w:tcBorders>
              <w:tl2br w:val="nil"/>
              <w:tr2bl w:val="nil"/>
            </w:tcBorders>
            <w:vAlign w:val="center"/>
          </w:tcPr>
          <w:p>
            <w:pPr>
              <w:pStyle w:val="99"/>
              <w:spacing w:before="20" w:line="240" w:lineRule="auto"/>
              <w:ind w:left="220" w:right="190"/>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易损品，全计</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93" w:type="pct"/>
            <w:tcBorders>
              <w:tl2br w:val="nil"/>
              <w:tr2bl w:val="nil"/>
            </w:tcBorders>
            <w:vAlign w:val="center"/>
          </w:tcPr>
          <w:p>
            <w:pPr>
              <w:pStyle w:val="99"/>
              <w:spacing w:before="34" w:line="240" w:lineRule="auto"/>
              <w:ind w:left="2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5</w:t>
            </w:r>
          </w:p>
        </w:tc>
        <w:tc>
          <w:tcPr>
            <w:tcW w:w="1699" w:type="pct"/>
            <w:tcBorders>
              <w:tl2br w:val="nil"/>
              <w:tr2bl w:val="nil"/>
            </w:tcBorders>
            <w:vAlign w:val="center"/>
          </w:tcPr>
          <w:p>
            <w:pPr>
              <w:pStyle w:val="99"/>
              <w:spacing w:before="20" w:line="240" w:lineRule="auto"/>
              <w:ind w:left="178" w:right="14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测钎</w:t>
            </w:r>
          </w:p>
        </w:tc>
        <w:tc>
          <w:tcPr>
            <w:tcW w:w="813" w:type="pct"/>
            <w:tcBorders>
              <w:tl2br w:val="nil"/>
              <w:tr2bl w:val="nil"/>
            </w:tcBorders>
            <w:vAlign w:val="center"/>
          </w:tcPr>
          <w:p>
            <w:pPr>
              <w:pStyle w:val="99"/>
              <w:spacing w:before="20" w:line="240" w:lineRule="auto"/>
              <w:ind w:left="27"/>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根</w:t>
            </w:r>
          </w:p>
        </w:tc>
        <w:tc>
          <w:tcPr>
            <w:tcW w:w="977" w:type="pct"/>
            <w:tcBorders>
              <w:tl2br w:val="nil"/>
              <w:tr2bl w:val="nil"/>
            </w:tcBorders>
            <w:vAlign w:val="center"/>
          </w:tcPr>
          <w:p>
            <w:pPr>
              <w:pStyle w:val="99"/>
              <w:spacing w:before="34" w:line="240" w:lineRule="auto"/>
              <w:ind w:left="610" w:right="583"/>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25</w:t>
            </w:r>
          </w:p>
        </w:tc>
        <w:tc>
          <w:tcPr>
            <w:tcW w:w="1016" w:type="pct"/>
            <w:tcBorders>
              <w:tl2br w:val="nil"/>
              <w:tr2bl w:val="nil"/>
            </w:tcBorders>
            <w:vAlign w:val="center"/>
          </w:tcPr>
          <w:p>
            <w:pPr>
              <w:pStyle w:val="99"/>
              <w:spacing w:before="20" w:line="240" w:lineRule="auto"/>
              <w:ind w:left="220" w:right="190"/>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易损品，全计</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93" w:type="pct"/>
            <w:tcBorders>
              <w:tl2br w:val="nil"/>
              <w:tr2bl w:val="nil"/>
            </w:tcBorders>
            <w:vAlign w:val="center"/>
          </w:tcPr>
          <w:p>
            <w:pPr>
              <w:pStyle w:val="99"/>
              <w:spacing w:before="35" w:line="240" w:lineRule="auto"/>
              <w:ind w:left="195" w:right="165"/>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6</w:t>
            </w:r>
          </w:p>
        </w:tc>
        <w:tc>
          <w:tcPr>
            <w:tcW w:w="1699" w:type="pct"/>
            <w:tcBorders>
              <w:tl2br w:val="nil"/>
              <w:tr2bl w:val="nil"/>
            </w:tcBorders>
            <w:vAlign w:val="center"/>
          </w:tcPr>
          <w:p>
            <w:pPr>
              <w:pStyle w:val="99"/>
              <w:spacing w:before="21" w:line="240" w:lineRule="auto"/>
              <w:ind w:left="177" w:right="14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标志牌</w:t>
            </w:r>
          </w:p>
        </w:tc>
        <w:tc>
          <w:tcPr>
            <w:tcW w:w="813" w:type="pct"/>
            <w:tcBorders>
              <w:tl2br w:val="nil"/>
              <w:tr2bl w:val="nil"/>
            </w:tcBorders>
            <w:vAlign w:val="center"/>
          </w:tcPr>
          <w:p>
            <w:pPr>
              <w:pStyle w:val="99"/>
              <w:spacing w:before="21" w:line="240" w:lineRule="auto"/>
              <w:ind w:left="27"/>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个</w:t>
            </w:r>
          </w:p>
        </w:tc>
        <w:tc>
          <w:tcPr>
            <w:tcW w:w="977" w:type="pct"/>
            <w:tcBorders>
              <w:tl2br w:val="nil"/>
              <w:tr2bl w:val="nil"/>
            </w:tcBorders>
            <w:vAlign w:val="center"/>
          </w:tcPr>
          <w:p>
            <w:pPr>
              <w:pStyle w:val="99"/>
              <w:spacing w:before="35" w:line="240" w:lineRule="auto"/>
              <w:ind w:left="26"/>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1</w:t>
            </w:r>
          </w:p>
        </w:tc>
        <w:tc>
          <w:tcPr>
            <w:tcW w:w="1016" w:type="pct"/>
            <w:tcBorders>
              <w:tl2br w:val="nil"/>
              <w:tr2bl w:val="nil"/>
            </w:tcBorders>
            <w:vAlign w:val="center"/>
          </w:tcPr>
          <w:p>
            <w:pPr>
              <w:pStyle w:val="99"/>
              <w:spacing w:before="21" w:line="240" w:lineRule="auto"/>
              <w:ind w:left="220" w:right="190"/>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易损品，全计</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93" w:type="pct"/>
            <w:tcBorders>
              <w:tl2br w:val="nil"/>
              <w:tr2bl w:val="nil"/>
            </w:tcBorders>
            <w:vAlign w:val="center"/>
          </w:tcPr>
          <w:p>
            <w:pPr>
              <w:pStyle w:val="99"/>
              <w:spacing w:before="34" w:line="240" w:lineRule="auto"/>
              <w:ind w:left="195" w:right="165"/>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7</w:t>
            </w:r>
          </w:p>
        </w:tc>
        <w:tc>
          <w:tcPr>
            <w:tcW w:w="1699" w:type="pct"/>
            <w:tcBorders>
              <w:tl2br w:val="nil"/>
              <w:tr2bl w:val="nil"/>
            </w:tcBorders>
            <w:vAlign w:val="center"/>
          </w:tcPr>
          <w:p>
            <w:pPr>
              <w:pStyle w:val="99"/>
              <w:spacing w:before="20" w:line="240" w:lineRule="auto"/>
              <w:ind w:left="178" w:right="14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皮尺</w:t>
            </w:r>
          </w:p>
        </w:tc>
        <w:tc>
          <w:tcPr>
            <w:tcW w:w="813" w:type="pct"/>
            <w:tcBorders>
              <w:tl2br w:val="nil"/>
              <w:tr2bl w:val="nil"/>
            </w:tcBorders>
            <w:vAlign w:val="center"/>
          </w:tcPr>
          <w:p>
            <w:pPr>
              <w:pStyle w:val="99"/>
              <w:spacing w:before="20" w:line="240" w:lineRule="auto"/>
              <w:ind w:left="27"/>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把</w:t>
            </w:r>
          </w:p>
        </w:tc>
        <w:tc>
          <w:tcPr>
            <w:tcW w:w="977" w:type="pct"/>
            <w:tcBorders>
              <w:tl2br w:val="nil"/>
              <w:tr2bl w:val="nil"/>
            </w:tcBorders>
            <w:vAlign w:val="center"/>
          </w:tcPr>
          <w:p>
            <w:pPr>
              <w:pStyle w:val="99"/>
              <w:spacing w:before="34" w:line="240" w:lineRule="auto"/>
              <w:ind w:left="27"/>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1</w:t>
            </w:r>
          </w:p>
        </w:tc>
        <w:tc>
          <w:tcPr>
            <w:tcW w:w="1016" w:type="pct"/>
            <w:tcBorders>
              <w:tl2br w:val="nil"/>
              <w:tr2bl w:val="nil"/>
            </w:tcBorders>
            <w:vAlign w:val="center"/>
          </w:tcPr>
          <w:p>
            <w:pPr>
              <w:pStyle w:val="99"/>
              <w:spacing w:before="20" w:line="240" w:lineRule="auto"/>
              <w:ind w:left="220" w:right="190"/>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易损品，全计</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93" w:type="pct"/>
            <w:tcBorders>
              <w:bottom w:val="single" w:color="auto" w:sz="4" w:space="0"/>
              <w:tl2br w:val="nil"/>
              <w:tr2bl w:val="nil"/>
            </w:tcBorders>
            <w:vAlign w:val="center"/>
          </w:tcPr>
          <w:p>
            <w:pPr>
              <w:pStyle w:val="99"/>
              <w:spacing w:before="35" w:line="240" w:lineRule="auto"/>
              <w:ind w:left="195" w:right="165"/>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8</w:t>
            </w:r>
          </w:p>
        </w:tc>
        <w:tc>
          <w:tcPr>
            <w:tcW w:w="1699" w:type="pct"/>
            <w:tcBorders>
              <w:bottom w:val="single" w:color="auto" w:sz="4" w:space="0"/>
              <w:tl2br w:val="nil"/>
              <w:tr2bl w:val="nil"/>
            </w:tcBorders>
            <w:vAlign w:val="center"/>
          </w:tcPr>
          <w:p>
            <w:pPr>
              <w:pStyle w:val="99"/>
              <w:spacing w:before="21" w:line="240" w:lineRule="auto"/>
              <w:ind w:left="177" w:right="14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钢卷尺</w:t>
            </w:r>
          </w:p>
        </w:tc>
        <w:tc>
          <w:tcPr>
            <w:tcW w:w="813" w:type="pct"/>
            <w:tcBorders>
              <w:bottom w:val="single" w:color="auto" w:sz="4" w:space="0"/>
              <w:tl2br w:val="nil"/>
              <w:tr2bl w:val="nil"/>
            </w:tcBorders>
            <w:vAlign w:val="center"/>
          </w:tcPr>
          <w:p>
            <w:pPr>
              <w:pStyle w:val="99"/>
              <w:spacing w:before="21" w:line="240" w:lineRule="auto"/>
              <w:ind w:left="27"/>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把</w:t>
            </w:r>
          </w:p>
        </w:tc>
        <w:tc>
          <w:tcPr>
            <w:tcW w:w="977" w:type="pct"/>
            <w:tcBorders>
              <w:bottom w:val="single" w:color="auto" w:sz="4" w:space="0"/>
              <w:tl2br w:val="nil"/>
              <w:tr2bl w:val="nil"/>
            </w:tcBorders>
            <w:vAlign w:val="center"/>
          </w:tcPr>
          <w:p>
            <w:pPr>
              <w:pStyle w:val="99"/>
              <w:spacing w:before="35" w:line="240" w:lineRule="auto"/>
              <w:ind w:left="26"/>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1</w:t>
            </w:r>
          </w:p>
        </w:tc>
        <w:tc>
          <w:tcPr>
            <w:tcW w:w="1016" w:type="pct"/>
            <w:tcBorders>
              <w:bottom w:val="single" w:color="auto" w:sz="4" w:space="0"/>
              <w:tl2br w:val="nil"/>
              <w:tr2bl w:val="nil"/>
            </w:tcBorders>
            <w:vAlign w:val="center"/>
          </w:tcPr>
          <w:p>
            <w:pPr>
              <w:pStyle w:val="99"/>
              <w:spacing w:before="21" w:line="240" w:lineRule="auto"/>
              <w:ind w:left="220" w:right="190"/>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易损品，全计</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93" w:type="pct"/>
            <w:tcBorders>
              <w:top w:val="single" w:color="auto" w:sz="4" w:space="0"/>
              <w:tl2br w:val="nil"/>
              <w:tr2bl w:val="nil"/>
            </w:tcBorders>
            <w:vAlign w:val="center"/>
          </w:tcPr>
          <w:p>
            <w:pPr>
              <w:pStyle w:val="99"/>
              <w:spacing w:before="35" w:line="240" w:lineRule="auto"/>
              <w:ind w:left="195" w:right="165"/>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9</w:t>
            </w:r>
          </w:p>
        </w:tc>
        <w:tc>
          <w:tcPr>
            <w:tcW w:w="1699" w:type="pct"/>
            <w:tcBorders>
              <w:top w:val="single" w:color="auto" w:sz="4" w:space="0"/>
              <w:tl2br w:val="nil"/>
              <w:tr2bl w:val="nil"/>
            </w:tcBorders>
            <w:vAlign w:val="center"/>
          </w:tcPr>
          <w:p>
            <w:pPr>
              <w:pStyle w:val="99"/>
              <w:spacing w:before="21" w:line="240" w:lineRule="auto"/>
              <w:ind w:left="177" w:right="14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卫片</w:t>
            </w:r>
          </w:p>
        </w:tc>
        <w:tc>
          <w:tcPr>
            <w:tcW w:w="813" w:type="pct"/>
            <w:tcBorders>
              <w:top w:val="single" w:color="auto" w:sz="4" w:space="0"/>
              <w:tl2br w:val="nil"/>
              <w:tr2bl w:val="nil"/>
            </w:tcBorders>
            <w:vAlign w:val="center"/>
          </w:tcPr>
          <w:p>
            <w:pPr>
              <w:pStyle w:val="99"/>
              <w:spacing w:before="21" w:line="240" w:lineRule="auto"/>
              <w:ind w:left="27"/>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张</w:t>
            </w:r>
          </w:p>
        </w:tc>
        <w:tc>
          <w:tcPr>
            <w:tcW w:w="977" w:type="pct"/>
            <w:tcBorders>
              <w:top w:val="single" w:color="auto" w:sz="4" w:space="0"/>
              <w:tl2br w:val="nil"/>
              <w:tr2bl w:val="nil"/>
            </w:tcBorders>
            <w:vAlign w:val="center"/>
          </w:tcPr>
          <w:p>
            <w:pPr>
              <w:pStyle w:val="99"/>
              <w:spacing w:before="35" w:line="240" w:lineRule="auto"/>
              <w:ind w:left="26"/>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1</w:t>
            </w:r>
          </w:p>
        </w:tc>
        <w:tc>
          <w:tcPr>
            <w:tcW w:w="1016" w:type="pct"/>
            <w:tcBorders>
              <w:top w:val="single" w:color="auto" w:sz="4" w:space="0"/>
              <w:tl2br w:val="nil"/>
              <w:tr2bl w:val="nil"/>
            </w:tcBorders>
            <w:vAlign w:val="center"/>
          </w:tcPr>
          <w:p>
            <w:pPr>
              <w:pStyle w:val="99"/>
              <w:spacing w:before="21" w:line="240" w:lineRule="auto"/>
              <w:ind w:left="220" w:right="190"/>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易损品，全计</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93" w:type="pct"/>
            <w:tcBorders>
              <w:tl2br w:val="nil"/>
              <w:tr2bl w:val="nil"/>
            </w:tcBorders>
            <w:vAlign w:val="center"/>
          </w:tcPr>
          <w:p>
            <w:pPr>
              <w:pStyle w:val="99"/>
              <w:spacing w:line="240" w:lineRule="auto"/>
              <w:ind w:left="26"/>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二</w:t>
            </w:r>
          </w:p>
        </w:tc>
        <w:tc>
          <w:tcPr>
            <w:tcW w:w="1699" w:type="pct"/>
            <w:tcBorders>
              <w:tl2br w:val="nil"/>
              <w:tr2bl w:val="nil"/>
            </w:tcBorders>
            <w:vAlign w:val="center"/>
          </w:tcPr>
          <w:p>
            <w:pPr>
              <w:pStyle w:val="99"/>
              <w:spacing w:line="240" w:lineRule="auto"/>
              <w:ind w:left="177" w:right="14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监测设施和设备</w:t>
            </w:r>
          </w:p>
        </w:tc>
        <w:tc>
          <w:tcPr>
            <w:tcW w:w="813" w:type="pct"/>
            <w:tcBorders>
              <w:tl2br w:val="nil"/>
              <w:tr2bl w:val="nil"/>
            </w:tcBorders>
            <w:vAlign w:val="center"/>
          </w:tcPr>
          <w:p>
            <w:pPr>
              <w:pStyle w:val="99"/>
              <w:spacing w:line="240" w:lineRule="auto"/>
              <w:jc w:val="left"/>
              <w:rPr>
                <w:rFonts w:ascii="Times New Roman" w:hAnsi="Times New Roman" w:eastAsia="仿宋_GB2312" w:cs="Times New Roman"/>
                <w:bCs/>
                <w:color w:val="000000" w:themeColor="text1"/>
                <w:sz w:val="21"/>
                <w:szCs w:val="21"/>
              </w:rPr>
            </w:pPr>
          </w:p>
        </w:tc>
        <w:tc>
          <w:tcPr>
            <w:tcW w:w="977" w:type="pct"/>
            <w:tcBorders>
              <w:tl2br w:val="nil"/>
              <w:tr2bl w:val="nil"/>
            </w:tcBorders>
            <w:vAlign w:val="center"/>
          </w:tcPr>
          <w:p>
            <w:pPr>
              <w:pStyle w:val="99"/>
              <w:spacing w:line="240" w:lineRule="auto"/>
              <w:jc w:val="left"/>
              <w:rPr>
                <w:rFonts w:ascii="Times New Roman" w:hAnsi="Times New Roman" w:eastAsia="仿宋_GB2312" w:cs="Times New Roman"/>
                <w:bCs/>
                <w:color w:val="000000" w:themeColor="text1"/>
                <w:sz w:val="21"/>
                <w:szCs w:val="21"/>
              </w:rPr>
            </w:pPr>
          </w:p>
        </w:tc>
        <w:tc>
          <w:tcPr>
            <w:tcW w:w="1016" w:type="pct"/>
            <w:tcBorders>
              <w:tl2br w:val="nil"/>
              <w:tr2bl w:val="nil"/>
            </w:tcBorders>
            <w:vAlign w:val="center"/>
          </w:tcPr>
          <w:p>
            <w:pPr>
              <w:pStyle w:val="99"/>
              <w:spacing w:line="240" w:lineRule="auto"/>
              <w:jc w:val="left"/>
              <w:rPr>
                <w:rFonts w:ascii="Times New Roman" w:hAnsi="Times New Roman" w:eastAsia="仿宋_GB2312" w:cs="Times New Roman"/>
                <w:bCs/>
                <w:color w:val="000000" w:themeColor="text1"/>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93" w:type="pct"/>
            <w:tcBorders>
              <w:tl2br w:val="nil"/>
              <w:tr2bl w:val="nil"/>
            </w:tcBorders>
            <w:vAlign w:val="center"/>
          </w:tcPr>
          <w:p>
            <w:pPr>
              <w:pStyle w:val="99"/>
              <w:spacing w:before="35" w:line="240" w:lineRule="auto"/>
              <w:ind w:left="2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1</w:t>
            </w:r>
          </w:p>
        </w:tc>
        <w:tc>
          <w:tcPr>
            <w:tcW w:w="1699" w:type="pct"/>
            <w:tcBorders>
              <w:tl2br w:val="nil"/>
              <w:tr2bl w:val="nil"/>
            </w:tcBorders>
            <w:vAlign w:val="center"/>
          </w:tcPr>
          <w:p>
            <w:pPr>
              <w:pStyle w:val="99"/>
              <w:spacing w:before="21" w:line="240" w:lineRule="auto"/>
              <w:ind w:left="178" w:right="14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电子天平</w:t>
            </w:r>
          </w:p>
        </w:tc>
        <w:tc>
          <w:tcPr>
            <w:tcW w:w="813" w:type="pct"/>
            <w:tcBorders>
              <w:tl2br w:val="nil"/>
              <w:tr2bl w:val="nil"/>
            </w:tcBorders>
            <w:vAlign w:val="center"/>
          </w:tcPr>
          <w:p>
            <w:pPr>
              <w:pStyle w:val="99"/>
              <w:spacing w:before="21" w:line="240" w:lineRule="auto"/>
              <w:ind w:left="27"/>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台</w:t>
            </w:r>
          </w:p>
        </w:tc>
        <w:tc>
          <w:tcPr>
            <w:tcW w:w="977" w:type="pct"/>
            <w:tcBorders>
              <w:tl2br w:val="nil"/>
              <w:tr2bl w:val="nil"/>
            </w:tcBorders>
            <w:vAlign w:val="center"/>
          </w:tcPr>
          <w:p>
            <w:pPr>
              <w:pStyle w:val="99"/>
              <w:spacing w:before="35" w:line="240" w:lineRule="auto"/>
              <w:ind w:left="27"/>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1</w:t>
            </w:r>
          </w:p>
        </w:tc>
        <w:tc>
          <w:tcPr>
            <w:tcW w:w="1016" w:type="pct"/>
            <w:tcBorders>
              <w:tl2br w:val="nil"/>
              <w:tr2bl w:val="nil"/>
            </w:tcBorders>
            <w:vAlign w:val="center"/>
          </w:tcPr>
          <w:p>
            <w:pPr>
              <w:pStyle w:val="99"/>
              <w:spacing w:before="21" w:line="240" w:lineRule="auto"/>
              <w:ind w:left="220" w:right="191"/>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按 20％折旧</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93" w:type="pct"/>
            <w:tcBorders>
              <w:tl2br w:val="nil"/>
              <w:tr2bl w:val="nil"/>
            </w:tcBorders>
            <w:vAlign w:val="center"/>
          </w:tcPr>
          <w:p>
            <w:pPr>
              <w:pStyle w:val="99"/>
              <w:spacing w:before="34" w:line="240" w:lineRule="auto"/>
              <w:ind w:left="2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2</w:t>
            </w:r>
          </w:p>
        </w:tc>
        <w:tc>
          <w:tcPr>
            <w:tcW w:w="1699" w:type="pct"/>
            <w:tcBorders>
              <w:tl2br w:val="nil"/>
              <w:tr2bl w:val="nil"/>
            </w:tcBorders>
            <w:vAlign w:val="center"/>
          </w:tcPr>
          <w:p>
            <w:pPr>
              <w:pStyle w:val="99"/>
              <w:spacing w:before="20" w:line="240" w:lineRule="auto"/>
              <w:ind w:left="177" w:right="14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比重计</w:t>
            </w:r>
          </w:p>
        </w:tc>
        <w:tc>
          <w:tcPr>
            <w:tcW w:w="813" w:type="pct"/>
            <w:tcBorders>
              <w:tl2br w:val="nil"/>
              <w:tr2bl w:val="nil"/>
            </w:tcBorders>
            <w:vAlign w:val="center"/>
          </w:tcPr>
          <w:p>
            <w:pPr>
              <w:pStyle w:val="99"/>
              <w:spacing w:before="20" w:line="240" w:lineRule="auto"/>
              <w:ind w:left="27"/>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个</w:t>
            </w:r>
          </w:p>
        </w:tc>
        <w:tc>
          <w:tcPr>
            <w:tcW w:w="977" w:type="pct"/>
            <w:tcBorders>
              <w:tl2br w:val="nil"/>
              <w:tr2bl w:val="nil"/>
            </w:tcBorders>
            <w:vAlign w:val="center"/>
          </w:tcPr>
          <w:p>
            <w:pPr>
              <w:pStyle w:val="99"/>
              <w:spacing w:before="34" w:line="240" w:lineRule="auto"/>
              <w:ind w:left="26"/>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1</w:t>
            </w:r>
          </w:p>
        </w:tc>
        <w:tc>
          <w:tcPr>
            <w:tcW w:w="1016" w:type="pct"/>
            <w:tcBorders>
              <w:tl2br w:val="nil"/>
              <w:tr2bl w:val="nil"/>
            </w:tcBorders>
            <w:vAlign w:val="center"/>
          </w:tcPr>
          <w:p>
            <w:pPr>
              <w:pStyle w:val="99"/>
              <w:spacing w:before="20" w:line="240" w:lineRule="auto"/>
              <w:ind w:left="220" w:right="191"/>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按 20％折旧</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93" w:type="pct"/>
            <w:tcBorders>
              <w:tl2br w:val="nil"/>
              <w:tr2bl w:val="nil"/>
            </w:tcBorders>
            <w:vAlign w:val="center"/>
          </w:tcPr>
          <w:p>
            <w:pPr>
              <w:pStyle w:val="99"/>
              <w:spacing w:before="35" w:line="240" w:lineRule="auto"/>
              <w:ind w:left="2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3</w:t>
            </w:r>
          </w:p>
        </w:tc>
        <w:tc>
          <w:tcPr>
            <w:tcW w:w="1699" w:type="pct"/>
            <w:tcBorders>
              <w:tl2br w:val="nil"/>
              <w:tr2bl w:val="nil"/>
            </w:tcBorders>
            <w:vAlign w:val="center"/>
          </w:tcPr>
          <w:p>
            <w:pPr>
              <w:pStyle w:val="99"/>
              <w:spacing w:before="21" w:line="240" w:lineRule="auto"/>
              <w:ind w:left="178" w:right="14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烘箱</w:t>
            </w:r>
          </w:p>
        </w:tc>
        <w:tc>
          <w:tcPr>
            <w:tcW w:w="813" w:type="pct"/>
            <w:tcBorders>
              <w:tl2br w:val="nil"/>
              <w:tr2bl w:val="nil"/>
            </w:tcBorders>
            <w:vAlign w:val="center"/>
          </w:tcPr>
          <w:p>
            <w:pPr>
              <w:pStyle w:val="99"/>
              <w:spacing w:before="21" w:line="240" w:lineRule="auto"/>
              <w:ind w:left="27"/>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台</w:t>
            </w:r>
          </w:p>
        </w:tc>
        <w:tc>
          <w:tcPr>
            <w:tcW w:w="977" w:type="pct"/>
            <w:tcBorders>
              <w:tl2br w:val="nil"/>
              <w:tr2bl w:val="nil"/>
            </w:tcBorders>
            <w:vAlign w:val="center"/>
          </w:tcPr>
          <w:p>
            <w:pPr>
              <w:pStyle w:val="99"/>
              <w:spacing w:before="35" w:line="240" w:lineRule="auto"/>
              <w:ind w:left="27"/>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1</w:t>
            </w:r>
          </w:p>
        </w:tc>
        <w:tc>
          <w:tcPr>
            <w:tcW w:w="1016" w:type="pct"/>
            <w:tcBorders>
              <w:tl2br w:val="nil"/>
              <w:tr2bl w:val="nil"/>
            </w:tcBorders>
            <w:vAlign w:val="center"/>
          </w:tcPr>
          <w:p>
            <w:pPr>
              <w:pStyle w:val="99"/>
              <w:spacing w:before="21" w:line="240" w:lineRule="auto"/>
              <w:ind w:left="220" w:right="191"/>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按 20％折旧</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93" w:type="pct"/>
            <w:tcBorders>
              <w:tl2br w:val="nil"/>
              <w:tr2bl w:val="nil"/>
            </w:tcBorders>
            <w:vAlign w:val="center"/>
          </w:tcPr>
          <w:p>
            <w:pPr>
              <w:pStyle w:val="99"/>
              <w:spacing w:before="35" w:line="240" w:lineRule="auto"/>
              <w:ind w:left="2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4</w:t>
            </w:r>
          </w:p>
        </w:tc>
        <w:tc>
          <w:tcPr>
            <w:tcW w:w="1699" w:type="pct"/>
            <w:tcBorders>
              <w:tl2br w:val="nil"/>
              <w:tr2bl w:val="nil"/>
            </w:tcBorders>
            <w:vAlign w:val="center"/>
          </w:tcPr>
          <w:p>
            <w:pPr>
              <w:pStyle w:val="99"/>
              <w:spacing w:before="21" w:line="240" w:lineRule="auto"/>
              <w:ind w:left="177" w:right="14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土壤水分快速测定仪</w:t>
            </w:r>
          </w:p>
        </w:tc>
        <w:tc>
          <w:tcPr>
            <w:tcW w:w="813" w:type="pct"/>
            <w:tcBorders>
              <w:tl2br w:val="nil"/>
              <w:tr2bl w:val="nil"/>
            </w:tcBorders>
            <w:vAlign w:val="center"/>
          </w:tcPr>
          <w:p>
            <w:pPr>
              <w:pStyle w:val="99"/>
              <w:spacing w:before="21" w:line="240" w:lineRule="auto"/>
              <w:ind w:left="27"/>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台</w:t>
            </w:r>
          </w:p>
        </w:tc>
        <w:tc>
          <w:tcPr>
            <w:tcW w:w="977" w:type="pct"/>
            <w:tcBorders>
              <w:tl2br w:val="nil"/>
              <w:tr2bl w:val="nil"/>
            </w:tcBorders>
            <w:vAlign w:val="center"/>
          </w:tcPr>
          <w:p>
            <w:pPr>
              <w:pStyle w:val="99"/>
              <w:spacing w:before="35" w:line="240" w:lineRule="auto"/>
              <w:ind w:left="26"/>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1</w:t>
            </w:r>
          </w:p>
        </w:tc>
        <w:tc>
          <w:tcPr>
            <w:tcW w:w="1016" w:type="pct"/>
            <w:tcBorders>
              <w:tl2br w:val="nil"/>
              <w:tr2bl w:val="nil"/>
            </w:tcBorders>
            <w:vAlign w:val="center"/>
          </w:tcPr>
          <w:p>
            <w:pPr>
              <w:pStyle w:val="99"/>
              <w:spacing w:before="21" w:line="240" w:lineRule="auto"/>
              <w:ind w:left="220" w:right="191"/>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按 20％折旧</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93" w:type="pct"/>
            <w:tcBorders>
              <w:tl2br w:val="nil"/>
              <w:tr2bl w:val="nil"/>
            </w:tcBorders>
            <w:vAlign w:val="center"/>
          </w:tcPr>
          <w:p>
            <w:pPr>
              <w:pStyle w:val="99"/>
              <w:spacing w:before="35" w:line="240" w:lineRule="auto"/>
              <w:ind w:left="2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5</w:t>
            </w:r>
          </w:p>
        </w:tc>
        <w:tc>
          <w:tcPr>
            <w:tcW w:w="1699" w:type="pct"/>
            <w:tcBorders>
              <w:tl2br w:val="nil"/>
              <w:tr2bl w:val="nil"/>
            </w:tcBorders>
            <w:vAlign w:val="center"/>
          </w:tcPr>
          <w:p>
            <w:pPr>
              <w:pStyle w:val="99"/>
              <w:spacing w:before="21" w:line="240" w:lineRule="auto"/>
              <w:ind w:left="177" w:right="14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自记雨量计</w:t>
            </w:r>
          </w:p>
        </w:tc>
        <w:tc>
          <w:tcPr>
            <w:tcW w:w="813" w:type="pct"/>
            <w:tcBorders>
              <w:tl2br w:val="nil"/>
              <w:tr2bl w:val="nil"/>
            </w:tcBorders>
            <w:vAlign w:val="center"/>
          </w:tcPr>
          <w:p>
            <w:pPr>
              <w:pStyle w:val="99"/>
              <w:spacing w:before="21" w:line="240" w:lineRule="auto"/>
              <w:ind w:left="27"/>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个</w:t>
            </w:r>
          </w:p>
        </w:tc>
        <w:tc>
          <w:tcPr>
            <w:tcW w:w="977" w:type="pct"/>
            <w:tcBorders>
              <w:tl2br w:val="nil"/>
              <w:tr2bl w:val="nil"/>
            </w:tcBorders>
            <w:vAlign w:val="center"/>
          </w:tcPr>
          <w:p>
            <w:pPr>
              <w:pStyle w:val="99"/>
              <w:spacing w:before="35" w:line="240" w:lineRule="auto"/>
              <w:ind w:left="26"/>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1</w:t>
            </w:r>
          </w:p>
        </w:tc>
        <w:tc>
          <w:tcPr>
            <w:tcW w:w="1016" w:type="pct"/>
            <w:tcBorders>
              <w:tl2br w:val="nil"/>
              <w:tr2bl w:val="nil"/>
            </w:tcBorders>
            <w:vAlign w:val="center"/>
          </w:tcPr>
          <w:p>
            <w:pPr>
              <w:pStyle w:val="99"/>
              <w:spacing w:before="21" w:line="240" w:lineRule="auto"/>
              <w:ind w:left="220" w:right="191"/>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按 20％折旧</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93" w:type="pct"/>
            <w:tcBorders>
              <w:tl2br w:val="nil"/>
              <w:tr2bl w:val="nil"/>
            </w:tcBorders>
            <w:vAlign w:val="center"/>
          </w:tcPr>
          <w:p>
            <w:pPr>
              <w:pStyle w:val="99"/>
              <w:spacing w:before="34" w:line="240" w:lineRule="auto"/>
              <w:ind w:left="2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6</w:t>
            </w:r>
          </w:p>
        </w:tc>
        <w:tc>
          <w:tcPr>
            <w:tcW w:w="1699" w:type="pct"/>
            <w:tcBorders>
              <w:tl2br w:val="nil"/>
              <w:tr2bl w:val="nil"/>
            </w:tcBorders>
            <w:vAlign w:val="center"/>
          </w:tcPr>
          <w:p>
            <w:pPr>
              <w:pStyle w:val="99"/>
              <w:spacing w:before="20" w:line="240" w:lineRule="auto"/>
              <w:ind w:left="178" w:right="14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植被高度观测仪（测高仪）</w:t>
            </w:r>
          </w:p>
        </w:tc>
        <w:tc>
          <w:tcPr>
            <w:tcW w:w="813" w:type="pct"/>
            <w:tcBorders>
              <w:tl2br w:val="nil"/>
              <w:tr2bl w:val="nil"/>
            </w:tcBorders>
            <w:vAlign w:val="center"/>
          </w:tcPr>
          <w:p>
            <w:pPr>
              <w:pStyle w:val="99"/>
              <w:spacing w:before="20" w:line="240" w:lineRule="auto"/>
              <w:ind w:left="27"/>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个</w:t>
            </w:r>
          </w:p>
        </w:tc>
        <w:tc>
          <w:tcPr>
            <w:tcW w:w="977" w:type="pct"/>
            <w:tcBorders>
              <w:tl2br w:val="nil"/>
              <w:tr2bl w:val="nil"/>
            </w:tcBorders>
            <w:vAlign w:val="center"/>
          </w:tcPr>
          <w:p>
            <w:pPr>
              <w:pStyle w:val="99"/>
              <w:spacing w:before="34" w:line="240" w:lineRule="auto"/>
              <w:ind w:left="27"/>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1</w:t>
            </w:r>
          </w:p>
        </w:tc>
        <w:tc>
          <w:tcPr>
            <w:tcW w:w="1016" w:type="pct"/>
            <w:tcBorders>
              <w:tl2br w:val="nil"/>
              <w:tr2bl w:val="nil"/>
            </w:tcBorders>
            <w:vAlign w:val="center"/>
          </w:tcPr>
          <w:p>
            <w:pPr>
              <w:pStyle w:val="99"/>
              <w:spacing w:before="20" w:line="240" w:lineRule="auto"/>
              <w:ind w:left="220" w:right="191"/>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按 20％折旧</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93" w:type="pct"/>
            <w:tcBorders>
              <w:tl2br w:val="nil"/>
              <w:tr2bl w:val="nil"/>
            </w:tcBorders>
            <w:vAlign w:val="center"/>
          </w:tcPr>
          <w:p>
            <w:pPr>
              <w:pStyle w:val="99"/>
              <w:spacing w:before="35" w:line="240" w:lineRule="auto"/>
              <w:ind w:left="2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7</w:t>
            </w:r>
          </w:p>
        </w:tc>
        <w:tc>
          <w:tcPr>
            <w:tcW w:w="1699" w:type="pct"/>
            <w:tcBorders>
              <w:tl2br w:val="nil"/>
              <w:tr2bl w:val="nil"/>
            </w:tcBorders>
            <w:vAlign w:val="center"/>
          </w:tcPr>
          <w:p>
            <w:pPr>
              <w:pStyle w:val="99"/>
              <w:spacing w:before="21" w:line="240" w:lineRule="auto"/>
              <w:ind w:left="177" w:right="14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坡度仪</w:t>
            </w:r>
          </w:p>
        </w:tc>
        <w:tc>
          <w:tcPr>
            <w:tcW w:w="813" w:type="pct"/>
            <w:tcBorders>
              <w:tl2br w:val="nil"/>
              <w:tr2bl w:val="nil"/>
            </w:tcBorders>
            <w:vAlign w:val="center"/>
          </w:tcPr>
          <w:p>
            <w:pPr>
              <w:pStyle w:val="99"/>
              <w:spacing w:before="21" w:line="240" w:lineRule="auto"/>
              <w:ind w:left="27"/>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个</w:t>
            </w:r>
          </w:p>
        </w:tc>
        <w:tc>
          <w:tcPr>
            <w:tcW w:w="977" w:type="pct"/>
            <w:tcBorders>
              <w:tl2br w:val="nil"/>
              <w:tr2bl w:val="nil"/>
            </w:tcBorders>
            <w:vAlign w:val="center"/>
          </w:tcPr>
          <w:p>
            <w:pPr>
              <w:pStyle w:val="99"/>
              <w:spacing w:before="35" w:line="240" w:lineRule="auto"/>
              <w:ind w:left="26"/>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1</w:t>
            </w:r>
          </w:p>
        </w:tc>
        <w:tc>
          <w:tcPr>
            <w:tcW w:w="1016" w:type="pct"/>
            <w:tcBorders>
              <w:tl2br w:val="nil"/>
              <w:tr2bl w:val="nil"/>
            </w:tcBorders>
            <w:vAlign w:val="center"/>
          </w:tcPr>
          <w:p>
            <w:pPr>
              <w:pStyle w:val="99"/>
              <w:spacing w:before="21" w:line="240" w:lineRule="auto"/>
              <w:ind w:left="220" w:right="191"/>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按 20％折旧</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93" w:type="pct"/>
            <w:tcBorders>
              <w:tl2br w:val="nil"/>
              <w:tr2bl w:val="nil"/>
            </w:tcBorders>
            <w:vAlign w:val="center"/>
          </w:tcPr>
          <w:p>
            <w:pPr>
              <w:pStyle w:val="99"/>
              <w:spacing w:before="35" w:line="240" w:lineRule="auto"/>
              <w:ind w:left="195" w:right="165"/>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8</w:t>
            </w:r>
          </w:p>
        </w:tc>
        <w:tc>
          <w:tcPr>
            <w:tcW w:w="1699" w:type="pct"/>
            <w:tcBorders>
              <w:tl2br w:val="nil"/>
              <w:tr2bl w:val="nil"/>
            </w:tcBorders>
            <w:vAlign w:val="center"/>
          </w:tcPr>
          <w:p>
            <w:pPr>
              <w:pStyle w:val="99"/>
              <w:spacing w:before="21" w:line="240" w:lineRule="auto"/>
              <w:ind w:left="178" w:right="14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GPS 定位仪</w:t>
            </w:r>
          </w:p>
        </w:tc>
        <w:tc>
          <w:tcPr>
            <w:tcW w:w="813" w:type="pct"/>
            <w:tcBorders>
              <w:tl2br w:val="nil"/>
              <w:tr2bl w:val="nil"/>
            </w:tcBorders>
            <w:vAlign w:val="center"/>
          </w:tcPr>
          <w:p>
            <w:pPr>
              <w:pStyle w:val="99"/>
              <w:spacing w:before="21" w:line="240" w:lineRule="auto"/>
              <w:ind w:left="27"/>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套</w:t>
            </w:r>
          </w:p>
        </w:tc>
        <w:tc>
          <w:tcPr>
            <w:tcW w:w="977" w:type="pct"/>
            <w:tcBorders>
              <w:tl2br w:val="nil"/>
              <w:tr2bl w:val="nil"/>
            </w:tcBorders>
            <w:vAlign w:val="center"/>
          </w:tcPr>
          <w:p>
            <w:pPr>
              <w:pStyle w:val="99"/>
              <w:spacing w:before="35" w:line="240" w:lineRule="auto"/>
              <w:ind w:left="26"/>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1</w:t>
            </w:r>
          </w:p>
        </w:tc>
        <w:tc>
          <w:tcPr>
            <w:tcW w:w="1016" w:type="pct"/>
            <w:tcBorders>
              <w:tl2br w:val="nil"/>
              <w:tr2bl w:val="nil"/>
            </w:tcBorders>
            <w:vAlign w:val="center"/>
          </w:tcPr>
          <w:p>
            <w:pPr>
              <w:pStyle w:val="99"/>
              <w:spacing w:before="21" w:line="240" w:lineRule="auto"/>
              <w:ind w:left="220" w:right="191"/>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按 20％折旧</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93" w:type="pct"/>
            <w:tcBorders>
              <w:tl2br w:val="nil"/>
              <w:tr2bl w:val="nil"/>
            </w:tcBorders>
            <w:vAlign w:val="center"/>
          </w:tcPr>
          <w:p>
            <w:pPr>
              <w:pStyle w:val="99"/>
              <w:spacing w:before="34" w:line="240" w:lineRule="auto"/>
              <w:ind w:right="165"/>
              <w:rPr>
                <w:rFonts w:ascii="Times New Roman" w:hAnsi="Times New Roman" w:eastAsia="仿宋_GB2312" w:cs="Times New Roman"/>
                <w:bCs/>
                <w:color w:val="000000" w:themeColor="text1"/>
                <w:sz w:val="21"/>
                <w:szCs w:val="21"/>
              </w:rPr>
            </w:pPr>
            <w:r>
              <w:rPr>
                <w:rFonts w:hint="eastAsia" w:ascii="Times New Roman" w:hAnsi="Times New Roman" w:eastAsia="仿宋_GB2312" w:cs="Times New Roman"/>
                <w:bCs/>
                <w:color w:val="000000" w:themeColor="text1"/>
                <w:sz w:val="21"/>
                <w:szCs w:val="21"/>
              </w:rPr>
              <w:t xml:space="preserve">  </w:t>
            </w:r>
            <w:r>
              <w:rPr>
                <w:rFonts w:ascii="Times New Roman" w:hAnsi="Times New Roman" w:eastAsia="仿宋_GB2312" w:cs="Times New Roman"/>
                <w:bCs/>
                <w:color w:val="000000" w:themeColor="text1"/>
                <w:sz w:val="21"/>
                <w:szCs w:val="21"/>
              </w:rPr>
              <w:t>9</w:t>
            </w:r>
          </w:p>
        </w:tc>
        <w:tc>
          <w:tcPr>
            <w:tcW w:w="1699" w:type="pct"/>
            <w:tcBorders>
              <w:tl2br w:val="nil"/>
              <w:tr2bl w:val="nil"/>
            </w:tcBorders>
            <w:vAlign w:val="center"/>
          </w:tcPr>
          <w:p>
            <w:pPr>
              <w:pStyle w:val="99"/>
              <w:spacing w:before="20" w:line="240" w:lineRule="auto"/>
              <w:ind w:left="177" w:right="14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无人机</w:t>
            </w:r>
          </w:p>
        </w:tc>
        <w:tc>
          <w:tcPr>
            <w:tcW w:w="813" w:type="pct"/>
            <w:tcBorders>
              <w:tl2br w:val="nil"/>
              <w:tr2bl w:val="nil"/>
            </w:tcBorders>
            <w:vAlign w:val="center"/>
          </w:tcPr>
          <w:p>
            <w:pPr>
              <w:pStyle w:val="99"/>
              <w:spacing w:before="20" w:line="240" w:lineRule="auto"/>
              <w:ind w:left="27"/>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台</w:t>
            </w:r>
          </w:p>
        </w:tc>
        <w:tc>
          <w:tcPr>
            <w:tcW w:w="977" w:type="pct"/>
            <w:tcBorders>
              <w:tl2br w:val="nil"/>
              <w:tr2bl w:val="nil"/>
            </w:tcBorders>
            <w:vAlign w:val="center"/>
          </w:tcPr>
          <w:p>
            <w:pPr>
              <w:pStyle w:val="99"/>
              <w:spacing w:before="34" w:line="240" w:lineRule="auto"/>
              <w:ind w:left="26"/>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1</w:t>
            </w:r>
          </w:p>
        </w:tc>
        <w:tc>
          <w:tcPr>
            <w:tcW w:w="1016" w:type="pct"/>
            <w:tcBorders>
              <w:tl2br w:val="nil"/>
              <w:tr2bl w:val="nil"/>
            </w:tcBorders>
            <w:vAlign w:val="center"/>
          </w:tcPr>
          <w:p>
            <w:pPr>
              <w:pStyle w:val="99"/>
              <w:spacing w:before="20" w:line="240" w:lineRule="auto"/>
              <w:ind w:left="220" w:right="190"/>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监测单位自备</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93" w:type="pct"/>
            <w:tcBorders>
              <w:tl2br w:val="nil"/>
              <w:tr2bl w:val="nil"/>
            </w:tcBorders>
            <w:vAlign w:val="center"/>
          </w:tcPr>
          <w:p>
            <w:pPr>
              <w:pStyle w:val="99"/>
              <w:spacing w:before="35" w:line="240" w:lineRule="auto"/>
              <w:ind w:left="195" w:right="165"/>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10</w:t>
            </w:r>
          </w:p>
        </w:tc>
        <w:tc>
          <w:tcPr>
            <w:tcW w:w="1699" w:type="pct"/>
            <w:tcBorders>
              <w:tl2br w:val="nil"/>
              <w:tr2bl w:val="nil"/>
            </w:tcBorders>
            <w:vAlign w:val="center"/>
          </w:tcPr>
          <w:p>
            <w:pPr>
              <w:pStyle w:val="99"/>
              <w:spacing w:before="21" w:line="240" w:lineRule="auto"/>
              <w:ind w:left="177" w:right="14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摄像机</w:t>
            </w:r>
          </w:p>
        </w:tc>
        <w:tc>
          <w:tcPr>
            <w:tcW w:w="813" w:type="pct"/>
            <w:tcBorders>
              <w:tl2br w:val="nil"/>
              <w:tr2bl w:val="nil"/>
            </w:tcBorders>
            <w:vAlign w:val="center"/>
          </w:tcPr>
          <w:p>
            <w:pPr>
              <w:pStyle w:val="99"/>
              <w:spacing w:before="21" w:line="240" w:lineRule="auto"/>
              <w:ind w:left="27"/>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台</w:t>
            </w:r>
          </w:p>
        </w:tc>
        <w:tc>
          <w:tcPr>
            <w:tcW w:w="977" w:type="pct"/>
            <w:tcBorders>
              <w:tl2br w:val="nil"/>
              <w:tr2bl w:val="nil"/>
            </w:tcBorders>
            <w:vAlign w:val="center"/>
          </w:tcPr>
          <w:p>
            <w:pPr>
              <w:pStyle w:val="99"/>
              <w:spacing w:before="35" w:line="240" w:lineRule="auto"/>
              <w:ind w:left="26"/>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1</w:t>
            </w:r>
          </w:p>
        </w:tc>
        <w:tc>
          <w:tcPr>
            <w:tcW w:w="1016" w:type="pct"/>
            <w:tcBorders>
              <w:tl2br w:val="nil"/>
              <w:tr2bl w:val="nil"/>
            </w:tcBorders>
            <w:vAlign w:val="center"/>
          </w:tcPr>
          <w:p>
            <w:pPr>
              <w:pStyle w:val="99"/>
              <w:spacing w:before="21" w:line="240" w:lineRule="auto"/>
              <w:ind w:left="220" w:right="190"/>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监测单位自备</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93" w:type="pct"/>
            <w:tcBorders>
              <w:tl2br w:val="nil"/>
              <w:tr2bl w:val="nil"/>
            </w:tcBorders>
            <w:vAlign w:val="center"/>
          </w:tcPr>
          <w:p>
            <w:pPr>
              <w:pStyle w:val="99"/>
              <w:spacing w:before="34" w:line="240" w:lineRule="auto"/>
              <w:ind w:left="195" w:right="165"/>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11</w:t>
            </w:r>
          </w:p>
        </w:tc>
        <w:tc>
          <w:tcPr>
            <w:tcW w:w="1699" w:type="pct"/>
            <w:tcBorders>
              <w:tl2br w:val="nil"/>
              <w:tr2bl w:val="nil"/>
            </w:tcBorders>
            <w:vAlign w:val="center"/>
          </w:tcPr>
          <w:p>
            <w:pPr>
              <w:pStyle w:val="99"/>
              <w:spacing w:before="20" w:line="240" w:lineRule="auto"/>
              <w:ind w:left="177" w:right="14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数码照相机</w:t>
            </w:r>
          </w:p>
        </w:tc>
        <w:tc>
          <w:tcPr>
            <w:tcW w:w="813" w:type="pct"/>
            <w:tcBorders>
              <w:tl2br w:val="nil"/>
              <w:tr2bl w:val="nil"/>
            </w:tcBorders>
            <w:vAlign w:val="center"/>
          </w:tcPr>
          <w:p>
            <w:pPr>
              <w:pStyle w:val="99"/>
              <w:spacing w:before="20" w:line="240" w:lineRule="auto"/>
              <w:ind w:left="27"/>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台</w:t>
            </w:r>
          </w:p>
        </w:tc>
        <w:tc>
          <w:tcPr>
            <w:tcW w:w="977" w:type="pct"/>
            <w:tcBorders>
              <w:tl2br w:val="nil"/>
              <w:tr2bl w:val="nil"/>
            </w:tcBorders>
            <w:vAlign w:val="center"/>
          </w:tcPr>
          <w:p>
            <w:pPr>
              <w:pStyle w:val="99"/>
              <w:spacing w:before="34" w:line="240" w:lineRule="auto"/>
              <w:ind w:left="26"/>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1</w:t>
            </w:r>
          </w:p>
        </w:tc>
        <w:tc>
          <w:tcPr>
            <w:tcW w:w="1016" w:type="pct"/>
            <w:tcBorders>
              <w:tl2br w:val="nil"/>
              <w:tr2bl w:val="nil"/>
            </w:tcBorders>
            <w:vAlign w:val="center"/>
          </w:tcPr>
          <w:p>
            <w:pPr>
              <w:pStyle w:val="99"/>
              <w:spacing w:before="20" w:line="240" w:lineRule="auto"/>
              <w:ind w:left="220" w:right="190"/>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监测单位自备</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493" w:type="pct"/>
            <w:tcBorders>
              <w:tl2br w:val="nil"/>
              <w:tr2bl w:val="nil"/>
            </w:tcBorders>
            <w:vAlign w:val="center"/>
          </w:tcPr>
          <w:p>
            <w:pPr>
              <w:pStyle w:val="99"/>
              <w:spacing w:before="34" w:line="240" w:lineRule="auto"/>
              <w:ind w:left="195" w:right="165"/>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12</w:t>
            </w:r>
          </w:p>
        </w:tc>
        <w:tc>
          <w:tcPr>
            <w:tcW w:w="1699" w:type="pct"/>
            <w:tcBorders>
              <w:tl2br w:val="nil"/>
              <w:tr2bl w:val="nil"/>
            </w:tcBorders>
            <w:vAlign w:val="center"/>
          </w:tcPr>
          <w:p>
            <w:pPr>
              <w:pStyle w:val="99"/>
              <w:spacing w:before="20" w:line="240" w:lineRule="auto"/>
              <w:ind w:left="177" w:right="149"/>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笔记本电脑</w:t>
            </w:r>
          </w:p>
        </w:tc>
        <w:tc>
          <w:tcPr>
            <w:tcW w:w="813" w:type="pct"/>
            <w:tcBorders>
              <w:tl2br w:val="nil"/>
              <w:tr2bl w:val="nil"/>
            </w:tcBorders>
            <w:vAlign w:val="center"/>
          </w:tcPr>
          <w:p>
            <w:pPr>
              <w:pStyle w:val="99"/>
              <w:spacing w:before="20" w:line="240" w:lineRule="auto"/>
              <w:ind w:left="27"/>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台</w:t>
            </w:r>
          </w:p>
        </w:tc>
        <w:tc>
          <w:tcPr>
            <w:tcW w:w="977" w:type="pct"/>
            <w:tcBorders>
              <w:tl2br w:val="nil"/>
              <w:tr2bl w:val="nil"/>
            </w:tcBorders>
            <w:vAlign w:val="center"/>
          </w:tcPr>
          <w:p>
            <w:pPr>
              <w:pStyle w:val="99"/>
              <w:spacing w:before="34" w:line="240" w:lineRule="auto"/>
              <w:ind w:left="26"/>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1</w:t>
            </w:r>
          </w:p>
        </w:tc>
        <w:tc>
          <w:tcPr>
            <w:tcW w:w="1016" w:type="pct"/>
            <w:tcBorders>
              <w:tl2br w:val="nil"/>
              <w:tr2bl w:val="nil"/>
            </w:tcBorders>
            <w:vAlign w:val="center"/>
          </w:tcPr>
          <w:p>
            <w:pPr>
              <w:pStyle w:val="99"/>
              <w:spacing w:before="20" w:line="240" w:lineRule="auto"/>
              <w:ind w:left="220" w:right="190"/>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监测单位自备</w:t>
            </w:r>
          </w:p>
        </w:tc>
      </w:tr>
    </w:tbl>
    <w:p>
      <w:pPr>
        <w:spacing w:line="360" w:lineRule="auto"/>
        <w:rPr>
          <w:rFonts w:eastAsia="仿宋_GB2312"/>
          <w:b/>
          <w:color w:val="000000" w:themeColor="text1"/>
        </w:rPr>
      </w:pPr>
      <w:r>
        <w:rPr>
          <w:rFonts w:eastAsia="仿宋_GB2312"/>
          <w:b/>
          <w:color w:val="000000" w:themeColor="text1"/>
        </w:rPr>
        <w:t>6.4.2监测成果</w:t>
      </w:r>
    </w:p>
    <w:p>
      <w:pPr>
        <w:spacing w:line="360" w:lineRule="auto"/>
        <w:ind w:firstLine="480" w:firstLineChars="200"/>
        <w:rPr>
          <w:rFonts w:eastAsia="仿宋_GB2312"/>
          <w:color w:val="000000" w:themeColor="text1"/>
        </w:rPr>
      </w:pPr>
      <w:r>
        <w:rPr>
          <w:rFonts w:eastAsia="仿宋_GB2312"/>
          <w:color w:val="000000" w:themeColor="text1"/>
        </w:rPr>
        <w:t>（1）建设单位在后续施工时需对该项建设工程进行水土保护监测。监测单位要根据《生产建设项目水土保持监测与评价标准》（GB/T 51240-2018）编写水土保持监测实施方案，按实施方案实施监测。</w:t>
      </w:r>
    </w:p>
    <w:p>
      <w:pPr>
        <w:spacing w:line="360" w:lineRule="auto"/>
        <w:ind w:firstLine="480" w:firstLineChars="200"/>
        <w:rPr>
          <w:rFonts w:eastAsia="仿宋_GB2312"/>
          <w:color w:val="000000" w:themeColor="text1"/>
        </w:rPr>
      </w:pPr>
      <w:r>
        <w:rPr>
          <w:rFonts w:eastAsia="仿宋_GB2312"/>
          <w:color w:val="000000" w:themeColor="text1"/>
        </w:rPr>
        <w:t>（2）每次监测前，需对监测仪器、设备进行检验，合格后方可投入使用。</w:t>
      </w:r>
    </w:p>
    <w:p>
      <w:pPr>
        <w:spacing w:line="360" w:lineRule="auto"/>
        <w:ind w:firstLine="480" w:firstLineChars="200"/>
        <w:rPr>
          <w:rFonts w:eastAsia="仿宋_GB2312"/>
          <w:color w:val="000000" w:themeColor="text1"/>
        </w:rPr>
      </w:pPr>
      <w:r>
        <w:rPr>
          <w:rFonts w:eastAsia="仿宋_GB2312"/>
          <w:color w:val="000000" w:themeColor="text1"/>
        </w:rPr>
        <w:t>（3）对每次监测结果进行统计对比分析，做出简要分析与评价；若发现异常情况，应立即通知业主与当地水土保持行政主管部门。</w:t>
      </w:r>
    </w:p>
    <w:p>
      <w:pPr>
        <w:spacing w:line="360" w:lineRule="auto"/>
        <w:ind w:firstLine="480" w:firstLineChars="200"/>
        <w:rPr>
          <w:rFonts w:eastAsia="仿宋_GB2312"/>
          <w:color w:val="000000" w:themeColor="text1"/>
        </w:rPr>
      </w:pPr>
      <w:r>
        <w:rPr>
          <w:rFonts w:eastAsia="仿宋_GB2312"/>
          <w:color w:val="000000" w:themeColor="text1"/>
        </w:rPr>
        <w:t>（4）及时对监测资料整理，每季度对监测结果进行统计与分析，编写季度监测报告表；监测工作全部结束后，对监测结果做出综合评价与分析，编写水土流失监测总结报告。水土保持监测工作实行水土保持监测“绿黄红”三色评价，水土保持监测单位根据监测情况，监测季报和总结报告等监测成果中提出“绿、黄、红”三色评价结论，及时报送当地水土保持行政主管部门及相关的监测机构备案。</w:t>
      </w:r>
    </w:p>
    <w:p>
      <w:pPr>
        <w:spacing w:line="360" w:lineRule="auto"/>
        <w:ind w:firstLine="480" w:firstLineChars="200"/>
        <w:rPr>
          <w:rFonts w:eastAsia="仿宋_GB2312"/>
          <w:color w:val="000000" w:themeColor="text1"/>
        </w:rPr>
      </w:pPr>
      <w:r>
        <w:rPr>
          <w:rFonts w:eastAsia="仿宋_GB2312"/>
          <w:color w:val="000000" w:themeColor="text1"/>
        </w:rPr>
        <w:t>（5）监测成果可作为工程完工验收的依据。</w:t>
      </w:r>
    </w:p>
    <w:p>
      <w:pPr>
        <w:spacing w:line="360" w:lineRule="auto"/>
        <w:ind w:firstLine="480" w:firstLineChars="200"/>
        <w:rPr>
          <w:rFonts w:eastAsia="仿宋_GB2312"/>
          <w:color w:val="000000" w:themeColor="text1"/>
        </w:rPr>
      </w:pPr>
      <w:r>
        <w:rPr>
          <w:rFonts w:eastAsia="仿宋_GB2312"/>
          <w:color w:val="000000" w:themeColor="text1"/>
        </w:rPr>
        <w:t>（6）监测单位自觉接受当地水行政主管部门的监督检查。</w:t>
      </w:r>
    </w:p>
    <w:p>
      <w:pPr>
        <w:spacing w:line="360" w:lineRule="auto"/>
        <w:ind w:firstLine="480" w:firstLineChars="200"/>
        <w:rPr>
          <w:rFonts w:eastAsia="仿宋_GB2312"/>
          <w:color w:val="000000" w:themeColor="text1"/>
        </w:rPr>
      </w:pPr>
      <w:r>
        <w:rPr>
          <w:rFonts w:eastAsia="仿宋_GB2312"/>
          <w:color w:val="000000" w:themeColor="text1"/>
        </w:rPr>
        <w:t>监测成果包括：水土保持监测设计与监测实施方案；水土保持监测影像资料；水土保持监测原始记录表格；季度监测报告表；项目水土保持监测总结报告。</w:t>
      </w:r>
    </w:p>
    <w:p>
      <w:pPr>
        <w:pStyle w:val="2"/>
        <w:ind w:left="0" w:leftChars="0" w:firstLine="0" w:firstLineChars="0"/>
        <w:jc w:val="both"/>
        <w:rPr>
          <w:rFonts w:eastAsia="仿宋_GB2312"/>
          <w:color w:val="000000" w:themeColor="text1"/>
        </w:rPr>
      </w:pPr>
      <w:r>
        <w:rPr>
          <w:color w:val="000000" w:themeColor="text1"/>
        </w:rPr>
        <w:drawing>
          <wp:inline distT="0" distB="0" distL="114300" distR="114300">
            <wp:extent cx="5276850" cy="6514465"/>
            <wp:effectExtent l="0" t="0" r="0" b="63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42"/>
                    <a:stretch>
                      <a:fillRect/>
                    </a:stretch>
                  </pic:blipFill>
                  <pic:spPr>
                    <a:xfrm>
                      <a:off x="0" y="0"/>
                      <a:ext cx="5276850" cy="6514465"/>
                    </a:xfrm>
                    <a:prstGeom prst="rect">
                      <a:avLst/>
                    </a:prstGeom>
                    <a:noFill/>
                    <a:ln>
                      <a:noFill/>
                    </a:ln>
                  </pic:spPr>
                </pic:pic>
              </a:graphicData>
            </a:graphic>
          </wp:inline>
        </w:drawing>
      </w:r>
    </w:p>
    <w:p>
      <w:pPr>
        <w:pStyle w:val="54"/>
        <w:ind w:firstLine="0" w:firstLineChars="0"/>
        <w:jc w:val="center"/>
        <w:rPr>
          <w:rFonts w:ascii="Times New Roman" w:hAnsi="Times New Roman" w:eastAsia="仿宋_GB2312" w:cs="Times New Roman"/>
          <w:b/>
          <w:snapToGrid w:val="0"/>
          <w:color w:val="000000" w:themeColor="text1"/>
          <w:sz w:val="24"/>
          <w:szCs w:val="24"/>
        </w:rPr>
        <w:sectPr>
          <w:headerReference r:id="rId17" w:type="default"/>
          <w:footerReference r:id="rId18" w:type="default"/>
          <w:pgSz w:w="11906" w:h="16838"/>
          <w:pgMar w:top="1440" w:right="1797" w:bottom="1440" w:left="1797" w:header="851" w:footer="992" w:gutter="0"/>
          <w:cols w:space="720" w:num="1"/>
          <w:docGrid w:linePitch="312" w:charSpace="0"/>
        </w:sectPr>
      </w:pPr>
      <w:r>
        <w:rPr>
          <w:rFonts w:ascii="Times New Roman" w:hAnsi="Times New Roman" w:eastAsia="仿宋_GB2312" w:cs="Times New Roman"/>
          <w:b/>
          <w:snapToGrid w:val="0"/>
          <w:color w:val="000000" w:themeColor="text1"/>
          <w:sz w:val="24"/>
          <w:szCs w:val="24"/>
        </w:rPr>
        <w:t>图6-1     水土保持监测流程图</w:t>
      </w:r>
    </w:p>
    <w:p>
      <w:pPr>
        <w:pStyle w:val="3"/>
        <w:spacing w:before="0" w:after="0" w:line="360" w:lineRule="auto"/>
        <w:rPr>
          <w:rFonts w:eastAsia="仿宋_GB2312"/>
          <w:color w:val="000000" w:themeColor="text1"/>
          <w:sz w:val="28"/>
          <w:szCs w:val="28"/>
        </w:rPr>
      </w:pPr>
      <w:bookmarkStart w:id="51" w:name="_Toc8659"/>
      <w:r>
        <w:rPr>
          <w:rFonts w:eastAsia="仿宋_GB2312"/>
          <w:color w:val="000000" w:themeColor="text1"/>
          <w:sz w:val="28"/>
          <w:szCs w:val="28"/>
        </w:rPr>
        <w:t>7.</w:t>
      </w:r>
      <w:r>
        <w:rPr>
          <w:rFonts w:hint="eastAsia" w:eastAsia="仿宋_GB2312"/>
          <w:color w:val="000000" w:themeColor="text1"/>
          <w:sz w:val="28"/>
          <w:szCs w:val="28"/>
        </w:rPr>
        <w:t>1</w:t>
      </w:r>
      <w:r>
        <w:rPr>
          <w:rFonts w:eastAsia="仿宋_GB2312"/>
          <w:color w:val="000000" w:themeColor="text1"/>
          <w:sz w:val="28"/>
          <w:szCs w:val="28"/>
        </w:rPr>
        <w:t>水土保持投资估算及效益分析</w:t>
      </w:r>
      <w:bookmarkEnd w:id="51"/>
    </w:p>
    <w:p>
      <w:pPr>
        <w:pStyle w:val="4"/>
        <w:spacing w:before="0" w:after="0" w:line="360" w:lineRule="auto"/>
        <w:rPr>
          <w:rFonts w:ascii="Times New Roman" w:hAnsi="Times New Roman" w:eastAsia="仿宋_GB2312"/>
          <w:color w:val="000000" w:themeColor="text1"/>
          <w:sz w:val="28"/>
          <w:szCs w:val="28"/>
        </w:rPr>
      </w:pPr>
      <w:bookmarkStart w:id="52" w:name="_Toc9286"/>
      <w:r>
        <w:rPr>
          <w:rFonts w:ascii="Times New Roman" w:hAnsi="Times New Roman" w:eastAsia="仿宋_GB2312"/>
          <w:color w:val="000000" w:themeColor="text1"/>
          <w:sz w:val="28"/>
          <w:szCs w:val="28"/>
        </w:rPr>
        <w:t>7.1投资估算</w:t>
      </w:r>
      <w:bookmarkEnd w:id="52"/>
    </w:p>
    <w:p>
      <w:pPr>
        <w:spacing w:line="360" w:lineRule="auto"/>
        <w:jc w:val="both"/>
        <w:rPr>
          <w:rFonts w:eastAsia="仿宋_GB2312"/>
          <w:b/>
          <w:color w:val="000000" w:themeColor="text1"/>
          <w:szCs w:val="24"/>
        </w:rPr>
      </w:pPr>
      <w:r>
        <w:rPr>
          <w:rFonts w:eastAsia="仿宋_GB2312"/>
          <w:b/>
          <w:color w:val="000000" w:themeColor="text1"/>
          <w:szCs w:val="24"/>
        </w:rPr>
        <w:t>7.1.1编制原则及依据</w:t>
      </w:r>
    </w:p>
    <w:p>
      <w:pPr>
        <w:spacing w:line="360" w:lineRule="auto"/>
        <w:jc w:val="both"/>
        <w:rPr>
          <w:rFonts w:eastAsia="仿宋_GB2312"/>
          <w:b/>
          <w:color w:val="000000" w:themeColor="text1"/>
          <w:szCs w:val="24"/>
        </w:rPr>
      </w:pPr>
      <w:r>
        <w:rPr>
          <w:rFonts w:eastAsia="仿宋_GB2312"/>
          <w:b/>
          <w:color w:val="000000" w:themeColor="text1"/>
          <w:szCs w:val="24"/>
        </w:rPr>
        <w:t>7.1.1.1编制原则</w:t>
      </w:r>
    </w:p>
    <w:p>
      <w:pPr>
        <w:pStyle w:val="10"/>
        <w:spacing w:line="360" w:lineRule="auto"/>
        <w:ind w:firstLine="480" w:firstLineChars="200"/>
        <w:rPr>
          <w:rFonts w:eastAsia="仿宋_GB2312"/>
          <w:color w:val="000000" w:themeColor="text1"/>
          <w:szCs w:val="24"/>
        </w:rPr>
      </w:pPr>
      <w:r>
        <w:rPr>
          <w:rFonts w:eastAsia="仿宋_GB2312"/>
          <w:color w:val="000000" w:themeColor="text1"/>
          <w:szCs w:val="24"/>
        </w:rPr>
        <w:t>（1）水土保持投资包括主体工程设计的水土保持功能工程投资及新增水土保持投资，水土保持投资估算作为主体工程投资估算的重要组成部分，计入主体工程总投资估算中；</w:t>
      </w:r>
    </w:p>
    <w:p>
      <w:pPr>
        <w:pStyle w:val="10"/>
        <w:spacing w:line="360" w:lineRule="auto"/>
        <w:ind w:firstLine="480" w:firstLineChars="200"/>
        <w:rPr>
          <w:rFonts w:eastAsia="仿宋_GB2312"/>
          <w:color w:val="000000" w:themeColor="text1"/>
          <w:szCs w:val="24"/>
        </w:rPr>
      </w:pPr>
      <w:r>
        <w:rPr>
          <w:rFonts w:eastAsia="仿宋_GB2312"/>
          <w:color w:val="000000" w:themeColor="text1"/>
          <w:szCs w:val="24"/>
        </w:rPr>
        <w:t>（2）投资估算编制的项目划分、费用构成、表格形式等应依据水土保持工程概（估）算编制规定编写；</w:t>
      </w:r>
    </w:p>
    <w:p>
      <w:pPr>
        <w:pStyle w:val="10"/>
        <w:spacing w:line="360" w:lineRule="auto"/>
        <w:ind w:firstLine="480" w:firstLineChars="200"/>
        <w:rPr>
          <w:rFonts w:eastAsia="仿宋_GB2312"/>
          <w:color w:val="000000" w:themeColor="text1"/>
          <w:szCs w:val="24"/>
        </w:rPr>
      </w:pPr>
      <w:r>
        <w:rPr>
          <w:rFonts w:eastAsia="仿宋_GB2312"/>
          <w:color w:val="000000" w:themeColor="text1"/>
          <w:szCs w:val="24"/>
        </w:rPr>
        <w:t>（3）估算定额、取费项目及费率与主体工程一致，主体工程定额中没有的工程项目，应采用水土保持或相关行业的定额、取费项目及费率；</w:t>
      </w:r>
    </w:p>
    <w:p>
      <w:pPr>
        <w:pStyle w:val="10"/>
        <w:spacing w:line="360" w:lineRule="auto"/>
        <w:ind w:firstLine="480" w:firstLineChars="200"/>
        <w:rPr>
          <w:rFonts w:eastAsia="仿宋_GB2312"/>
          <w:color w:val="000000" w:themeColor="text1"/>
          <w:szCs w:val="24"/>
        </w:rPr>
      </w:pPr>
      <w:r>
        <w:rPr>
          <w:rFonts w:eastAsia="仿宋_GB2312"/>
          <w:color w:val="000000" w:themeColor="text1"/>
          <w:szCs w:val="24"/>
        </w:rPr>
        <w:t>（4）水土保持补偿费单独计列；</w:t>
      </w:r>
    </w:p>
    <w:p>
      <w:pPr>
        <w:pStyle w:val="10"/>
        <w:spacing w:line="360" w:lineRule="auto"/>
        <w:ind w:firstLine="480" w:firstLineChars="200"/>
        <w:rPr>
          <w:rFonts w:eastAsia="仿宋_GB2312"/>
          <w:color w:val="000000" w:themeColor="text1"/>
          <w:szCs w:val="24"/>
        </w:rPr>
      </w:pPr>
      <w:r>
        <w:rPr>
          <w:rFonts w:eastAsia="仿宋_GB2312"/>
          <w:color w:val="000000" w:themeColor="text1"/>
          <w:szCs w:val="24"/>
        </w:rPr>
        <w:t>（5）价格水平年为202</w:t>
      </w:r>
      <w:r>
        <w:rPr>
          <w:rFonts w:hint="eastAsia" w:eastAsia="仿宋_GB2312"/>
          <w:color w:val="000000" w:themeColor="text1"/>
          <w:szCs w:val="24"/>
          <w:lang w:val="en-US" w:eastAsia="zh-CN"/>
        </w:rPr>
        <w:t>1</w:t>
      </w:r>
      <w:r>
        <w:rPr>
          <w:rFonts w:eastAsia="仿宋_GB2312"/>
          <w:color w:val="000000" w:themeColor="text1"/>
          <w:szCs w:val="24"/>
        </w:rPr>
        <w:t>年第</w:t>
      </w:r>
      <w:r>
        <w:rPr>
          <w:rFonts w:hint="eastAsia" w:eastAsia="仿宋_GB2312"/>
          <w:color w:val="000000" w:themeColor="text1"/>
          <w:szCs w:val="24"/>
          <w:lang w:val="en-US" w:eastAsia="zh-CN"/>
        </w:rPr>
        <w:t>二</w:t>
      </w:r>
      <w:r>
        <w:rPr>
          <w:rFonts w:eastAsia="仿宋_GB2312"/>
          <w:color w:val="000000" w:themeColor="text1"/>
          <w:szCs w:val="24"/>
        </w:rPr>
        <w:t>季度；</w:t>
      </w:r>
    </w:p>
    <w:p>
      <w:pPr>
        <w:pStyle w:val="10"/>
        <w:spacing w:line="360" w:lineRule="auto"/>
        <w:ind w:firstLine="480" w:firstLineChars="200"/>
        <w:rPr>
          <w:rFonts w:eastAsia="仿宋_GB2312"/>
          <w:color w:val="000000" w:themeColor="text1"/>
          <w:szCs w:val="24"/>
        </w:rPr>
      </w:pPr>
      <w:r>
        <w:rPr>
          <w:rFonts w:eastAsia="仿宋_GB2312"/>
          <w:color w:val="000000" w:themeColor="text1"/>
          <w:szCs w:val="24"/>
        </w:rPr>
        <w:t>（6）建设期水土保持投资由建设资金列支。</w:t>
      </w:r>
    </w:p>
    <w:p>
      <w:pPr>
        <w:spacing w:line="360" w:lineRule="auto"/>
        <w:jc w:val="both"/>
        <w:rPr>
          <w:rFonts w:eastAsia="仿宋_GB2312"/>
          <w:b/>
          <w:color w:val="000000" w:themeColor="text1"/>
          <w:szCs w:val="24"/>
        </w:rPr>
      </w:pPr>
      <w:r>
        <w:rPr>
          <w:rFonts w:eastAsia="仿宋_GB2312"/>
          <w:b/>
          <w:color w:val="000000" w:themeColor="text1"/>
          <w:szCs w:val="24"/>
        </w:rPr>
        <w:t>7.1.1.2编制依据</w:t>
      </w:r>
    </w:p>
    <w:p>
      <w:pPr>
        <w:spacing w:line="360" w:lineRule="auto"/>
        <w:ind w:firstLine="480" w:firstLineChars="200"/>
        <w:rPr>
          <w:rFonts w:eastAsia="仿宋_GB2312"/>
          <w:snapToGrid w:val="0"/>
          <w:color w:val="000000" w:themeColor="text1"/>
          <w:szCs w:val="24"/>
        </w:rPr>
      </w:pPr>
      <w:r>
        <w:rPr>
          <w:rFonts w:eastAsia="仿宋_GB2312"/>
          <w:snapToGrid w:val="0"/>
          <w:color w:val="000000" w:themeColor="text1"/>
          <w:szCs w:val="24"/>
        </w:rPr>
        <w:t>（1）《开发建设项目水土保持工程概（估）算编制规定》（水利部，水总〔2003〕67号）；</w:t>
      </w:r>
    </w:p>
    <w:p>
      <w:pPr>
        <w:spacing w:line="360" w:lineRule="auto"/>
        <w:ind w:firstLine="480" w:firstLineChars="200"/>
        <w:rPr>
          <w:rFonts w:eastAsia="仿宋_GB2312"/>
          <w:snapToGrid w:val="0"/>
          <w:color w:val="000000" w:themeColor="text1"/>
          <w:szCs w:val="24"/>
        </w:rPr>
      </w:pPr>
      <w:r>
        <w:rPr>
          <w:rFonts w:eastAsia="仿宋_GB2312"/>
          <w:snapToGrid w:val="0"/>
          <w:color w:val="000000" w:themeColor="text1"/>
          <w:szCs w:val="24"/>
        </w:rPr>
        <w:t>（2）《水土保持补偿费征收使用管理办法》（财综〔2014〕8号）；</w:t>
      </w:r>
    </w:p>
    <w:p>
      <w:pPr>
        <w:spacing w:line="360" w:lineRule="auto"/>
        <w:ind w:firstLine="480" w:firstLineChars="200"/>
        <w:rPr>
          <w:rFonts w:eastAsia="仿宋_GB2312"/>
          <w:snapToGrid w:val="0"/>
          <w:color w:val="000000" w:themeColor="text1"/>
          <w:szCs w:val="24"/>
        </w:rPr>
      </w:pPr>
      <w:r>
        <w:rPr>
          <w:rFonts w:eastAsia="仿宋_GB2312"/>
          <w:snapToGrid w:val="0"/>
          <w:color w:val="000000" w:themeColor="text1"/>
          <w:szCs w:val="24"/>
        </w:rPr>
        <w:t>（3）《关于进一步放开建设项目专业服务价格的通知》（发改价格〔2015〕299号）；</w:t>
      </w:r>
    </w:p>
    <w:p>
      <w:pPr>
        <w:spacing w:line="360" w:lineRule="auto"/>
        <w:ind w:firstLine="480" w:firstLineChars="200"/>
        <w:rPr>
          <w:rFonts w:eastAsia="仿宋_GB2312"/>
          <w:snapToGrid w:val="0"/>
          <w:color w:val="000000" w:themeColor="text1"/>
          <w:szCs w:val="24"/>
        </w:rPr>
      </w:pPr>
      <w:r>
        <w:rPr>
          <w:rFonts w:eastAsia="仿宋_GB2312"/>
          <w:snapToGrid w:val="0"/>
          <w:color w:val="000000" w:themeColor="text1"/>
          <w:szCs w:val="24"/>
        </w:rPr>
        <w:t>（4）《吉林省水土流失补偿费征收、使用和管理办法》（吉林省物价局、财政厅、农业厅、水利厅吉水保字〔1995〕第136号）；</w:t>
      </w:r>
    </w:p>
    <w:p>
      <w:pPr>
        <w:spacing w:line="360" w:lineRule="auto"/>
        <w:ind w:firstLine="480" w:firstLineChars="200"/>
        <w:rPr>
          <w:rFonts w:eastAsia="仿宋_GB2312"/>
          <w:snapToGrid w:val="0"/>
          <w:color w:val="000000" w:themeColor="text1"/>
          <w:szCs w:val="24"/>
        </w:rPr>
      </w:pPr>
      <w:r>
        <w:rPr>
          <w:rFonts w:eastAsia="仿宋_GB2312"/>
          <w:snapToGrid w:val="0"/>
          <w:color w:val="000000" w:themeColor="text1"/>
          <w:szCs w:val="24"/>
        </w:rPr>
        <w:t>（5）《吉林省水利厅关于进一步做好全省水土保持补偿费有关工作的通知》（吉水保函〔2021〕1号）；</w:t>
      </w:r>
    </w:p>
    <w:p>
      <w:pPr>
        <w:spacing w:line="360" w:lineRule="auto"/>
        <w:ind w:firstLine="480" w:firstLineChars="200"/>
        <w:rPr>
          <w:rFonts w:eastAsia="仿宋_GB2312"/>
          <w:color w:val="000000" w:themeColor="text1"/>
        </w:rPr>
      </w:pPr>
      <w:r>
        <w:rPr>
          <w:rFonts w:eastAsia="仿宋_GB2312"/>
          <w:snapToGrid w:val="0"/>
          <w:color w:val="000000" w:themeColor="text1"/>
          <w:szCs w:val="24"/>
        </w:rPr>
        <w:t>（6）《水利部办公厅关于调整水利工程计价依据增值税计算标准的通知》（办财务函〔2019〕448号）</w:t>
      </w:r>
      <w:r>
        <w:rPr>
          <w:rFonts w:eastAsia="仿宋_GB2312"/>
          <w:color w:val="000000" w:themeColor="text1"/>
        </w:rPr>
        <w:t>；</w:t>
      </w:r>
    </w:p>
    <w:p>
      <w:pPr>
        <w:spacing w:line="360" w:lineRule="auto"/>
        <w:ind w:firstLine="480" w:firstLineChars="200"/>
        <w:rPr>
          <w:rFonts w:eastAsia="仿宋_GB2312"/>
          <w:snapToGrid w:val="0"/>
          <w:color w:val="000000" w:themeColor="text1"/>
          <w:szCs w:val="24"/>
        </w:rPr>
      </w:pPr>
      <w:r>
        <w:rPr>
          <w:rFonts w:eastAsia="仿宋_GB2312"/>
          <w:color w:val="000000" w:themeColor="text1"/>
        </w:rPr>
        <w:t>（7）《吉林省住房和城乡建设厅关于调整定额人工综合工日单价和定额机械费的通知》（吉建造〔2020〕4号）</w:t>
      </w:r>
      <w:r>
        <w:rPr>
          <w:rFonts w:eastAsia="仿宋_GB2312"/>
          <w:snapToGrid w:val="0"/>
          <w:color w:val="000000" w:themeColor="text1"/>
          <w:szCs w:val="24"/>
        </w:rPr>
        <w:t>；</w:t>
      </w:r>
    </w:p>
    <w:p>
      <w:pPr>
        <w:spacing w:line="360" w:lineRule="auto"/>
        <w:ind w:firstLine="480" w:firstLineChars="200"/>
        <w:rPr>
          <w:rFonts w:eastAsia="仿宋_GB2312"/>
          <w:snapToGrid w:val="0"/>
          <w:color w:val="000000" w:themeColor="text1"/>
          <w:szCs w:val="24"/>
        </w:rPr>
      </w:pPr>
      <w:r>
        <w:rPr>
          <w:rFonts w:eastAsia="仿宋_GB2312"/>
          <w:snapToGrid w:val="0"/>
          <w:color w:val="000000" w:themeColor="text1"/>
          <w:szCs w:val="24"/>
        </w:rPr>
        <w:t>（8）《关于水土保持补偿费等四项非税收入划转税务部门征收的通知》（财税〔2020〕58号）；</w:t>
      </w:r>
    </w:p>
    <w:p>
      <w:pPr>
        <w:spacing w:line="360" w:lineRule="auto"/>
        <w:ind w:firstLine="480" w:firstLineChars="200"/>
        <w:rPr>
          <w:rFonts w:eastAsia="仿宋_GB2312"/>
          <w:snapToGrid w:val="0"/>
          <w:color w:val="000000" w:themeColor="text1"/>
          <w:szCs w:val="24"/>
        </w:rPr>
      </w:pPr>
      <w:r>
        <w:rPr>
          <w:rFonts w:eastAsia="仿宋_GB2312"/>
          <w:snapToGrid w:val="0"/>
          <w:color w:val="000000" w:themeColor="text1"/>
          <w:szCs w:val="24"/>
        </w:rPr>
        <w:t>（9）《吉林省水利厅关于进一步加强水土保持补偿费征收使用有关工作的通知》（吉水保函﹝2020﹞45号）；</w:t>
      </w:r>
    </w:p>
    <w:p>
      <w:pPr>
        <w:spacing w:line="360" w:lineRule="auto"/>
        <w:ind w:firstLine="480" w:firstLineChars="200"/>
        <w:rPr>
          <w:rFonts w:eastAsia="仿宋_GB2312"/>
          <w:snapToGrid w:val="0"/>
          <w:color w:val="000000" w:themeColor="text1"/>
          <w:szCs w:val="24"/>
        </w:rPr>
      </w:pPr>
      <w:r>
        <w:rPr>
          <w:rFonts w:eastAsia="仿宋_GB2312"/>
          <w:snapToGrid w:val="0"/>
          <w:color w:val="000000" w:themeColor="text1"/>
          <w:szCs w:val="24"/>
        </w:rPr>
        <w:t>（10）</w:t>
      </w:r>
      <w:r>
        <w:rPr>
          <w:rFonts w:eastAsia="仿宋_GB2312"/>
          <w:color w:val="000000" w:themeColor="text1"/>
          <w:szCs w:val="24"/>
        </w:rPr>
        <w:t>关于印发《吉林省水土保持补偿费、地方水库移民扶持基金征管职责划转工作实施方案》的通知（吉税发〔2020〕67号）</w:t>
      </w:r>
      <w:r>
        <w:rPr>
          <w:rFonts w:eastAsia="仿宋_GB2312"/>
          <w:snapToGrid w:val="0"/>
          <w:color w:val="000000" w:themeColor="text1"/>
          <w:szCs w:val="24"/>
        </w:rPr>
        <w:t>。</w:t>
      </w:r>
    </w:p>
    <w:p>
      <w:pPr>
        <w:spacing w:line="360" w:lineRule="auto"/>
        <w:jc w:val="both"/>
        <w:rPr>
          <w:rFonts w:eastAsia="仿宋_GB2312"/>
          <w:b/>
          <w:color w:val="000000" w:themeColor="text1"/>
          <w:szCs w:val="24"/>
        </w:rPr>
      </w:pPr>
      <w:r>
        <w:rPr>
          <w:rFonts w:eastAsia="仿宋_GB2312"/>
          <w:b/>
          <w:color w:val="000000" w:themeColor="text1"/>
          <w:szCs w:val="24"/>
        </w:rPr>
        <w:t>7.1.2编制说明与估算成果</w:t>
      </w:r>
    </w:p>
    <w:p>
      <w:pPr>
        <w:spacing w:line="360" w:lineRule="auto"/>
        <w:ind w:firstLine="480" w:firstLineChars="200"/>
        <w:jc w:val="both"/>
        <w:rPr>
          <w:rFonts w:eastAsia="仿宋_GB2312"/>
          <w:b/>
          <w:color w:val="000000" w:themeColor="text1"/>
          <w:szCs w:val="24"/>
        </w:rPr>
      </w:pPr>
      <w:r>
        <w:rPr>
          <w:rFonts w:eastAsia="仿宋_GB2312"/>
          <w:color w:val="000000" w:themeColor="text1"/>
          <w:szCs w:val="24"/>
        </w:rPr>
        <w:t>水土保持工程投资概（估）算以水利部水总</w:t>
      </w:r>
      <w:r>
        <w:rPr>
          <w:rFonts w:eastAsia="仿宋_GB2312"/>
          <w:snapToGrid w:val="0"/>
          <w:color w:val="000000" w:themeColor="text1"/>
          <w:szCs w:val="24"/>
        </w:rPr>
        <w:t>〔2003〕</w:t>
      </w:r>
      <w:r>
        <w:rPr>
          <w:rFonts w:eastAsia="仿宋_GB2312"/>
          <w:color w:val="000000" w:themeColor="text1"/>
          <w:szCs w:val="24"/>
        </w:rPr>
        <w:t>67号文发布的《水土保持生态建设工程概（估）算编制规定》为主要依据，并根据国家有关水土保持工程的规程、规范和有关标准，结合本工程的具体情况进行编制。水土保持工程投资包括水土保持工程费和水土保持补偿费两部分。水土保持工程费用由水土保持工程措施、植物措施、临时工程、独立费用及基本预备费组成。</w:t>
      </w:r>
    </w:p>
    <w:p>
      <w:pPr>
        <w:spacing w:line="360" w:lineRule="auto"/>
        <w:jc w:val="both"/>
        <w:rPr>
          <w:rFonts w:eastAsia="仿宋_GB2312"/>
          <w:b/>
          <w:color w:val="000000" w:themeColor="text1"/>
          <w:szCs w:val="24"/>
        </w:rPr>
      </w:pPr>
      <w:r>
        <w:rPr>
          <w:rFonts w:eastAsia="仿宋_GB2312"/>
          <w:b/>
          <w:color w:val="000000" w:themeColor="text1"/>
          <w:szCs w:val="24"/>
        </w:rPr>
        <w:t>7.1.2.1编制说明</w:t>
      </w:r>
    </w:p>
    <w:p>
      <w:pPr>
        <w:spacing w:line="360" w:lineRule="auto"/>
        <w:ind w:firstLine="480" w:firstLineChars="200"/>
        <w:jc w:val="both"/>
        <w:rPr>
          <w:rFonts w:eastAsia="仿宋_GB2312"/>
          <w:color w:val="000000" w:themeColor="text1"/>
          <w:szCs w:val="24"/>
        </w:rPr>
      </w:pPr>
      <w:r>
        <w:rPr>
          <w:rFonts w:eastAsia="仿宋_GB2312"/>
          <w:color w:val="000000" w:themeColor="text1"/>
          <w:szCs w:val="24"/>
        </w:rPr>
        <w:t>一、基础单价及取费标准</w:t>
      </w:r>
    </w:p>
    <w:p>
      <w:pPr>
        <w:pStyle w:val="73"/>
        <w:rPr>
          <w:rFonts w:eastAsia="仿宋_GB2312"/>
          <w:color w:val="000000" w:themeColor="text1"/>
          <w:szCs w:val="24"/>
        </w:rPr>
      </w:pPr>
      <w:r>
        <w:rPr>
          <w:rFonts w:eastAsia="仿宋_GB2312"/>
          <w:color w:val="000000" w:themeColor="text1"/>
          <w:szCs w:val="24"/>
        </w:rPr>
        <w:t>水土保持工程投资估算以水利部水总</w:t>
      </w:r>
      <w:r>
        <w:rPr>
          <w:rFonts w:eastAsia="仿宋_GB2312"/>
          <w:snapToGrid w:val="0"/>
          <w:color w:val="000000" w:themeColor="text1"/>
          <w:szCs w:val="24"/>
        </w:rPr>
        <w:t>〔2003〕</w:t>
      </w:r>
      <w:r>
        <w:rPr>
          <w:rFonts w:eastAsia="仿宋_GB2312"/>
          <w:color w:val="000000" w:themeColor="text1"/>
          <w:szCs w:val="24"/>
        </w:rPr>
        <w:t>67号文发布的《开发建设项目水土保持工程概（估）算编制规定》为主要依据，并根据国家有关水土保持工程规范和有关标准，结合本工程的具体情况进行编制。</w:t>
      </w:r>
    </w:p>
    <w:p>
      <w:pPr>
        <w:pStyle w:val="73"/>
        <w:rPr>
          <w:rFonts w:eastAsia="仿宋_GB2312"/>
          <w:color w:val="000000" w:themeColor="text1"/>
          <w:szCs w:val="24"/>
        </w:rPr>
      </w:pPr>
      <w:r>
        <w:rPr>
          <w:rFonts w:eastAsia="仿宋_GB2312"/>
          <w:color w:val="000000" w:themeColor="text1"/>
          <w:szCs w:val="24"/>
        </w:rPr>
        <w:t>（1）人工预算单价</w:t>
      </w:r>
    </w:p>
    <w:p>
      <w:pPr>
        <w:pStyle w:val="73"/>
        <w:rPr>
          <w:rFonts w:eastAsia="仿宋_GB2312"/>
          <w:color w:val="000000" w:themeColor="text1"/>
          <w:szCs w:val="24"/>
        </w:rPr>
      </w:pPr>
      <w:r>
        <w:rPr>
          <w:rFonts w:eastAsia="仿宋_GB2312"/>
          <w:color w:val="000000" w:themeColor="text1"/>
          <w:szCs w:val="24"/>
        </w:rPr>
        <w:t>依据《吉林省住房和城乡建设厅关于调整定额人工综合工日单价和定额机械费的通知》（吉建造﹝2020﹞4号），本项目未实施的水土保持工程措施、植物措施、临时措施人工工日单价为143元/工日，即</w:t>
      </w:r>
      <w:r>
        <w:rPr>
          <w:rFonts w:hint="eastAsia" w:eastAsia="仿宋_GB2312"/>
          <w:color w:val="000000" w:themeColor="text1"/>
          <w:szCs w:val="24"/>
        </w:rPr>
        <w:t>20</w:t>
      </w:r>
      <w:r>
        <w:rPr>
          <w:rFonts w:eastAsia="仿宋_GB2312"/>
          <w:color w:val="000000" w:themeColor="text1"/>
          <w:szCs w:val="24"/>
        </w:rPr>
        <w:t>元/工时。</w:t>
      </w:r>
    </w:p>
    <w:p>
      <w:pPr>
        <w:pStyle w:val="73"/>
        <w:rPr>
          <w:rFonts w:eastAsia="仿宋_GB2312"/>
          <w:color w:val="000000" w:themeColor="text1"/>
          <w:szCs w:val="24"/>
        </w:rPr>
      </w:pPr>
      <w:r>
        <w:rPr>
          <w:rFonts w:eastAsia="仿宋_GB2312"/>
          <w:color w:val="000000" w:themeColor="text1"/>
          <w:szCs w:val="24"/>
        </w:rPr>
        <w:t>（2）主要材料价格估算单价</w:t>
      </w:r>
    </w:p>
    <w:p>
      <w:pPr>
        <w:pStyle w:val="73"/>
        <w:rPr>
          <w:rFonts w:eastAsia="仿宋_GB2312"/>
          <w:color w:val="000000" w:themeColor="text1"/>
          <w:szCs w:val="24"/>
        </w:rPr>
      </w:pPr>
      <w:r>
        <w:rPr>
          <w:rFonts w:eastAsia="仿宋_GB2312"/>
          <w:color w:val="000000" w:themeColor="text1"/>
          <w:szCs w:val="24"/>
        </w:rPr>
        <w:t>材料价格中主要包括材料原价、材料运杂费、材料采购保险费等。工程所需主要材料均采用主体工程价格，主体工程不涉及的材料及植物价格均参照当地现行价格计算。</w:t>
      </w:r>
    </w:p>
    <w:p>
      <w:pPr>
        <w:pStyle w:val="73"/>
        <w:rPr>
          <w:rFonts w:eastAsia="仿宋_GB2312"/>
          <w:color w:val="000000" w:themeColor="text1"/>
          <w:szCs w:val="24"/>
        </w:rPr>
      </w:pPr>
      <w:r>
        <w:rPr>
          <w:rFonts w:eastAsia="仿宋_GB2312"/>
          <w:color w:val="000000" w:themeColor="text1"/>
          <w:szCs w:val="24"/>
        </w:rPr>
        <w:t>（3）机械使用费</w:t>
      </w:r>
    </w:p>
    <w:p>
      <w:pPr>
        <w:pStyle w:val="73"/>
        <w:rPr>
          <w:rFonts w:eastAsia="仿宋_GB2312"/>
          <w:color w:val="000000" w:themeColor="text1"/>
          <w:szCs w:val="24"/>
        </w:rPr>
      </w:pPr>
      <w:r>
        <w:rPr>
          <w:rFonts w:eastAsia="仿宋_GB2312"/>
          <w:color w:val="000000" w:themeColor="text1"/>
          <w:szCs w:val="24"/>
        </w:rPr>
        <w:t>根据《开发建设项目水土保持工程概（估）算编制规定》中施工机械台时费定额进行编制，并依据</w:t>
      </w:r>
      <w:r>
        <w:rPr>
          <w:rFonts w:eastAsia="仿宋_GB2312"/>
          <w:color w:val="000000" w:themeColor="text1"/>
        </w:rPr>
        <w:t>《</w:t>
      </w:r>
      <w:r>
        <w:rPr>
          <w:rFonts w:eastAsia="仿宋_GB2312"/>
          <w:color w:val="000000" w:themeColor="text1"/>
          <w:szCs w:val="24"/>
        </w:rPr>
        <w:t>水利工程营业税改增值税计价依据调整办法</w:t>
      </w:r>
      <w:r>
        <w:rPr>
          <w:rFonts w:eastAsia="仿宋_GB2312"/>
          <w:color w:val="000000" w:themeColor="text1"/>
        </w:rPr>
        <w:t>》进行调整</w:t>
      </w:r>
      <w:r>
        <w:rPr>
          <w:rFonts w:eastAsia="仿宋_GB2312"/>
          <w:color w:val="000000" w:themeColor="text1"/>
          <w:szCs w:val="24"/>
        </w:rPr>
        <w:t>。</w:t>
      </w:r>
    </w:p>
    <w:p>
      <w:pPr>
        <w:pStyle w:val="73"/>
        <w:rPr>
          <w:rFonts w:eastAsia="仿宋_GB2312"/>
          <w:color w:val="000000" w:themeColor="text1"/>
          <w:szCs w:val="24"/>
        </w:rPr>
      </w:pPr>
      <w:r>
        <w:rPr>
          <w:rFonts w:eastAsia="仿宋_GB2312"/>
          <w:color w:val="000000" w:themeColor="text1"/>
          <w:szCs w:val="24"/>
        </w:rPr>
        <w:t>（4）水电费</w:t>
      </w:r>
    </w:p>
    <w:p>
      <w:pPr>
        <w:spacing w:line="360" w:lineRule="auto"/>
        <w:ind w:firstLine="480" w:firstLineChars="200"/>
        <w:rPr>
          <w:rFonts w:eastAsia="仿宋_GB2312"/>
          <w:color w:val="000000" w:themeColor="text1"/>
          <w:szCs w:val="24"/>
        </w:rPr>
      </w:pPr>
      <w:r>
        <w:rPr>
          <w:rFonts w:eastAsia="仿宋_GB2312"/>
          <w:color w:val="000000" w:themeColor="text1"/>
        </w:rPr>
        <w:t>工程用水、用电采用主体工程价格，用水按3.5元/ t计，用电按1元/千瓦·时计。</w:t>
      </w:r>
    </w:p>
    <w:p>
      <w:pPr>
        <w:spacing w:line="360" w:lineRule="auto"/>
        <w:ind w:firstLine="480" w:firstLineChars="200"/>
        <w:jc w:val="both"/>
        <w:rPr>
          <w:rFonts w:eastAsia="仿宋_GB2312"/>
          <w:color w:val="000000" w:themeColor="text1"/>
          <w:szCs w:val="24"/>
        </w:rPr>
      </w:pPr>
      <w:r>
        <w:rPr>
          <w:rFonts w:eastAsia="仿宋_GB2312"/>
          <w:color w:val="000000" w:themeColor="text1"/>
          <w:szCs w:val="24"/>
        </w:rPr>
        <w:t>二、取费标准</w:t>
      </w:r>
    </w:p>
    <w:p>
      <w:pPr>
        <w:spacing w:line="360" w:lineRule="auto"/>
        <w:ind w:firstLine="560"/>
        <w:rPr>
          <w:rFonts w:eastAsia="仿宋_GB2312"/>
          <w:color w:val="000000" w:themeColor="text1"/>
          <w:szCs w:val="24"/>
        </w:rPr>
      </w:pPr>
      <w:r>
        <w:rPr>
          <w:rFonts w:eastAsia="仿宋_GB2312"/>
          <w:color w:val="000000" w:themeColor="text1"/>
          <w:szCs w:val="24"/>
        </w:rPr>
        <w:t>工程措施定额与主体工程一致，不足部分采用水土保持定额，植物措施采用《开发建设项目水土保持工程概（估）算编制规定》计取。</w:t>
      </w:r>
    </w:p>
    <w:p>
      <w:pPr>
        <w:spacing w:line="360" w:lineRule="auto"/>
        <w:ind w:firstLine="480" w:firstLineChars="200"/>
        <w:rPr>
          <w:rFonts w:eastAsia="仿宋_GB2312"/>
          <w:color w:val="000000" w:themeColor="text1"/>
        </w:rPr>
      </w:pPr>
      <w:r>
        <w:rPr>
          <w:rFonts w:eastAsia="仿宋_GB2312"/>
          <w:color w:val="000000" w:themeColor="text1"/>
        </w:rPr>
        <w:t>（1）其他直接费：以直接费为计费基础，工程措施取4％，植物措施取2.5％。</w:t>
      </w:r>
    </w:p>
    <w:p>
      <w:pPr>
        <w:spacing w:line="360" w:lineRule="auto"/>
        <w:ind w:firstLine="480" w:firstLineChars="200"/>
        <w:rPr>
          <w:rFonts w:eastAsia="仿宋_GB2312"/>
          <w:color w:val="000000" w:themeColor="text1"/>
        </w:rPr>
      </w:pPr>
      <w:r>
        <w:rPr>
          <w:rFonts w:eastAsia="仿宋_GB2312"/>
          <w:color w:val="000000" w:themeColor="text1"/>
        </w:rPr>
        <w:t>（2）现场经费：以直接费为计费基础，工程措施取5％，植物措施取4％。</w:t>
      </w:r>
    </w:p>
    <w:p>
      <w:pPr>
        <w:spacing w:line="360" w:lineRule="auto"/>
        <w:ind w:firstLine="480" w:firstLineChars="200"/>
        <w:rPr>
          <w:rFonts w:eastAsia="仿宋_GB2312"/>
          <w:color w:val="000000" w:themeColor="text1"/>
        </w:rPr>
      </w:pPr>
      <w:r>
        <w:rPr>
          <w:rFonts w:eastAsia="仿宋_GB2312"/>
          <w:color w:val="000000" w:themeColor="text1"/>
        </w:rPr>
        <w:t>（3）间接费：以直接工程费为计费基础，工程措施费率取5.5％，植物措施费率取3.3％。</w:t>
      </w:r>
    </w:p>
    <w:p>
      <w:pPr>
        <w:spacing w:line="360" w:lineRule="auto"/>
        <w:ind w:firstLine="480" w:firstLineChars="200"/>
        <w:rPr>
          <w:rFonts w:eastAsia="仿宋_GB2312"/>
          <w:color w:val="000000" w:themeColor="text1"/>
        </w:rPr>
      </w:pPr>
      <w:r>
        <w:rPr>
          <w:rFonts w:eastAsia="仿宋_GB2312"/>
          <w:color w:val="000000" w:themeColor="text1"/>
        </w:rPr>
        <w:t>（4）企业利润：以直接工程费和间接费之和为计费基础，工程措施取7％，植物措施取5％。</w:t>
      </w:r>
    </w:p>
    <w:p>
      <w:pPr>
        <w:spacing w:line="360" w:lineRule="auto"/>
        <w:ind w:firstLine="480" w:firstLineChars="200"/>
        <w:rPr>
          <w:rFonts w:eastAsia="仿宋_GB2312"/>
          <w:color w:val="000000" w:themeColor="text1"/>
        </w:rPr>
      </w:pPr>
      <w:r>
        <w:rPr>
          <w:rFonts w:eastAsia="仿宋_GB2312"/>
          <w:color w:val="000000" w:themeColor="text1"/>
        </w:rPr>
        <w:t>（5）税金：以直接工程费、间接费、企业利润之和为计费基础，按照《水利部办公厅关于调整水利工程计价依据增值税计算标准的通知》办财务函〔2019〕448号)要求，取9％；</w:t>
      </w:r>
    </w:p>
    <w:p>
      <w:pPr>
        <w:spacing w:line="360" w:lineRule="auto"/>
        <w:ind w:firstLine="480" w:firstLineChars="200"/>
        <w:rPr>
          <w:rFonts w:eastAsia="仿宋_GB2312"/>
          <w:color w:val="000000" w:themeColor="text1"/>
          <w:szCs w:val="24"/>
        </w:rPr>
      </w:pPr>
      <w:r>
        <w:rPr>
          <w:rFonts w:eastAsia="仿宋_GB2312"/>
          <w:color w:val="000000" w:themeColor="text1"/>
        </w:rPr>
        <w:t>（6）扩大：可行性研究阶段，单价扩大10%。</w:t>
      </w:r>
    </w:p>
    <w:p>
      <w:pPr>
        <w:spacing w:line="360" w:lineRule="auto"/>
        <w:ind w:firstLine="480" w:firstLineChars="200"/>
        <w:jc w:val="both"/>
        <w:rPr>
          <w:rFonts w:eastAsia="仿宋_GB2312"/>
          <w:color w:val="000000" w:themeColor="text1"/>
          <w:szCs w:val="24"/>
        </w:rPr>
      </w:pPr>
      <w:r>
        <w:rPr>
          <w:rFonts w:eastAsia="仿宋_GB2312"/>
          <w:color w:val="000000" w:themeColor="text1"/>
          <w:szCs w:val="24"/>
        </w:rPr>
        <w:t>三、独立费用</w:t>
      </w:r>
    </w:p>
    <w:p>
      <w:pPr>
        <w:spacing w:line="360" w:lineRule="auto"/>
        <w:ind w:firstLine="480" w:firstLineChars="200"/>
        <w:rPr>
          <w:rFonts w:eastAsia="仿宋_GB2312"/>
          <w:color w:val="000000" w:themeColor="text1"/>
        </w:rPr>
      </w:pPr>
      <w:r>
        <w:rPr>
          <w:rFonts w:eastAsia="仿宋_GB2312"/>
          <w:color w:val="000000" w:themeColor="text1"/>
        </w:rPr>
        <w:t>独立费用部分投资包括建设管理费、工程建设监理费、水土保持监测费、科研勘测设计费和水土保持设施验收费。</w:t>
      </w:r>
    </w:p>
    <w:p>
      <w:pPr>
        <w:spacing w:line="360" w:lineRule="auto"/>
        <w:ind w:firstLine="480" w:firstLineChars="200"/>
        <w:rPr>
          <w:rFonts w:eastAsia="仿宋_GB2312"/>
          <w:color w:val="000000" w:themeColor="text1"/>
          <w:szCs w:val="24"/>
        </w:rPr>
      </w:pPr>
      <w:r>
        <w:rPr>
          <w:rFonts w:eastAsia="仿宋_GB2312"/>
          <w:color w:val="000000" w:themeColor="text1"/>
          <w:szCs w:val="24"/>
        </w:rPr>
        <w:t>（1）建设管理费：按第一至三新增部分之和的2％计。</w:t>
      </w:r>
    </w:p>
    <w:p>
      <w:pPr>
        <w:spacing w:line="360" w:lineRule="auto"/>
        <w:ind w:firstLine="480" w:firstLineChars="200"/>
        <w:rPr>
          <w:rFonts w:eastAsia="仿宋_GB2312"/>
          <w:color w:val="000000" w:themeColor="text1"/>
          <w:szCs w:val="24"/>
        </w:rPr>
      </w:pPr>
      <w:r>
        <w:rPr>
          <w:rFonts w:eastAsia="仿宋_GB2312"/>
          <w:color w:val="000000" w:themeColor="text1"/>
          <w:szCs w:val="24"/>
        </w:rPr>
        <w:t>（2）工程建设监理费：按</w:t>
      </w:r>
      <w:r>
        <w:rPr>
          <w:rFonts w:eastAsia="仿宋_GB2312"/>
          <w:color w:val="000000" w:themeColor="text1"/>
        </w:rPr>
        <w:t>《</w:t>
      </w:r>
      <w:r>
        <w:rPr>
          <w:rFonts w:eastAsia="仿宋_GB2312"/>
          <w:color w:val="000000" w:themeColor="text1"/>
          <w:szCs w:val="24"/>
        </w:rPr>
        <w:t>关于进一步放开建设项目专业服务价格的通知</w:t>
      </w:r>
      <w:r>
        <w:rPr>
          <w:rFonts w:eastAsia="仿宋_GB2312"/>
          <w:color w:val="000000" w:themeColor="text1"/>
        </w:rPr>
        <w:t>》（发改价格</w:t>
      </w:r>
      <w:r>
        <w:rPr>
          <w:rFonts w:eastAsia="仿宋_GB2312"/>
          <w:snapToGrid w:val="0"/>
          <w:color w:val="000000" w:themeColor="text1"/>
          <w:szCs w:val="24"/>
        </w:rPr>
        <w:t>〔2015〕</w:t>
      </w:r>
      <w:r>
        <w:rPr>
          <w:rFonts w:eastAsia="仿宋_GB2312"/>
          <w:color w:val="000000" w:themeColor="text1"/>
        </w:rPr>
        <w:t>299号）取费，</w:t>
      </w:r>
      <w:r>
        <w:rPr>
          <w:rFonts w:eastAsia="仿宋_GB2312"/>
          <w:color w:val="000000" w:themeColor="text1"/>
          <w:szCs w:val="24"/>
        </w:rPr>
        <w:t>参考同类项目合同价格。</w:t>
      </w:r>
    </w:p>
    <w:p>
      <w:pPr>
        <w:spacing w:line="360" w:lineRule="auto"/>
        <w:ind w:firstLine="480" w:firstLineChars="200"/>
        <w:rPr>
          <w:rFonts w:eastAsia="仿宋_GB2312"/>
          <w:color w:val="000000" w:themeColor="text1"/>
          <w:szCs w:val="24"/>
        </w:rPr>
      </w:pPr>
      <w:r>
        <w:rPr>
          <w:rFonts w:eastAsia="仿宋_GB2312"/>
          <w:color w:val="000000" w:themeColor="text1"/>
          <w:szCs w:val="24"/>
        </w:rPr>
        <w:t>（3）科研勘测设计费：按《关于进一步放开建设项目专业服务价格的通知》（发改价格〔2015〕299号）取费，含水土保持后续设计费，并参考同类项目合同价格。</w:t>
      </w:r>
    </w:p>
    <w:p>
      <w:pPr>
        <w:spacing w:line="360" w:lineRule="auto"/>
        <w:ind w:firstLine="480" w:firstLineChars="200"/>
        <w:rPr>
          <w:rFonts w:eastAsia="仿宋_GB2312"/>
          <w:color w:val="000000" w:themeColor="text1"/>
          <w:szCs w:val="24"/>
        </w:rPr>
      </w:pPr>
      <w:r>
        <w:rPr>
          <w:rFonts w:eastAsia="仿宋_GB2312"/>
          <w:color w:val="000000" w:themeColor="text1"/>
          <w:szCs w:val="24"/>
        </w:rPr>
        <w:t>（4）水土保持监测费：按</w:t>
      </w:r>
      <w:r>
        <w:rPr>
          <w:rFonts w:eastAsia="仿宋_GB2312"/>
          <w:color w:val="000000" w:themeColor="text1"/>
        </w:rPr>
        <w:t>《</w:t>
      </w:r>
      <w:r>
        <w:rPr>
          <w:rFonts w:eastAsia="仿宋_GB2312"/>
          <w:color w:val="000000" w:themeColor="text1"/>
          <w:szCs w:val="24"/>
        </w:rPr>
        <w:t>关于进一步放开建设项目专业服务价格的通知</w:t>
      </w:r>
      <w:r>
        <w:rPr>
          <w:rFonts w:eastAsia="仿宋_GB2312"/>
          <w:color w:val="000000" w:themeColor="text1"/>
        </w:rPr>
        <w:t>》（发改价格</w:t>
      </w:r>
      <w:r>
        <w:rPr>
          <w:rFonts w:eastAsia="仿宋_GB2312"/>
          <w:snapToGrid w:val="0"/>
          <w:color w:val="000000" w:themeColor="text1"/>
          <w:szCs w:val="24"/>
        </w:rPr>
        <w:t>〔2015〕</w:t>
      </w:r>
      <w:r>
        <w:rPr>
          <w:rFonts w:eastAsia="仿宋_GB2312"/>
          <w:color w:val="000000" w:themeColor="text1"/>
        </w:rPr>
        <w:t>299号）取费，</w:t>
      </w:r>
      <w:r>
        <w:rPr>
          <w:rFonts w:eastAsia="仿宋_GB2312"/>
          <w:color w:val="000000" w:themeColor="text1"/>
          <w:szCs w:val="24"/>
        </w:rPr>
        <w:t>参考同类项目合同价格。</w:t>
      </w:r>
    </w:p>
    <w:p>
      <w:pPr>
        <w:spacing w:line="360" w:lineRule="auto"/>
        <w:ind w:firstLine="556" w:firstLineChars="232"/>
        <w:rPr>
          <w:rFonts w:eastAsia="仿宋_GB2312"/>
          <w:color w:val="000000" w:themeColor="text1"/>
          <w:szCs w:val="24"/>
        </w:rPr>
      </w:pPr>
      <w:r>
        <w:rPr>
          <w:rFonts w:eastAsia="仿宋_GB2312"/>
          <w:color w:val="000000" w:themeColor="text1"/>
          <w:szCs w:val="24"/>
        </w:rPr>
        <w:t>（5）水土保持设施验收费：按</w:t>
      </w:r>
      <w:r>
        <w:rPr>
          <w:rFonts w:eastAsia="仿宋_GB2312"/>
          <w:color w:val="000000" w:themeColor="text1"/>
        </w:rPr>
        <w:t>《</w:t>
      </w:r>
      <w:r>
        <w:rPr>
          <w:rFonts w:eastAsia="仿宋_GB2312"/>
          <w:color w:val="000000" w:themeColor="text1"/>
          <w:szCs w:val="24"/>
        </w:rPr>
        <w:t>关于进一步放开建设项目专业服务价格的通知</w:t>
      </w:r>
      <w:r>
        <w:rPr>
          <w:rFonts w:eastAsia="仿宋_GB2312"/>
          <w:color w:val="000000" w:themeColor="text1"/>
        </w:rPr>
        <w:t>》（发改价格</w:t>
      </w:r>
      <w:r>
        <w:rPr>
          <w:rFonts w:eastAsia="仿宋_GB2312"/>
          <w:snapToGrid w:val="0"/>
          <w:color w:val="000000" w:themeColor="text1"/>
          <w:szCs w:val="24"/>
        </w:rPr>
        <w:t>〔2015〕</w:t>
      </w:r>
      <w:r>
        <w:rPr>
          <w:rFonts w:eastAsia="仿宋_GB2312"/>
          <w:color w:val="000000" w:themeColor="text1"/>
        </w:rPr>
        <w:t>299号）取费，</w:t>
      </w:r>
      <w:r>
        <w:rPr>
          <w:rFonts w:eastAsia="仿宋_GB2312"/>
          <w:color w:val="000000" w:themeColor="text1"/>
          <w:szCs w:val="24"/>
        </w:rPr>
        <w:t>参考同类项目合同价格。</w:t>
      </w:r>
    </w:p>
    <w:p>
      <w:pPr>
        <w:spacing w:line="360" w:lineRule="auto"/>
        <w:ind w:firstLine="480" w:firstLineChars="200"/>
        <w:jc w:val="both"/>
        <w:rPr>
          <w:rFonts w:eastAsia="仿宋_GB2312"/>
          <w:color w:val="000000" w:themeColor="text1"/>
          <w:szCs w:val="24"/>
        </w:rPr>
      </w:pPr>
      <w:r>
        <w:rPr>
          <w:rFonts w:eastAsia="仿宋_GB2312"/>
          <w:color w:val="000000" w:themeColor="text1"/>
          <w:szCs w:val="24"/>
        </w:rPr>
        <w:t>四、基本预备费</w:t>
      </w:r>
    </w:p>
    <w:p>
      <w:pPr>
        <w:spacing w:line="360" w:lineRule="auto"/>
        <w:ind w:firstLine="556" w:firstLineChars="232"/>
        <w:rPr>
          <w:rFonts w:eastAsia="仿宋_GB2312"/>
          <w:color w:val="000000" w:themeColor="text1"/>
          <w:szCs w:val="24"/>
        </w:rPr>
      </w:pPr>
      <w:r>
        <w:rPr>
          <w:rFonts w:eastAsia="仿宋_GB2312"/>
          <w:color w:val="000000" w:themeColor="text1"/>
          <w:szCs w:val="24"/>
        </w:rPr>
        <w:t>基本预备费按水土保持投资一至四新增部分之和的6%计算，价差预备费用不计。</w:t>
      </w:r>
    </w:p>
    <w:p>
      <w:pPr>
        <w:spacing w:line="360" w:lineRule="auto"/>
        <w:ind w:firstLine="480" w:firstLineChars="200"/>
        <w:jc w:val="both"/>
        <w:rPr>
          <w:rFonts w:eastAsia="仿宋_GB2312"/>
          <w:color w:val="000000" w:themeColor="text1"/>
          <w:szCs w:val="24"/>
        </w:rPr>
      </w:pPr>
      <w:r>
        <w:rPr>
          <w:rFonts w:eastAsia="仿宋_GB2312"/>
          <w:color w:val="000000" w:themeColor="text1"/>
          <w:szCs w:val="24"/>
        </w:rPr>
        <w:t>五、水土保持补偿费</w:t>
      </w:r>
    </w:p>
    <w:p>
      <w:pPr>
        <w:spacing w:line="360" w:lineRule="auto"/>
        <w:ind w:firstLine="480" w:firstLineChars="200"/>
        <w:rPr>
          <w:rFonts w:eastAsia="仿宋_GB2312"/>
          <w:color w:val="000000" w:themeColor="text1"/>
          <w:szCs w:val="24"/>
          <w:highlight w:val="cyan"/>
        </w:rPr>
      </w:pPr>
      <w:r>
        <w:rPr>
          <w:rFonts w:eastAsia="仿宋_GB2312"/>
          <w:color w:val="000000" w:themeColor="text1"/>
          <w:szCs w:val="24"/>
        </w:rPr>
        <w:t>依据《</w:t>
      </w:r>
      <w:r>
        <w:rPr>
          <w:rFonts w:hint="eastAsia" w:eastAsia="仿宋_GB2312"/>
          <w:color w:val="000000" w:themeColor="text1"/>
          <w:szCs w:val="24"/>
          <w:lang w:val="en-US" w:eastAsia="zh-CN"/>
        </w:rPr>
        <w:t>中华人民共和国</w:t>
      </w:r>
      <w:r>
        <w:rPr>
          <w:rFonts w:eastAsia="仿宋_GB2312"/>
          <w:color w:val="000000" w:themeColor="text1"/>
          <w:szCs w:val="24"/>
        </w:rPr>
        <w:t>》、</w:t>
      </w:r>
      <w:r>
        <w:rPr>
          <w:rFonts w:hint="eastAsia" w:eastAsia="仿宋_GB2312"/>
          <w:color w:val="000000" w:themeColor="text1"/>
          <w:szCs w:val="24"/>
          <w:lang w:eastAsia="zh-CN"/>
        </w:rPr>
        <w:t>《</w:t>
      </w:r>
      <w:r>
        <w:rPr>
          <w:rFonts w:hint="eastAsia" w:eastAsia="仿宋_GB2312"/>
          <w:color w:val="000000" w:themeColor="text1"/>
          <w:szCs w:val="24"/>
          <w:lang w:val="en-US" w:eastAsia="zh-CN"/>
        </w:rPr>
        <w:t>国家发展改革委 财政部关于降低电信网码号资源占用费等部分行政事业性收费标准的通知》（发改价格</w:t>
      </w:r>
      <w:r>
        <w:rPr>
          <w:rFonts w:eastAsia="仿宋_GB2312"/>
          <w:color w:val="000000" w:themeColor="text1"/>
          <w:szCs w:val="24"/>
        </w:rPr>
        <w:t>〔20</w:t>
      </w:r>
      <w:r>
        <w:rPr>
          <w:rFonts w:hint="eastAsia" w:eastAsia="仿宋_GB2312"/>
          <w:color w:val="000000" w:themeColor="text1"/>
          <w:szCs w:val="24"/>
          <w:lang w:val="en-US" w:eastAsia="zh-CN"/>
        </w:rPr>
        <w:t>17</w:t>
      </w:r>
      <w:r>
        <w:rPr>
          <w:rFonts w:eastAsia="仿宋_GB2312"/>
          <w:color w:val="000000" w:themeColor="text1"/>
          <w:szCs w:val="24"/>
        </w:rPr>
        <w:t>〕</w:t>
      </w:r>
      <w:r>
        <w:rPr>
          <w:rFonts w:hint="eastAsia" w:eastAsia="仿宋_GB2312"/>
          <w:color w:val="000000" w:themeColor="text1"/>
          <w:szCs w:val="24"/>
          <w:lang w:val="en-US" w:eastAsia="zh-CN"/>
        </w:rPr>
        <w:t>1186</w:t>
      </w:r>
      <w:r>
        <w:rPr>
          <w:rFonts w:eastAsia="仿宋_GB2312"/>
          <w:color w:val="000000" w:themeColor="text1"/>
          <w:szCs w:val="24"/>
        </w:rPr>
        <w:t>号</w:t>
      </w:r>
      <w:r>
        <w:rPr>
          <w:rFonts w:hint="eastAsia" w:eastAsia="仿宋_GB2312"/>
          <w:color w:val="000000" w:themeColor="text1"/>
          <w:szCs w:val="24"/>
          <w:lang w:eastAsia="zh-CN"/>
        </w:rPr>
        <w:t>）</w:t>
      </w:r>
      <w:r>
        <w:rPr>
          <w:rFonts w:hint="eastAsia" w:eastAsia="仿宋_GB2312"/>
          <w:color w:val="000000" w:themeColor="text1"/>
          <w:szCs w:val="24"/>
          <w:lang w:val="en-US" w:eastAsia="zh-CN"/>
        </w:rPr>
        <w:t>、</w:t>
      </w:r>
      <w:r>
        <w:rPr>
          <w:rFonts w:eastAsia="仿宋_GB2312"/>
          <w:color w:val="000000" w:themeColor="text1"/>
          <w:szCs w:val="24"/>
        </w:rPr>
        <w:t>《</w:t>
      </w:r>
      <w:r>
        <w:rPr>
          <w:rFonts w:hint="eastAsia" w:eastAsia="仿宋_GB2312"/>
          <w:color w:val="000000" w:themeColor="text1"/>
          <w:szCs w:val="24"/>
          <w:lang w:val="en-US" w:eastAsia="zh-CN"/>
        </w:rPr>
        <w:t>财政部 国家发展改革委 水利部 中国人民银行关于印发&lt;</w:t>
      </w:r>
      <w:r>
        <w:rPr>
          <w:rFonts w:eastAsia="仿宋_GB2312"/>
          <w:color w:val="000000" w:themeColor="text1"/>
          <w:szCs w:val="24"/>
        </w:rPr>
        <w:t>水土保持补偿费征收使用管理办法</w:t>
      </w:r>
      <w:r>
        <w:rPr>
          <w:rFonts w:hint="eastAsia" w:eastAsia="仿宋_GB2312"/>
          <w:color w:val="000000" w:themeColor="text1"/>
          <w:szCs w:val="24"/>
          <w:lang w:val="en-US" w:eastAsia="zh-CN"/>
        </w:rPr>
        <w:t>&gt;的通知</w:t>
      </w:r>
      <w:r>
        <w:rPr>
          <w:rFonts w:eastAsia="仿宋_GB2312"/>
          <w:color w:val="000000" w:themeColor="text1"/>
          <w:szCs w:val="24"/>
        </w:rPr>
        <w:t>》（财综﹝2014﹞8号）</w:t>
      </w:r>
      <w:r>
        <w:rPr>
          <w:rFonts w:hint="eastAsia" w:eastAsia="仿宋_GB2312"/>
          <w:color w:val="000000" w:themeColor="text1"/>
          <w:szCs w:val="24"/>
          <w:lang w:eastAsia="zh-CN"/>
        </w:rPr>
        <w:t>、《</w:t>
      </w:r>
      <w:r>
        <w:rPr>
          <w:rFonts w:eastAsia="仿宋_GB2312"/>
          <w:color w:val="000000" w:themeColor="text1"/>
          <w:szCs w:val="24"/>
        </w:rPr>
        <w:t>吉林省</w:t>
      </w:r>
      <w:r>
        <w:rPr>
          <w:rFonts w:hint="eastAsia" w:eastAsia="仿宋_GB2312"/>
          <w:color w:val="000000" w:themeColor="text1"/>
          <w:szCs w:val="24"/>
          <w:lang w:val="en-US" w:eastAsia="zh-CN"/>
        </w:rPr>
        <w:t>发展和改革委员会</w:t>
      </w:r>
      <w:r>
        <w:rPr>
          <w:rFonts w:eastAsia="仿宋_GB2312"/>
          <w:color w:val="000000" w:themeColor="text1"/>
          <w:szCs w:val="24"/>
        </w:rPr>
        <w:t>、吉林省财政厅、吉林省</w:t>
      </w:r>
      <w:r>
        <w:rPr>
          <w:rFonts w:hint="eastAsia" w:eastAsia="仿宋_GB2312"/>
          <w:color w:val="000000" w:themeColor="text1"/>
          <w:szCs w:val="24"/>
          <w:lang w:val="en-US" w:eastAsia="zh-CN"/>
        </w:rPr>
        <w:t>水利厅关于核定吉林省水土保持补偿费收费标准及有关问题的通知》</w:t>
      </w:r>
      <w:r>
        <w:rPr>
          <w:rFonts w:eastAsia="仿宋_GB2312"/>
          <w:color w:val="000000" w:themeColor="text1"/>
          <w:szCs w:val="24"/>
        </w:rPr>
        <w:t>（吉</w:t>
      </w:r>
      <w:r>
        <w:rPr>
          <w:rFonts w:hint="eastAsia" w:eastAsia="仿宋_GB2312"/>
          <w:color w:val="000000" w:themeColor="text1"/>
          <w:szCs w:val="24"/>
          <w:lang w:val="en-US" w:eastAsia="zh-CN"/>
        </w:rPr>
        <w:t>发改收费联</w:t>
      </w:r>
      <w:r>
        <w:rPr>
          <w:rFonts w:eastAsia="仿宋_GB2312"/>
          <w:color w:val="000000" w:themeColor="text1"/>
          <w:szCs w:val="24"/>
        </w:rPr>
        <w:t>〔202</w:t>
      </w:r>
      <w:r>
        <w:rPr>
          <w:rFonts w:hint="eastAsia" w:eastAsia="仿宋_GB2312"/>
          <w:color w:val="000000" w:themeColor="text1"/>
          <w:szCs w:val="24"/>
          <w:lang w:val="en-US" w:eastAsia="zh-CN"/>
        </w:rPr>
        <w:t>2</w:t>
      </w:r>
      <w:r>
        <w:rPr>
          <w:rFonts w:eastAsia="仿宋_GB2312"/>
          <w:color w:val="000000" w:themeColor="text1"/>
          <w:szCs w:val="24"/>
        </w:rPr>
        <w:t>〕67</w:t>
      </w:r>
      <w:r>
        <w:rPr>
          <w:rFonts w:hint="eastAsia" w:eastAsia="仿宋_GB2312"/>
          <w:color w:val="000000" w:themeColor="text1"/>
          <w:szCs w:val="24"/>
          <w:lang w:val="en-US" w:eastAsia="zh-CN"/>
        </w:rPr>
        <w:t>0</w:t>
      </w:r>
      <w:r>
        <w:rPr>
          <w:rFonts w:eastAsia="仿宋_GB2312"/>
          <w:color w:val="000000" w:themeColor="text1"/>
          <w:szCs w:val="24"/>
        </w:rPr>
        <w:t>号）</w:t>
      </w:r>
      <w:r>
        <w:rPr>
          <w:rFonts w:hint="eastAsia" w:eastAsia="仿宋_GB2312"/>
          <w:color w:val="000000" w:themeColor="text1"/>
          <w:szCs w:val="24"/>
          <w:lang w:val="en-US" w:eastAsia="zh-CN"/>
        </w:rPr>
        <w:t>及吉林省财政厅 吉林省发展和改革委员会 吉林省水利厅 国家税务总局吉林省税务局 中国人民银行长春中心支行关于印发《吉林省水土保持补偿费征收使用管理办法》的通知</w:t>
      </w:r>
      <w:r>
        <w:rPr>
          <w:rFonts w:eastAsia="仿宋_GB2312"/>
          <w:color w:val="000000" w:themeColor="text1"/>
          <w:szCs w:val="24"/>
        </w:rPr>
        <w:t>（吉</w:t>
      </w:r>
      <w:r>
        <w:rPr>
          <w:rFonts w:hint="eastAsia" w:eastAsia="仿宋_GB2312"/>
          <w:color w:val="000000" w:themeColor="text1"/>
          <w:szCs w:val="24"/>
          <w:lang w:val="en-US" w:eastAsia="zh-CN"/>
        </w:rPr>
        <w:t>财税</w:t>
      </w:r>
      <w:r>
        <w:rPr>
          <w:rFonts w:eastAsia="仿宋_GB2312"/>
          <w:color w:val="000000" w:themeColor="text1"/>
          <w:szCs w:val="24"/>
        </w:rPr>
        <w:t>〔202</w:t>
      </w:r>
      <w:r>
        <w:rPr>
          <w:rFonts w:hint="eastAsia" w:eastAsia="仿宋_GB2312"/>
          <w:color w:val="000000" w:themeColor="text1"/>
          <w:szCs w:val="24"/>
          <w:lang w:val="en-US" w:eastAsia="zh-CN"/>
        </w:rPr>
        <w:t>2</w:t>
      </w:r>
      <w:r>
        <w:rPr>
          <w:rFonts w:eastAsia="仿宋_GB2312"/>
          <w:color w:val="000000" w:themeColor="text1"/>
          <w:szCs w:val="24"/>
        </w:rPr>
        <w:t>〕</w:t>
      </w:r>
      <w:r>
        <w:rPr>
          <w:rFonts w:hint="eastAsia" w:eastAsia="仿宋_GB2312"/>
          <w:color w:val="000000" w:themeColor="text1"/>
          <w:szCs w:val="24"/>
          <w:lang w:val="en-US" w:eastAsia="zh-CN"/>
        </w:rPr>
        <w:t>952</w:t>
      </w:r>
      <w:r>
        <w:rPr>
          <w:rFonts w:eastAsia="仿宋_GB2312"/>
          <w:color w:val="000000" w:themeColor="text1"/>
          <w:szCs w:val="24"/>
        </w:rPr>
        <w:t>号）收取水土保持补偿费。根据国家及吉林省的相关规定，该项目为</w:t>
      </w:r>
      <w:r>
        <w:rPr>
          <w:rFonts w:hint="eastAsia" w:eastAsia="仿宋_GB2312"/>
          <w:color w:val="000000" w:themeColor="text1"/>
          <w:szCs w:val="24"/>
          <w:lang w:val="en-US" w:eastAsia="zh-CN"/>
        </w:rPr>
        <w:t>一般性生产</w:t>
      </w:r>
      <w:r>
        <w:rPr>
          <w:rFonts w:eastAsia="仿宋_GB2312"/>
          <w:color w:val="000000" w:themeColor="text1"/>
          <w:szCs w:val="24"/>
        </w:rPr>
        <w:t>建设项目，按照</w:t>
      </w:r>
      <w:r>
        <w:rPr>
          <w:rFonts w:hint="eastAsia" w:eastAsia="仿宋_GB2312"/>
          <w:color w:val="000000" w:themeColor="text1"/>
          <w:szCs w:val="24"/>
          <w:lang w:val="en-US" w:eastAsia="zh-CN"/>
        </w:rPr>
        <w:t>在征占</w:t>
      </w:r>
      <w:r>
        <w:rPr>
          <w:rFonts w:eastAsia="仿宋_GB2312"/>
          <w:color w:val="000000" w:themeColor="text1"/>
          <w:szCs w:val="24"/>
        </w:rPr>
        <w:t>用</w:t>
      </w:r>
      <w:r>
        <w:rPr>
          <w:rFonts w:hint="eastAsia" w:eastAsia="仿宋_GB2312"/>
          <w:color w:val="000000" w:themeColor="text1"/>
          <w:szCs w:val="24"/>
          <w:lang w:val="en-US" w:eastAsia="zh-CN"/>
        </w:rPr>
        <w:t>土</w:t>
      </w:r>
      <w:r>
        <w:rPr>
          <w:rFonts w:eastAsia="仿宋_GB2312"/>
          <w:color w:val="000000" w:themeColor="text1"/>
          <w:szCs w:val="24"/>
        </w:rPr>
        <w:t>地面积</w:t>
      </w:r>
      <w:r>
        <w:rPr>
          <w:rFonts w:hint="eastAsia" w:eastAsia="仿宋_GB2312"/>
          <w:color w:val="000000" w:themeColor="text1"/>
          <w:szCs w:val="24"/>
          <w:lang w:val="en-US" w:eastAsia="zh-CN"/>
        </w:rPr>
        <w:t>一次性计征</w:t>
      </w:r>
      <w:r>
        <w:rPr>
          <w:rFonts w:eastAsia="仿宋_GB2312"/>
          <w:color w:val="000000" w:themeColor="text1"/>
          <w:szCs w:val="24"/>
        </w:rPr>
        <w:t>水土流失补偿费。</w:t>
      </w:r>
    </w:p>
    <w:p>
      <w:pPr>
        <w:spacing w:line="360" w:lineRule="auto"/>
        <w:rPr>
          <w:rFonts w:eastAsia="仿宋_GB2312"/>
          <w:b/>
          <w:color w:val="000000" w:themeColor="text1"/>
        </w:rPr>
      </w:pPr>
      <w:r>
        <w:rPr>
          <w:rFonts w:eastAsia="仿宋_GB2312"/>
          <w:b/>
          <w:color w:val="000000" w:themeColor="text1"/>
        </w:rPr>
        <w:t>7.1.2.2估算成果</w:t>
      </w:r>
    </w:p>
    <w:p>
      <w:pPr>
        <w:spacing w:line="360" w:lineRule="auto"/>
        <w:ind w:firstLine="480" w:firstLineChars="200"/>
        <w:rPr>
          <w:rFonts w:eastAsia="仿宋_GB2312"/>
          <w:color w:val="000000" w:themeColor="text1"/>
          <w:highlight w:val="cyan"/>
        </w:rPr>
      </w:pPr>
      <w:r>
        <w:rPr>
          <w:rFonts w:eastAsia="仿宋_GB2312"/>
          <w:color w:val="000000" w:themeColor="text1"/>
          <w:szCs w:val="24"/>
        </w:rPr>
        <w:t>本项目水土保持总投资为</w:t>
      </w:r>
      <w:r>
        <w:rPr>
          <w:rFonts w:hint="eastAsia" w:eastAsia="仿宋_GB2312"/>
          <w:color w:val="000000" w:themeColor="text1"/>
          <w:szCs w:val="24"/>
          <w:highlight w:val="none"/>
          <w:lang w:eastAsia="zh-CN"/>
        </w:rPr>
        <w:t>57.15</w:t>
      </w:r>
      <w:r>
        <w:rPr>
          <w:rFonts w:eastAsia="仿宋_GB2312"/>
          <w:color w:val="000000" w:themeColor="text1"/>
          <w:szCs w:val="24"/>
          <w:highlight w:val="none"/>
        </w:rPr>
        <w:t>万元，</w:t>
      </w:r>
      <w:r>
        <w:rPr>
          <w:rFonts w:eastAsia="仿宋_GB2312"/>
          <w:bCs/>
          <w:color w:val="000000" w:themeColor="text1"/>
          <w:szCs w:val="24"/>
          <w:highlight w:val="none"/>
        </w:rPr>
        <w:t>其中工程措施投资</w:t>
      </w:r>
      <w:r>
        <w:rPr>
          <w:rFonts w:hint="eastAsia" w:eastAsia="仿宋_GB2312"/>
          <w:bCs/>
          <w:color w:val="000000" w:themeColor="text1"/>
          <w:szCs w:val="24"/>
          <w:highlight w:val="none"/>
          <w:lang w:eastAsia="zh-CN"/>
        </w:rPr>
        <w:t>19.73</w:t>
      </w:r>
      <w:r>
        <w:rPr>
          <w:rFonts w:eastAsia="仿宋_GB2312"/>
          <w:bCs/>
          <w:color w:val="000000" w:themeColor="text1"/>
          <w:szCs w:val="24"/>
          <w:highlight w:val="none"/>
        </w:rPr>
        <w:t>万元、植物措施投资</w:t>
      </w:r>
      <w:r>
        <w:rPr>
          <w:rFonts w:hint="eastAsia" w:eastAsia="仿宋_GB2312"/>
          <w:bCs/>
          <w:color w:val="000000" w:themeColor="text1"/>
          <w:szCs w:val="24"/>
          <w:highlight w:val="none"/>
          <w:lang w:eastAsia="zh-CN"/>
        </w:rPr>
        <w:t>10.07</w:t>
      </w:r>
      <w:r>
        <w:rPr>
          <w:rFonts w:eastAsia="仿宋_GB2312"/>
          <w:bCs/>
          <w:color w:val="000000" w:themeColor="text1"/>
          <w:szCs w:val="24"/>
          <w:highlight w:val="none"/>
        </w:rPr>
        <w:t>万元、临时措施投资</w:t>
      </w:r>
      <w:r>
        <w:rPr>
          <w:rFonts w:hint="eastAsia" w:eastAsia="仿宋_GB2312"/>
          <w:bCs/>
          <w:color w:val="000000" w:themeColor="text1"/>
          <w:szCs w:val="24"/>
          <w:highlight w:val="none"/>
          <w:lang w:eastAsia="zh-CN"/>
        </w:rPr>
        <w:t>2.68</w:t>
      </w:r>
      <w:r>
        <w:rPr>
          <w:rFonts w:eastAsia="仿宋_GB2312"/>
          <w:bCs/>
          <w:color w:val="000000" w:themeColor="text1"/>
          <w:szCs w:val="24"/>
          <w:highlight w:val="none"/>
        </w:rPr>
        <w:t>万元、独立费用</w:t>
      </w:r>
      <w:r>
        <w:rPr>
          <w:rFonts w:hint="eastAsia" w:eastAsia="仿宋_GB2312"/>
          <w:bCs/>
          <w:color w:val="000000" w:themeColor="text1"/>
          <w:szCs w:val="24"/>
          <w:highlight w:val="none"/>
        </w:rPr>
        <w:t>22.72</w:t>
      </w:r>
      <w:r>
        <w:rPr>
          <w:rFonts w:eastAsia="仿宋_GB2312"/>
          <w:bCs/>
          <w:color w:val="000000" w:themeColor="text1"/>
          <w:szCs w:val="24"/>
          <w:highlight w:val="none"/>
        </w:rPr>
        <w:t>万元（其中水土保持监理费</w:t>
      </w:r>
      <w:r>
        <w:rPr>
          <w:rFonts w:hint="eastAsia" w:eastAsia="仿宋_GB2312"/>
          <w:bCs/>
          <w:color w:val="000000" w:themeColor="text1"/>
          <w:szCs w:val="24"/>
          <w:highlight w:val="none"/>
        </w:rPr>
        <w:t>5.5</w:t>
      </w:r>
      <w:r>
        <w:rPr>
          <w:rFonts w:eastAsia="仿宋_GB2312"/>
          <w:bCs/>
          <w:color w:val="000000" w:themeColor="text1"/>
          <w:szCs w:val="24"/>
          <w:highlight w:val="none"/>
        </w:rPr>
        <w:t>0万元、水土保持监测费</w:t>
      </w:r>
      <w:r>
        <w:rPr>
          <w:rFonts w:hint="eastAsia" w:eastAsia="仿宋_GB2312"/>
          <w:bCs/>
          <w:color w:val="000000" w:themeColor="text1"/>
          <w:szCs w:val="24"/>
          <w:highlight w:val="none"/>
        </w:rPr>
        <w:t>6.21</w:t>
      </w:r>
      <w:r>
        <w:rPr>
          <w:rFonts w:eastAsia="仿宋_GB2312"/>
          <w:bCs/>
          <w:color w:val="000000" w:themeColor="text1"/>
          <w:szCs w:val="24"/>
          <w:highlight w:val="none"/>
        </w:rPr>
        <w:t>万元）、基本预备费</w:t>
      </w:r>
      <w:r>
        <w:rPr>
          <w:rFonts w:hint="eastAsia" w:eastAsia="仿宋_GB2312"/>
          <w:bCs/>
          <w:color w:val="000000" w:themeColor="text1"/>
          <w:szCs w:val="24"/>
          <w:highlight w:val="none"/>
        </w:rPr>
        <w:t>1.36</w:t>
      </w:r>
      <w:r>
        <w:rPr>
          <w:rFonts w:eastAsia="仿宋_GB2312"/>
          <w:bCs/>
          <w:color w:val="000000" w:themeColor="text1"/>
          <w:szCs w:val="24"/>
          <w:highlight w:val="none"/>
        </w:rPr>
        <w:t>万元</w:t>
      </w:r>
      <w:r>
        <w:rPr>
          <w:rFonts w:eastAsia="仿宋_GB2312"/>
          <w:bCs/>
          <w:color w:val="000000" w:themeColor="text1"/>
          <w:szCs w:val="24"/>
        </w:rPr>
        <w:t>、水土保持补偿费</w:t>
      </w:r>
      <w:r>
        <w:rPr>
          <w:rFonts w:hint="eastAsia" w:eastAsia="仿宋_GB2312"/>
          <w:bCs/>
          <w:color w:val="000000" w:themeColor="text1"/>
          <w:szCs w:val="24"/>
          <w:lang w:val="en-US" w:eastAsia="zh-CN"/>
        </w:rPr>
        <w:t>0.59</w:t>
      </w:r>
      <w:r>
        <w:rPr>
          <w:rFonts w:eastAsia="仿宋_GB2312"/>
          <w:bCs/>
          <w:color w:val="000000" w:themeColor="text1"/>
          <w:szCs w:val="24"/>
        </w:rPr>
        <w:t>万元。水土保持投资具体见表7-1~7-11。</w:t>
      </w:r>
    </w:p>
    <w:p>
      <w:pPr>
        <w:spacing w:line="360" w:lineRule="auto"/>
        <w:jc w:val="center"/>
        <w:rPr>
          <w:rFonts w:eastAsia="仿宋_GB2312"/>
          <w:b/>
          <w:bCs/>
          <w:color w:val="000000" w:themeColor="text1"/>
          <w:szCs w:val="24"/>
        </w:rPr>
      </w:pPr>
      <w:r>
        <w:rPr>
          <w:rFonts w:eastAsia="仿宋_GB2312"/>
          <w:b/>
          <w:bCs/>
          <w:color w:val="000000" w:themeColor="text1"/>
          <w:szCs w:val="24"/>
        </w:rPr>
        <w:t>表7-1    投资估算总表           单位：万元</w:t>
      </w:r>
    </w:p>
    <w:tbl>
      <w:tblPr>
        <w:tblStyle w:val="23"/>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2424"/>
        <w:gridCol w:w="1341"/>
        <w:gridCol w:w="1417"/>
        <w:gridCol w:w="1134"/>
        <w:gridCol w:w="136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2" w:type="dxa"/>
            <w:tcBorders>
              <w:tl2br w:val="nil"/>
              <w:tr2bl w:val="nil"/>
            </w:tcBorders>
            <w:vAlign w:val="center"/>
          </w:tcPr>
          <w:p>
            <w:pPr>
              <w:widowControl/>
              <w:jc w:val="center"/>
              <w:rPr>
                <w:color w:val="000000" w:themeColor="text1"/>
                <w:sz w:val="21"/>
                <w:szCs w:val="21"/>
              </w:rPr>
            </w:pPr>
            <w:r>
              <w:rPr>
                <w:rFonts w:eastAsia="仿宋_GB2312"/>
                <w:color w:val="000000" w:themeColor="text1"/>
                <w:sz w:val="21"/>
                <w:szCs w:val="21"/>
              </w:rPr>
              <w:t>序号</w:t>
            </w:r>
          </w:p>
        </w:tc>
        <w:tc>
          <w:tcPr>
            <w:tcW w:w="2424" w:type="dxa"/>
            <w:tcBorders>
              <w:tl2br w:val="nil"/>
              <w:tr2bl w:val="nil"/>
            </w:tcBorders>
            <w:vAlign w:val="center"/>
          </w:tcPr>
          <w:p>
            <w:pPr>
              <w:widowControl/>
              <w:jc w:val="center"/>
              <w:rPr>
                <w:color w:val="000000" w:themeColor="text1"/>
                <w:sz w:val="21"/>
                <w:szCs w:val="21"/>
              </w:rPr>
            </w:pPr>
            <w:r>
              <w:rPr>
                <w:rFonts w:eastAsia="仿宋_GB2312"/>
                <w:color w:val="000000" w:themeColor="text1"/>
                <w:sz w:val="21"/>
                <w:szCs w:val="21"/>
              </w:rPr>
              <w:t>工程或费用名称</w:t>
            </w:r>
          </w:p>
        </w:tc>
        <w:tc>
          <w:tcPr>
            <w:tcW w:w="1341" w:type="dxa"/>
            <w:tcBorders>
              <w:tl2br w:val="nil"/>
              <w:tr2bl w:val="nil"/>
            </w:tcBorders>
            <w:vAlign w:val="center"/>
          </w:tcPr>
          <w:p>
            <w:pPr>
              <w:widowControl/>
              <w:jc w:val="center"/>
              <w:rPr>
                <w:color w:val="000000" w:themeColor="text1"/>
                <w:sz w:val="21"/>
                <w:szCs w:val="21"/>
              </w:rPr>
            </w:pPr>
            <w:r>
              <w:rPr>
                <w:rFonts w:eastAsia="仿宋_GB2312"/>
                <w:color w:val="000000" w:themeColor="text1"/>
                <w:sz w:val="21"/>
                <w:szCs w:val="21"/>
              </w:rPr>
              <w:t>建安工程费</w:t>
            </w:r>
          </w:p>
        </w:tc>
        <w:tc>
          <w:tcPr>
            <w:tcW w:w="1417" w:type="dxa"/>
            <w:tcBorders>
              <w:tl2br w:val="nil"/>
              <w:tr2bl w:val="nil"/>
            </w:tcBorders>
            <w:vAlign w:val="center"/>
          </w:tcPr>
          <w:p>
            <w:pPr>
              <w:widowControl/>
              <w:jc w:val="center"/>
              <w:rPr>
                <w:color w:val="000000" w:themeColor="text1"/>
                <w:sz w:val="21"/>
                <w:szCs w:val="21"/>
              </w:rPr>
            </w:pPr>
            <w:r>
              <w:rPr>
                <w:rFonts w:eastAsia="仿宋_GB2312"/>
                <w:color w:val="000000" w:themeColor="text1"/>
                <w:sz w:val="21"/>
                <w:szCs w:val="21"/>
              </w:rPr>
              <w:t>植物措施费</w:t>
            </w:r>
          </w:p>
        </w:tc>
        <w:tc>
          <w:tcPr>
            <w:tcW w:w="1134" w:type="dxa"/>
            <w:tcBorders>
              <w:tl2br w:val="nil"/>
              <w:tr2bl w:val="nil"/>
            </w:tcBorders>
            <w:vAlign w:val="center"/>
          </w:tcPr>
          <w:p>
            <w:pPr>
              <w:widowControl/>
              <w:jc w:val="center"/>
              <w:rPr>
                <w:color w:val="000000" w:themeColor="text1"/>
                <w:sz w:val="21"/>
                <w:szCs w:val="21"/>
              </w:rPr>
            </w:pPr>
            <w:r>
              <w:rPr>
                <w:rFonts w:eastAsia="仿宋_GB2312"/>
                <w:color w:val="000000" w:themeColor="text1"/>
                <w:sz w:val="21"/>
                <w:szCs w:val="21"/>
              </w:rPr>
              <w:t>独立费用</w:t>
            </w:r>
          </w:p>
        </w:tc>
        <w:tc>
          <w:tcPr>
            <w:tcW w:w="1360" w:type="dxa"/>
            <w:tcBorders>
              <w:tl2br w:val="nil"/>
              <w:tr2bl w:val="nil"/>
            </w:tcBorders>
            <w:vAlign w:val="center"/>
          </w:tcPr>
          <w:p>
            <w:pPr>
              <w:widowControl/>
              <w:jc w:val="center"/>
              <w:rPr>
                <w:color w:val="000000" w:themeColor="text1"/>
                <w:sz w:val="21"/>
                <w:szCs w:val="21"/>
              </w:rPr>
            </w:pPr>
            <w:r>
              <w:rPr>
                <w:rFonts w:eastAsia="仿宋_GB2312"/>
                <w:color w:val="000000" w:themeColor="text1"/>
                <w:sz w:val="21"/>
                <w:szCs w:val="21"/>
              </w:rPr>
              <w:t>合计（万元）</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2" w:type="dxa"/>
            <w:tcBorders>
              <w:tl2br w:val="nil"/>
              <w:tr2bl w:val="nil"/>
            </w:tcBorders>
            <w:vAlign w:val="center"/>
          </w:tcPr>
          <w:p>
            <w:pPr>
              <w:jc w:val="center"/>
              <w:rPr>
                <w:color w:val="000000" w:themeColor="text1"/>
                <w:sz w:val="21"/>
                <w:szCs w:val="21"/>
              </w:rPr>
            </w:pPr>
            <w:r>
              <w:rPr>
                <w:rFonts w:eastAsia="仿宋_GB2312"/>
                <w:color w:val="000000" w:themeColor="text1"/>
                <w:sz w:val="21"/>
                <w:szCs w:val="21"/>
              </w:rPr>
              <w:t>第一部分</w:t>
            </w:r>
            <w:r>
              <w:rPr>
                <w:color w:val="000000" w:themeColor="text1"/>
                <w:sz w:val="21"/>
                <w:szCs w:val="21"/>
              </w:rPr>
              <w:t xml:space="preserve"> </w:t>
            </w:r>
          </w:p>
        </w:tc>
        <w:tc>
          <w:tcPr>
            <w:tcW w:w="2424" w:type="dxa"/>
            <w:tcBorders>
              <w:tl2br w:val="nil"/>
              <w:tr2bl w:val="nil"/>
            </w:tcBorders>
            <w:vAlign w:val="center"/>
          </w:tcPr>
          <w:p>
            <w:pPr>
              <w:jc w:val="center"/>
              <w:rPr>
                <w:color w:val="000000" w:themeColor="text1"/>
                <w:sz w:val="21"/>
                <w:szCs w:val="21"/>
              </w:rPr>
            </w:pPr>
            <w:r>
              <w:rPr>
                <w:rFonts w:eastAsia="仿宋_GB2312"/>
                <w:color w:val="000000" w:themeColor="text1"/>
                <w:sz w:val="21"/>
                <w:szCs w:val="21"/>
              </w:rPr>
              <w:t>工程措施</w:t>
            </w:r>
          </w:p>
        </w:tc>
        <w:tc>
          <w:tcPr>
            <w:tcW w:w="1341" w:type="dxa"/>
            <w:tcBorders>
              <w:tl2br w:val="nil"/>
              <w:tr2bl w:val="nil"/>
            </w:tcBorders>
            <w:vAlign w:val="center"/>
          </w:tcPr>
          <w:p>
            <w:pPr>
              <w:jc w:val="center"/>
              <w:rPr>
                <w:rFonts w:hint="default" w:eastAsia="宋体"/>
                <w:color w:val="000000" w:themeColor="text1"/>
                <w:sz w:val="21"/>
                <w:szCs w:val="21"/>
                <w:lang w:val="en-US" w:eastAsia="zh-CN"/>
              </w:rPr>
            </w:pPr>
            <w:r>
              <w:rPr>
                <w:rFonts w:hint="eastAsia"/>
                <w:bCs/>
                <w:color w:val="000000" w:themeColor="text1"/>
                <w:sz w:val="22"/>
                <w:szCs w:val="22"/>
                <w:lang w:val="en-US" w:eastAsia="zh-CN"/>
              </w:rPr>
              <w:t>19.73</w:t>
            </w:r>
          </w:p>
        </w:tc>
        <w:tc>
          <w:tcPr>
            <w:tcW w:w="1417" w:type="dxa"/>
            <w:tcBorders>
              <w:tl2br w:val="nil"/>
              <w:tr2bl w:val="nil"/>
            </w:tcBorders>
            <w:vAlign w:val="center"/>
          </w:tcPr>
          <w:p>
            <w:pPr>
              <w:jc w:val="center"/>
              <w:rPr>
                <w:color w:val="000000" w:themeColor="text1"/>
                <w:sz w:val="21"/>
                <w:szCs w:val="21"/>
              </w:rPr>
            </w:pPr>
            <w:r>
              <w:rPr>
                <w:color w:val="000000" w:themeColor="text1"/>
                <w:sz w:val="21"/>
                <w:szCs w:val="21"/>
              </w:rPr>
              <w:t>　</w:t>
            </w:r>
          </w:p>
        </w:tc>
        <w:tc>
          <w:tcPr>
            <w:tcW w:w="1134" w:type="dxa"/>
            <w:tcBorders>
              <w:tl2br w:val="nil"/>
              <w:tr2bl w:val="nil"/>
            </w:tcBorders>
            <w:vAlign w:val="center"/>
          </w:tcPr>
          <w:p>
            <w:pPr>
              <w:jc w:val="center"/>
              <w:rPr>
                <w:color w:val="000000" w:themeColor="text1"/>
                <w:sz w:val="21"/>
                <w:szCs w:val="21"/>
              </w:rPr>
            </w:pPr>
            <w:r>
              <w:rPr>
                <w:color w:val="000000" w:themeColor="text1"/>
                <w:sz w:val="21"/>
                <w:szCs w:val="21"/>
              </w:rPr>
              <w:t>　</w:t>
            </w:r>
          </w:p>
        </w:tc>
        <w:tc>
          <w:tcPr>
            <w:tcW w:w="1360" w:type="dxa"/>
            <w:tcBorders>
              <w:tl2br w:val="nil"/>
              <w:tr2bl w:val="nil"/>
            </w:tcBorders>
            <w:vAlign w:val="center"/>
          </w:tcPr>
          <w:p>
            <w:pPr>
              <w:jc w:val="center"/>
              <w:rPr>
                <w:color w:val="000000" w:themeColor="text1"/>
                <w:sz w:val="21"/>
                <w:szCs w:val="21"/>
              </w:rPr>
            </w:pPr>
            <w:r>
              <w:rPr>
                <w:rFonts w:hint="eastAsia"/>
                <w:bCs/>
                <w:color w:val="000000" w:themeColor="text1"/>
                <w:sz w:val="22"/>
                <w:szCs w:val="22"/>
                <w:lang w:val="en-US" w:eastAsia="zh-CN"/>
              </w:rPr>
              <w:t>19.73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2" w:type="dxa"/>
            <w:tcBorders>
              <w:tl2br w:val="nil"/>
              <w:tr2bl w:val="nil"/>
            </w:tcBorders>
            <w:vAlign w:val="center"/>
          </w:tcPr>
          <w:p>
            <w:pPr>
              <w:jc w:val="center"/>
              <w:rPr>
                <w:color w:val="000000" w:themeColor="text1"/>
                <w:sz w:val="21"/>
                <w:szCs w:val="21"/>
              </w:rPr>
            </w:pPr>
            <w:r>
              <w:rPr>
                <w:color w:val="000000" w:themeColor="text1"/>
                <w:sz w:val="21"/>
                <w:szCs w:val="21"/>
              </w:rPr>
              <w:t>1</w:t>
            </w:r>
          </w:p>
        </w:tc>
        <w:tc>
          <w:tcPr>
            <w:tcW w:w="2424" w:type="dxa"/>
            <w:tcBorders>
              <w:tl2br w:val="nil"/>
              <w:tr2bl w:val="nil"/>
            </w:tcBorders>
            <w:vAlign w:val="center"/>
          </w:tcPr>
          <w:p>
            <w:pPr>
              <w:jc w:val="center"/>
              <w:rPr>
                <w:rFonts w:eastAsia="仿宋_GB2312"/>
                <w:color w:val="000000" w:themeColor="text1"/>
                <w:sz w:val="21"/>
                <w:szCs w:val="21"/>
              </w:rPr>
            </w:pPr>
            <w:r>
              <w:rPr>
                <w:rFonts w:eastAsia="仿宋_GB2312"/>
                <w:color w:val="000000" w:themeColor="text1"/>
                <w:sz w:val="21"/>
                <w:szCs w:val="21"/>
              </w:rPr>
              <w:t>工程建设区</w:t>
            </w:r>
          </w:p>
        </w:tc>
        <w:tc>
          <w:tcPr>
            <w:tcW w:w="1341" w:type="dxa"/>
            <w:tcBorders>
              <w:tl2br w:val="nil"/>
              <w:tr2bl w:val="nil"/>
            </w:tcBorders>
            <w:vAlign w:val="center"/>
          </w:tcPr>
          <w:p>
            <w:pPr>
              <w:jc w:val="center"/>
              <w:rPr>
                <w:color w:val="000000" w:themeColor="text1"/>
                <w:sz w:val="21"/>
                <w:szCs w:val="21"/>
              </w:rPr>
            </w:pPr>
            <w:r>
              <w:rPr>
                <w:rFonts w:hint="eastAsia"/>
                <w:bCs/>
                <w:color w:val="000000" w:themeColor="text1"/>
                <w:sz w:val="22"/>
                <w:szCs w:val="22"/>
                <w:lang w:val="en-US" w:eastAsia="zh-CN"/>
              </w:rPr>
              <w:t>19.73</w:t>
            </w:r>
          </w:p>
        </w:tc>
        <w:tc>
          <w:tcPr>
            <w:tcW w:w="1417" w:type="dxa"/>
            <w:tcBorders>
              <w:tl2br w:val="nil"/>
              <w:tr2bl w:val="nil"/>
            </w:tcBorders>
            <w:vAlign w:val="center"/>
          </w:tcPr>
          <w:p>
            <w:pPr>
              <w:jc w:val="center"/>
              <w:rPr>
                <w:color w:val="000000" w:themeColor="text1"/>
                <w:sz w:val="21"/>
                <w:szCs w:val="21"/>
              </w:rPr>
            </w:pPr>
            <w:r>
              <w:rPr>
                <w:color w:val="000000" w:themeColor="text1"/>
                <w:sz w:val="21"/>
                <w:szCs w:val="21"/>
              </w:rPr>
              <w:t>　</w:t>
            </w:r>
          </w:p>
        </w:tc>
        <w:tc>
          <w:tcPr>
            <w:tcW w:w="1134" w:type="dxa"/>
            <w:tcBorders>
              <w:tl2br w:val="nil"/>
              <w:tr2bl w:val="nil"/>
            </w:tcBorders>
            <w:vAlign w:val="center"/>
          </w:tcPr>
          <w:p>
            <w:pPr>
              <w:jc w:val="center"/>
              <w:rPr>
                <w:color w:val="000000" w:themeColor="text1"/>
                <w:sz w:val="21"/>
                <w:szCs w:val="21"/>
              </w:rPr>
            </w:pPr>
            <w:r>
              <w:rPr>
                <w:color w:val="000000" w:themeColor="text1"/>
                <w:sz w:val="21"/>
                <w:szCs w:val="21"/>
              </w:rPr>
              <w:t>　</w:t>
            </w:r>
          </w:p>
        </w:tc>
        <w:tc>
          <w:tcPr>
            <w:tcW w:w="1360" w:type="dxa"/>
            <w:tcBorders>
              <w:tl2br w:val="nil"/>
              <w:tr2bl w:val="nil"/>
            </w:tcBorders>
            <w:vAlign w:val="center"/>
          </w:tcPr>
          <w:p>
            <w:pPr>
              <w:jc w:val="center"/>
              <w:rPr>
                <w:color w:val="000000" w:themeColor="text1"/>
                <w:sz w:val="21"/>
                <w:szCs w:val="21"/>
              </w:rPr>
            </w:pPr>
            <w:r>
              <w:rPr>
                <w:rFonts w:hint="eastAsia"/>
                <w:bCs/>
                <w:color w:val="000000" w:themeColor="text1"/>
                <w:sz w:val="22"/>
                <w:szCs w:val="22"/>
                <w:lang w:val="en-US" w:eastAsia="zh-CN"/>
              </w:rPr>
              <w:t>19.73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2" w:type="dxa"/>
            <w:tcBorders>
              <w:tl2br w:val="nil"/>
              <w:tr2bl w:val="nil"/>
            </w:tcBorders>
            <w:vAlign w:val="center"/>
          </w:tcPr>
          <w:p>
            <w:pPr>
              <w:jc w:val="center"/>
              <w:rPr>
                <w:color w:val="000000" w:themeColor="text1"/>
                <w:sz w:val="21"/>
                <w:szCs w:val="21"/>
              </w:rPr>
            </w:pPr>
            <w:r>
              <w:rPr>
                <w:rFonts w:eastAsia="仿宋_GB2312"/>
                <w:color w:val="000000" w:themeColor="text1"/>
                <w:sz w:val="21"/>
                <w:szCs w:val="21"/>
              </w:rPr>
              <w:t>第二部分</w:t>
            </w:r>
            <w:r>
              <w:rPr>
                <w:color w:val="000000" w:themeColor="text1"/>
                <w:sz w:val="21"/>
                <w:szCs w:val="21"/>
              </w:rPr>
              <w:t xml:space="preserve"> </w:t>
            </w:r>
          </w:p>
        </w:tc>
        <w:tc>
          <w:tcPr>
            <w:tcW w:w="2424" w:type="dxa"/>
            <w:tcBorders>
              <w:tl2br w:val="nil"/>
              <w:tr2bl w:val="nil"/>
            </w:tcBorders>
            <w:vAlign w:val="center"/>
          </w:tcPr>
          <w:p>
            <w:pPr>
              <w:jc w:val="center"/>
              <w:rPr>
                <w:color w:val="000000" w:themeColor="text1"/>
                <w:sz w:val="21"/>
                <w:szCs w:val="21"/>
              </w:rPr>
            </w:pPr>
            <w:r>
              <w:rPr>
                <w:rFonts w:eastAsia="仿宋_GB2312"/>
                <w:color w:val="000000" w:themeColor="text1"/>
                <w:sz w:val="21"/>
                <w:szCs w:val="21"/>
              </w:rPr>
              <w:t>植物措施</w:t>
            </w:r>
          </w:p>
        </w:tc>
        <w:tc>
          <w:tcPr>
            <w:tcW w:w="1341" w:type="dxa"/>
            <w:tcBorders>
              <w:tl2br w:val="nil"/>
              <w:tr2bl w:val="nil"/>
            </w:tcBorders>
            <w:vAlign w:val="center"/>
          </w:tcPr>
          <w:p>
            <w:pPr>
              <w:jc w:val="center"/>
              <w:rPr>
                <w:color w:val="000000" w:themeColor="text1"/>
                <w:sz w:val="21"/>
                <w:szCs w:val="21"/>
              </w:rPr>
            </w:pPr>
            <w:r>
              <w:rPr>
                <w:color w:val="000000" w:themeColor="text1"/>
                <w:sz w:val="21"/>
                <w:szCs w:val="21"/>
              </w:rPr>
              <w:t>　</w:t>
            </w:r>
          </w:p>
        </w:tc>
        <w:tc>
          <w:tcPr>
            <w:tcW w:w="1417" w:type="dxa"/>
            <w:tcBorders>
              <w:tl2br w:val="nil"/>
              <w:tr2bl w:val="nil"/>
            </w:tcBorders>
            <w:vAlign w:val="center"/>
          </w:tcPr>
          <w:p>
            <w:pPr>
              <w:jc w:val="center"/>
              <w:rPr>
                <w:rFonts w:hint="default"/>
                <w:bCs/>
                <w:color w:val="000000" w:themeColor="text1"/>
                <w:sz w:val="22"/>
                <w:szCs w:val="22"/>
                <w:lang w:val="en-US" w:eastAsia="zh-CN"/>
              </w:rPr>
            </w:pPr>
            <w:r>
              <w:rPr>
                <w:rFonts w:hint="eastAsia"/>
                <w:bCs/>
                <w:color w:val="000000" w:themeColor="text1"/>
                <w:sz w:val="22"/>
                <w:szCs w:val="22"/>
                <w:lang w:val="en-US" w:eastAsia="zh-CN"/>
              </w:rPr>
              <w:t>10.07</w:t>
            </w:r>
          </w:p>
        </w:tc>
        <w:tc>
          <w:tcPr>
            <w:tcW w:w="1134" w:type="dxa"/>
            <w:tcBorders>
              <w:tl2br w:val="nil"/>
              <w:tr2bl w:val="nil"/>
            </w:tcBorders>
            <w:vAlign w:val="center"/>
          </w:tcPr>
          <w:p>
            <w:pPr>
              <w:jc w:val="center"/>
              <w:rPr>
                <w:rFonts w:hint="eastAsia"/>
                <w:bCs/>
                <w:color w:val="000000" w:themeColor="text1"/>
                <w:sz w:val="22"/>
                <w:szCs w:val="22"/>
                <w:lang w:val="en-US" w:eastAsia="zh-CN"/>
              </w:rPr>
            </w:pPr>
          </w:p>
        </w:tc>
        <w:tc>
          <w:tcPr>
            <w:tcW w:w="1360" w:type="dxa"/>
            <w:tcBorders>
              <w:tl2br w:val="nil"/>
              <w:tr2bl w:val="nil"/>
            </w:tcBorders>
            <w:vAlign w:val="center"/>
          </w:tcPr>
          <w:p>
            <w:pPr>
              <w:jc w:val="center"/>
              <w:rPr>
                <w:rFonts w:hint="eastAsia"/>
                <w:bCs/>
                <w:color w:val="000000" w:themeColor="text1"/>
                <w:sz w:val="22"/>
                <w:szCs w:val="22"/>
                <w:lang w:val="en-US" w:eastAsia="zh-CN"/>
              </w:rPr>
            </w:pPr>
            <w:r>
              <w:rPr>
                <w:rFonts w:hint="eastAsia"/>
                <w:bCs/>
                <w:color w:val="000000" w:themeColor="text1"/>
                <w:sz w:val="22"/>
                <w:szCs w:val="22"/>
                <w:lang w:val="en-US" w:eastAsia="zh-CN"/>
              </w:rPr>
              <w:t>10.07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2" w:type="dxa"/>
            <w:tcBorders>
              <w:tl2br w:val="nil"/>
              <w:tr2bl w:val="nil"/>
            </w:tcBorders>
            <w:vAlign w:val="center"/>
          </w:tcPr>
          <w:p>
            <w:pPr>
              <w:jc w:val="center"/>
              <w:rPr>
                <w:color w:val="000000" w:themeColor="text1"/>
                <w:sz w:val="21"/>
                <w:szCs w:val="21"/>
              </w:rPr>
            </w:pPr>
            <w:r>
              <w:rPr>
                <w:color w:val="000000" w:themeColor="text1"/>
                <w:sz w:val="21"/>
                <w:szCs w:val="21"/>
              </w:rPr>
              <w:t>1</w:t>
            </w:r>
          </w:p>
        </w:tc>
        <w:tc>
          <w:tcPr>
            <w:tcW w:w="2424" w:type="dxa"/>
            <w:tcBorders>
              <w:tl2br w:val="nil"/>
              <w:tr2bl w:val="nil"/>
            </w:tcBorders>
            <w:vAlign w:val="center"/>
          </w:tcPr>
          <w:p>
            <w:pPr>
              <w:jc w:val="center"/>
              <w:rPr>
                <w:color w:val="000000" w:themeColor="text1"/>
                <w:sz w:val="21"/>
                <w:szCs w:val="21"/>
              </w:rPr>
            </w:pPr>
            <w:r>
              <w:rPr>
                <w:rFonts w:eastAsia="仿宋_GB2312"/>
                <w:color w:val="000000" w:themeColor="text1"/>
                <w:sz w:val="21"/>
                <w:szCs w:val="21"/>
              </w:rPr>
              <w:t>工程建设区</w:t>
            </w:r>
          </w:p>
        </w:tc>
        <w:tc>
          <w:tcPr>
            <w:tcW w:w="1341" w:type="dxa"/>
            <w:tcBorders>
              <w:tl2br w:val="nil"/>
              <w:tr2bl w:val="nil"/>
            </w:tcBorders>
            <w:vAlign w:val="center"/>
          </w:tcPr>
          <w:p>
            <w:pPr>
              <w:jc w:val="center"/>
              <w:rPr>
                <w:color w:val="000000" w:themeColor="text1"/>
                <w:sz w:val="21"/>
                <w:szCs w:val="21"/>
              </w:rPr>
            </w:pPr>
            <w:r>
              <w:rPr>
                <w:color w:val="000000" w:themeColor="text1"/>
                <w:sz w:val="21"/>
                <w:szCs w:val="21"/>
              </w:rPr>
              <w:t>　</w:t>
            </w:r>
          </w:p>
        </w:tc>
        <w:tc>
          <w:tcPr>
            <w:tcW w:w="1417" w:type="dxa"/>
            <w:tcBorders>
              <w:tl2br w:val="nil"/>
              <w:tr2bl w:val="nil"/>
            </w:tcBorders>
            <w:vAlign w:val="center"/>
          </w:tcPr>
          <w:p>
            <w:pPr>
              <w:jc w:val="center"/>
              <w:rPr>
                <w:rFonts w:hint="eastAsia"/>
                <w:bCs/>
                <w:color w:val="000000" w:themeColor="text1"/>
                <w:sz w:val="22"/>
                <w:szCs w:val="22"/>
                <w:lang w:val="en-US" w:eastAsia="zh-CN"/>
              </w:rPr>
            </w:pPr>
            <w:r>
              <w:rPr>
                <w:rFonts w:hint="eastAsia"/>
                <w:bCs/>
                <w:color w:val="000000" w:themeColor="text1"/>
                <w:sz w:val="22"/>
                <w:szCs w:val="22"/>
                <w:lang w:val="en-US" w:eastAsia="zh-CN"/>
              </w:rPr>
              <w:t>10.07</w:t>
            </w:r>
          </w:p>
        </w:tc>
        <w:tc>
          <w:tcPr>
            <w:tcW w:w="1134" w:type="dxa"/>
            <w:tcBorders>
              <w:tl2br w:val="nil"/>
              <w:tr2bl w:val="nil"/>
            </w:tcBorders>
            <w:vAlign w:val="center"/>
          </w:tcPr>
          <w:p>
            <w:pPr>
              <w:jc w:val="center"/>
              <w:rPr>
                <w:rFonts w:hint="eastAsia"/>
                <w:bCs/>
                <w:color w:val="000000" w:themeColor="text1"/>
                <w:sz w:val="22"/>
                <w:szCs w:val="22"/>
                <w:lang w:val="en-US" w:eastAsia="zh-CN"/>
              </w:rPr>
            </w:pPr>
          </w:p>
        </w:tc>
        <w:tc>
          <w:tcPr>
            <w:tcW w:w="1360" w:type="dxa"/>
            <w:tcBorders>
              <w:tl2br w:val="nil"/>
              <w:tr2bl w:val="nil"/>
            </w:tcBorders>
            <w:vAlign w:val="center"/>
          </w:tcPr>
          <w:p>
            <w:pPr>
              <w:jc w:val="center"/>
              <w:rPr>
                <w:rFonts w:hint="eastAsia"/>
                <w:bCs/>
                <w:color w:val="000000" w:themeColor="text1"/>
                <w:sz w:val="22"/>
                <w:szCs w:val="22"/>
                <w:lang w:val="en-US" w:eastAsia="zh-CN"/>
              </w:rPr>
            </w:pPr>
            <w:r>
              <w:rPr>
                <w:rFonts w:hint="eastAsia"/>
                <w:bCs/>
                <w:color w:val="000000" w:themeColor="text1"/>
                <w:sz w:val="22"/>
                <w:szCs w:val="22"/>
                <w:lang w:val="en-US" w:eastAsia="zh-CN"/>
              </w:rPr>
              <w:t>10.07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2" w:type="dxa"/>
            <w:tcBorders>
              <w:tl2br w:val="nil"/>
              <w:tr2bl w:val="nil"/>
            </w:tcBorders>
            <w:vAlign w:val="center"/>
          </w:tcPr>
          <w:p>
            <w:pPr>
              <w:jc w:val="center"/>
              <w:rPr>
                <w:color w:val="000000" w:themeColor="text1"/>
                <w:sz w:val="21"/>
                <w:szCs w:val="21"/>
              </w:rPr>
            </w:pPr>
            <w:r>
              <w:rPr>
                <w:rFonts w:eastAsia="仿宋_GB2312"/>
                <w:color w:val="000000" w:themeColor="text1"/>
                <w:sz w:val="21"/>
                <w:szCs w:val="21"/>
              </w:rPr>
              <w:t>第三部分</w:t>
            </w:r>
            <w:r>
              <w:rPr>
                <w:color w:val="000000" w:themeColor="text1"/>
                <w:sz w:val="21"/>
                <w:szCs w:val="21"/>
              </w:rPr>
              <w:t xml:space="preserve"> </w:t>
            </w:r>
          </w:p>
        </w:tc>
        <w:tc>
          <w:tcPr>
            <w:tcW w:w="2424" w:type="dxa"/>
            <w:tcBorders>
              <w:tl2br w:val="nil"/>
              <w:tr2bl w:val="nil"/>
            </w:tcBorders>
            <w:vAlign w:val="center"/>
          </w:tcPr>
          <w:p>
            <w:pPr>
              <w:jc w:val="center"/>
              <w:rPr>
                <w:rFonts w:eastAsia="仿宋_GB2312"/>
                <w:color w:val="000000" w:themeColor="text1"/>
                <w:sz w:val="21"/>
                <w:szCs w:val="21"/>
              </w:rPr>
            </w:pPr>
            <w:r>
              <w:rPr>
                <w:rFonts w:eastAsia="仿宋_GB2312"/>
                <w:color w:val="000000" w:themeColor="text1"/>
                <w:sz w:val="21"/>
                <w:szCs w:val="21"/>
              </w:rPr>
              <w:t>临时措施</w:t>
            </w:r>
          </w:p>
        </w:tc>
        <w:tc>
          <w:tcPr>
            <w:tcW w:w="1341" w:type="dxa"/>
            <w:tcBorders>
              <w:tl2br w:val="nil"/>
              <w:tr2bl w:val="nil"/>
            </w:tcBorders>
            <w:vAlign w:val="center"/>
          </w:tcPr>
          <w:p>
            <w:pPr>
              <w:jc w:val="center"/>
              <w:rPr>
                <w:rFonts w:hint="default" w:eastAsia="宋体"/>
                <w:color w:val="000000" w:themeColor="text1"/>
                <w:sz w:val="21"/>
                <w:szCs w:val="21"/>
                <w:lang w:val="en-US" w:eastAsia="zh-CN"/>
              </w:rPr>
            </w:pPr>
            <w:r>
              <w:rPr>
                <w:rFonts w:hint="eastAsia"/>
                <w:color w:val="000000" w:themeColor="text1"/>
                <w:sz w:val="21"/>
                <w:szCs w:val="21"/>
                <w:lang w:val="en-US" w:eastAsia="zh-CN"/>
              </w:rPr>
              <w:t>2.68</w:t>
            </w:r>
          </w:p>
        </w:tc>
        <w:tc>
          <w:tcPr>
            <w:tcW w:w="1417" w:type="dxa"/>
            <w:tcBorders>
              <w:tl2br w:val="nil"/>
              <w:tr2bl w:val="nil"/>
            </w:tcBorders>
            <w:vAlign w:val="center"/>
          </w:tcPr>
          <w:p>
            <w:pPr>
              <w:pStyle w:val="77"/>
              <w:rPr>
                <w:rFonts w:ascii="Times New Roman" w:hAnsi="Times New Roman" w:eastAsia="仿宋_GB2312"/>
                <w:color w:val="000000" w:themeColor="text1"/>
              </w:rPr>
            </w:pPr>
          </w:p>
        </w:tc>
        <w:tc>
          <w:tcPr>
            <w:tcW w:w="1134" w:type="dxa"/>
            <w:tcBorders>
              <w:tl2br w:val="nil"/>
              <w:tr2bl w:val="nil"/>
            </w:tcBorders>
            <w:vAlign w:val="center"/>
          </w:tcPr>
          <w:p>
            <w:pPr>
              <w:jc w:val="center"/>
              <w:rPr>
                <w:color w:val="000000" w:themeColor="text1"/>
                <w:sz w:val="21"/>
                <w:szCs w:val="21"/>
              </w:rPr>
            </w:pPr>
          </w:p>
        </w:tc>
        <w:tc>
          <w:tcPr>
            <w:tcW w:w="1360" w:type="dxa"/>
            <w:tcBorders>
              <w:tl2br w:val="nil"/>
              <w:tr2bl w:val="nil"/>
            </w:tcBorders>
            <w:vAlign w:val="center"/>
          </w:tcPr>
          <w:p>
            <w:pPr>
              <w:jc w:val="center"/>
              <w:rPr>
                <w:rFonts w:hint="default" w:eastAsia="宋体"/>
                <w:color w:val="000000" w:themeColor="text1"/>
                <w:sz w:val="21"/>
                <w:szCs w:val="21"/>
                <w:lang w:val="en-US" w:eastAsia="zh-CN"/>
              </w:rPr>
            </w:pPr>
            <w:r>
              <w:rPr>
                <w:rFonts w:hint="eastAsia"/>
                <w:color w:val="000000" w:themeColor="text1"/>
                <w:sz w:val="21"/>
                <w:szCs w:val="21"/>
                <w:lang w:val="en-US" w:eastAsia="zh-CN"/>
              </w:rPr>
              <w:t>2.68</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2" w:type="dxa"/>
            <w:tcBorders>
              <w:tl2br w:val="nil"/>
              <w:tr2bl w:val="nil"/>
            </w:tcBorders>
            <w:vAlign w:val="center"/>
          </w:tcPr>
          <w:p>
            <w:pPr>
              <w:jc w:val="center"/>
              <w:rPr>
                <w:color w:val="000000" w:themeColor="text1"/>
                <w:sz w:val="21"/>
                <w:szCs w:val="21"/>
              </w:rPr>
            </w:pPr>
            <w:r>
              <w:rPr>
                <w:color w:val="000000" w:themeColor="text1"/>
                <w:sz w:val="21"/>
                <w:szCs w:val="21"/>
              </w:rPr>
              <w:t>1</w:t>
            </w:r>
          </w:p>
        </w:tc>
        <w:tc>
          <w:tcPr>
            <w:tcW w:w="2424" w:type="dxa"/>
            <w:tcBorders>
              <w:tl2br w:val="nil"/>
              <w:tr2bl w:val="nil"/>
            </w:tcBorders>
            <w:vAlign w:val="center"/>
          </w:tcPr>
          <w:p>
            <w:pPr>
              <w:jc w:val="center"/>
              <w:rPr>
                <w:rFonts w:eastAsia="仿宋_GB2312"/>
                <w:color w:val="000000" w:themeColor="text1"/>
                <w:sz w:val="21"/>
                <w:szCs w:val="21"/>
              </w:rPr>
            </w:pPr>
            <w:r>
              <w:rPr>
                <w:rFonts w:eastAsia="仿宋_GB2312"/>
                <w:color w:val="000000" w:themeColor="text1"/>
                <w:sz w:val="21"/>
                <w:szCs w:val="21"/>
              </w:rPr>
              <w:t>工程建设区</w:t>
            </w:r>
          </w:p>
        </w:tc>
        <w:tc>
          <w:tcPr>
            <w:tcW w:w="1341" w:type="dxa"/>
            <w:tcBorders>
              <w:tl2br w:val="nil"/>
              <w:tr2bl w:val="nil"/>
            </w:tcBorders>
            <w:vAlign w:val="center"/>
          </w:tcPr>
          <w:p>
            <w:pPr>
              <w:jc w:val="center"/>
              <w:rPr>
                <w:rFonts w:hint="default" w:eastAsia="宋体"/>
                <w:color w:val="000000" w:themeColor="text1"/>
                <w:sz w:val="21"/>
                <w:szCs w:val="21"/>
                <w:lang w:val="en-US" w:eastAsia="zh-CN"/>
              </w:rPr>
            </w:pPr>
            <w:r>
              <w:rPr>
                <w:rFonts w:hint="eastAsia" w:eastAsia="仿宋_GB2312"/>
                <w:color w:val="000000" w:themeColor="text1"/>
                <w:sz w:val="21"/>
                <w:szCs w:val="21"/>
                <w:lang w:val="en-US" w:eastAsia="zh-CN"/>
              </w:rPr>
              <w:t>2.63</w:t>
            </w:r>
          </w:p>
        </w:tc>
        <w:tc>
          <w:tcPr>
            <w:tcW w:w="1417" w:type="dxa"/>
            <w:tcBorders>
              <w:tl2br w:val="nil"/>
              <w:tr2bl w:val="nil"/>
            </w:tcBorders>
            <w:vAlign w:val="center"/>
          </w:tcPr>
          <w:p>
            <w:pPr>
              <w:pStyle w:val="77"/>
              <w:rPr>
                <w:rFonts w:ascii="Times New Roman" w:hAnsi="Times New Roman" w:eastAsia="仿宋_GB2312"/>
                <w:color w:val="000000" w:themeColor="text1"/>
              </w:rPr>
            </w:pPr>
          </w:p>
        </w:tc>
        <w:tc>
          <w:tcPr>
            <w:tcW w:w="1134" w:type="dxa"/>
            <w:tcBorders>
              <w:tl2br w:val="nil"/>
              <w:tr2bl w:val="nil"/>
            </w:tcBorders>
            <w:vAlign w:val="center"/>
          </w:tcPr>
          <w:p>
            <w:pPr>
              <w:jc w:val="center"/>
              <w:rPr>
                <w:color w:val="000000" w:themeColor="text1"/>
                <w:sz w:val="21"/>
                <w:szCs w:val="21"/>
              </w:rPr>
            </w:pPr>
          </w:p>
        </w:tc>
        <w:tc>
          <w:tcPr>
            <w:tcW w:w="1360" w:type="dxa"/>
            <w:tcBorders>
              <w:tl2br w:val="nil"/>
              <w:tr2bl w:val="nil"/>
            </w:tcBorders>
            <w:vAlign w:val="center"/>
          </w:tcPr>
          <w:p>
            <w:pPr>
              <w:jc w:val="center"/>
              <w:rPr>
                <w:rFonts w:eastAsia="仿宋_GB2312"/>
                <w:color w:val="000000" w:themeColor="text1"/>
                <w:sz w:val="21"/>
                <w:szCs w:val="21"/>
              </w:rPr>
            </w:pPr>
            <w:r>
              <w:rPr>
                <w:rFonts w:hint="eastAsia" w:eastAsia="仿宋_GB2312"/>
                <w:color w:val="000000" w:themeColor="text1"/>
                <w:sz w:val="21"/>
                <w:szCs w:val="21"/>
                <w:lang w:val="en-US" w:eastAsia="zh-CN"/>
              </w:rPr>
              <w:t>2.63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2" w:type="dxa"/>
            <w:tcBorders>
              <w:tl2br w:val="nil"/>
              <w:tr2bl w:val="nil"/>
            </w:tcBorders>
            <w:vAlign w:val="center"/>
          </w:tcPr>
          <w:p>
            <w:pPr>
              <w:jc w:val="center"/>
              <w:rPr>
                <w:color w:val="000000" w:themeColor="text1"/>
                <w:sz w:val="21"/>
                <w:szCs w:val="21"/>
              </w:rPr>
            </w:pPr>
            <w:r>
              <w:rPr>
                <w:color w:val="000000" w:themeColor="text1"/>
                <w:sz w:val="21"/>
                <w:szCs w:val="21"/>
              </w:rPr>
              <w:t>2</w:t>
            </w:r>
          </w:p>
        </w:tc>
        <w:tc>
          <w:tcPr>
            <w:tcW w:w="2424" w:type="dxa"/>
            <w:tcBorders>
              <w:tl2br w:val="nil"/>
              <w:tr2bl w:val="nil"/>
            </w:tcBorders>
            <w:vAlign w:val="center"/>
          </w:tcPr>
          <w:p>
            <w:pPr>
              <w:jc w:val="center"/>
              <w:rPr>
                <w:rFonts w:eastAsia="仿宋_GB2312"/>
                <w:color w:val="000000" w:themeColor="text1"/>
                <w:sz w:val="21"/>
                <w:szCs w:val="21"/>
              </w:rPr>
            </w:pPr>
            <w:r>
              <w:rPr>
                <w:rFonts w:eastAsia="仿宋_GB2312"/>
                <w:color w:val="000000" w:themeColor="text1"/>
                <w:sz w:val="21"/>
                <w:szCs w:val="21"/>
              </w:rPr>
              <w:t>其他临时措施</w:t>
            </w:r>
          </w:p>
        </w:tc>
        <w:tc>
          <w:tcPr>
            <w:tcW w:w="1341" w:type="dxa"/>
            <w:tcBorders>
              <w:tl2br w:val="nil"/>
              <w:tr2bl w:val="nil"/>
            </w:tcBorders>
            <w:vAlign w:val="center"/>
          </w:tcPr>
          <w:p>
            <w:pPr>
              <w:jc w:val="center"/>
              <w:rPr>
                <w:rFonts w:hint="eastAsia" w:eastAsia="宋体"/>
                <w:color w:val="000000" w:themeColor="text1"/>
                <w:sz w:val="21"/>
                <w:szCs w:val="21"/>
                <w:lang w:eastAsia="zh-CN"/>
              </w:rPr>
            </w:pPr>
            <w:r>
              <w:rPr>
                <w:color w:val="000000" w:themeColor="text1"/>
                <w:sz w:val="21"/>
                <w:szCs w:val="21"/>
              </w:rPr>
              <w:t>0.</w:t>
            </w:r>
            <w:r>
              <w:rPr>
                <w:rFonts w:hint="eastAsia"/>
                <w:color w:val="000000" w:themeColor="text1"/>
                <w:sz w:val="21"/>
                <w:szCs w:val="21"/>
              </w:rPr>
              <w:t>0</w:t>
            </w:r>
            <w:r>
              <w:rPr>
                <w:rFonts w:hint="eastAsia"/>
                <w:color w:val="000000" w:themeColor="text1"/>
                <w:sz w:val="21"/>
                <w:szCs w:val="21"/>
                <w:lang w:val="en-US" w:eastAsia="zh-CN"/>
              </w:rPr>
              <w:t>5</w:t>
            </w:r>
          </w:p>
        </w:tc>
        <w:tc>
          <w:tcPr>
            <w:tcW w:w="1417" w:type="dxa"/>
            <w:tcBorders>
              <w:tl2br w:val="nil"/>
              <w:tr2bl w:val="nil"/>
            </w:tcBorders>
            <w:vAlign w:val="center"/>
          </w:tcPr>
          <w:p>
            <w:pPr>
              <w:pStyle w:val="77"/>
              <w:rPr>
                <w:rFonts w:ascii="Times New Roman" w:hAnsi="Times New Roman" w:eastAsia="仿宋_GB2312"/>
                <w:color w:val="000000" w:themeColor="text1"/>
              </w:rPr>
            </w:pPr>
          </w:p>
        </w:tc>
        <w:tc>
          <w:tcPr>
            <w:tcW w:w="1134" w:type="dxa"/>
            <w:tcBorders>
              <w:tl2br w:val="nil"/>
              <w:tr2bl w:val="nil"/>
            </w:tcBorders>
            <w:vAlign w:val="center"/>
          </w:tcPr>
          <w:p>
            <w:pPr>
              <w:jc w:val="center"/>
              <w:rPr>
                <w:color w:val="000000" w:themeColor="text1"/>
                <w:sz w:val="21"/>
                <w:szCs w:val="21"/>
              </w:rPr>
            </w:pPr>
          </w:p>
        </w:tc>
        <w:tc>
          <w:tcPr>
            <w:tcW w:w="1360" w:type="dxa"/>
            <w:tcBorders>
              <w:tl2br w:val="nil"/>
              <w:tr2bl w:val="nil"/>
            </w:tcBorders>
            <w:vAlign w:val="center"/>
          </w:tcPr>
          <w:p>
            <w:pPr>
              <w:jc w:val="center"/>
              <w:rPr>
                <w:color w:val="000000" w:themeColor="text1"/>
                <w:sz w:val="21"/>
                <w:szCs w:val="21"/>
              </w:rPr>
            </w:pPr>
            <w:r>
              <w:rPr>
                <w:color w:val="000000" w:themeColor="text1"/>
                <w:sz w:val="21"/>
                <w:szCs w:val="21"/>
              </w:rPr>
              <w:t>0.</w:t>
            </w:r>
            <w:r>
              <w:rPr>
                <w:rFonts w:hint="eastAsia"/>
                <w:color w:val="000000" w:themeColor="text1"/>
                <w:sz w:val="21"/>
                <w:szCs w:val="21"/>
              </w:rPr>
              <w:t>0</w:t>
            </w:r>
            <w:r>
              <w:rPr>
                <w:rFonts w:hint="eastAsia"/>
                <w:color w:val="000000" w:themeColor="text1"/>
                <w:sz w:val="21"/>
                <w:szCs w:val="21"/>
                <w:lang w:val="en-US" w:eastAsia="zh-CN"/>
              </w:rPr>
              <w:t>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2" w:type="dxa"/>
            <w:tcBorders>
              <w:tl2br w:val="nil"/>
              <w:tr2bl w:val="nil"/>
            </w:tcBorders>
            <w:vAlign w:val="center"/>
          </w:tcPr>
          <w:p>
            <w:pPr>
              <w:jc w:val="center"/>
              <w:rPr>
                <w:color w:val="000000" w:themeColor="text1"/>
                <w:sz w:val="21"/>
                <w:szCs w:val="21"/>
              </w:rPr>
            </w:pPr>
            <w:r>
              <w:rPr>
                <w:rFonts w:eastAsia="仿宋_GB2312"/>
                <w:color w:val="000000" w:themeColor="text1"/>
                <w:sz w:val="21"/>
                <w:szCs w:val="21"/>
              </w:rPr>
              <w:t>第四部分</w:t>
            </w:r>
            <w:r>
              <w:rPr>
                <w:color w:val="000000" w:themeColor="text1"/>
                <w:sz w:val="21"/>
                <w:szCs w:val="21"/>
              </w:rPr>
              <w:t xml:space="preserve"> </w:t>
            </w:r>
          </w:p>
        </w:tc>
        <w:tc>
          <w:tcPr>
            <w:tcW w:w="2424" w:type="dxa"/>
            <w:tcBorders>
              <w:tl2br w:val="nil"/>
              <w:tr2bl w:val="nil"/>
            </w:tcBorders>
            <w:vAlign w:val="center"/>
          </w:tcPr>
          <w:p>
            <w:pPr>
              <w:jc w:val="center"/>
              <w:rPr>
                <w:color w:val="000000" w:themeColor="text1"/>
                <w:sz w:val="21"/>
                <w:szCs w:val="21"/>
              </w:rPr>
            </w:pPr>
            <w:r>
              <w:rPr>
                <w:rFonts w:eastAsia="仿宋_GB2312"/>
                <w:color w:val="000000" w:themeColor="text1"/>
                <w:sz w:val="21"/>
                <w:szCs w:val="21"/>
              </w:rPr>
              <w:t>独立费用</w:t>
            </w:r>
          </w:p>
        </w:tc>
        <w:tc>
          <w:tcPr>
            <w:tcW w:w="1341" w:type="dxa"/>
            <w:tcBorders>
              <w:tl2br w:val="nil"/>
              <w:tr2bl w:val="nil"/>
            </w:tcBorders>
            <w:vAlign w:val="center"/>
          </w:tcPr>
          <w:p>
            <w:pPr>
              <w:jc w:val="center"/>
              <w:rPr>
                <w:color w:val="000000" w:themeColor="text1"/>
                <w:sz w:val="21"/>
                <w:szCs w:val="21"/>
              </w:rPr>
            </w:pPr>
            <w:r>
              <w:rPr>
                <w:color w:val="000000" w:themeColor="text1"/>
                <w:sz w:val="21"/>
                <w:szCs w:val="21"/>
              </w:rPr>
              <w:t>　</w:t>
            </w:r>
          </w:p>
        </w:tc>
        <w:tc>
          <w:tcPr>
            <w:tcW w:w="1417" w:type="dxa"/>
            <w:tcBorders>
              <w:tl2br w:val="nil"/>
              <w:tr2bl w:val="nil"/>
            </w:tcBorders>
            <w:vAlign w:val="center"/>
          </w:tcPr>
          <w:p>
            <w:pPr>
              <w:jc w:val="center"/>
              <w:rPr>
                <w:color w:val="000000" w:themeColor="text1"/>
                <w:sz w:val="21"/>
                <w:szCs w:val="21"/>
              </w:rPr>
            </w:pPr>
            <w:r>
              <w:rPr>
                <w:color w:val="000000" w:themeColor="text1"/>
                <w:sz w:val="21"/>
                <w:szCs w:val="21"/>
              </w:rPr>
              <w:t>　</w:t>
            </w:r>
          </w:p>
        </w:tc>
        <w:tc>
          <w:tcPr>
            <w:tcW w:w="1134" w:type="dxa"/>
            <w:tcBorders>
              <w:tl2br w:val="nil"/>
              <w:tr2bl w:val="nil"/>
            </w:tcBorders>
            <w:vAlign w:val="center"/>
          </w:tcPr>
          <w:p>
            <w:pPr>
              <w:jc w:val="center"/>
              <w:rPr>
                <w:color w:val="000000" w:themeColor="text1"/>
                <w:sz w:val="21"/>
                <w:szCs w:val="21"/>
              </w:rPr>
            </w:pPr>
            <w:r>
              <w:rPr>
                <w:rFonts w:hint="eastAsia"/>
                <w:bCs/>
                <w:color w:val="000000" w:themeColor="text1"/>
                <w:sz w:val="21"/>
                <w:szCs w:val="21"/>
              </w:rPr>
              <w:t>22.72</w:t>
            </w:r>
          </w:p>
        </w:tc>
        <w:tc>
          <w:tcPr>
            <w:tcW w:w="1360" w:type="dxa"/>
            <w:tcBorders>
              <w:tl2br w:val="nil"/>
              <w:tr2bl w:val="nil"/>
            </w:tcBorders>
            <w:vAlign w:val="center"/>
          </w:tcPr>
          <w:p>
            <w:pPr>
              <w:jc w:val="center"/>
              <w:rPr>
                <w:color w:val="000000" w:themeColor="text1"/>
                <w:sz w:val="21"/>
                <w:szCs w:val="21"/>
              </w:rPr>
            </w:pPr>
            <w:r>
              <w:rPr>
                <w:rFonts w:hint="eastAsia"/>
                <w:bCs/>
                <w:color w:val="000000" w:themeColor="text1"/>
                <w:sz w:val="21"/>
                <w:szCs w:val="21"/>
              </w:rPr>
              <w:t>22.72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2" w:type="dxa"/>
            <w:tcBorders>
              <w:tl2br w:val="nil"/>
              <w:tr2bl w:val="nil"/>
            </w:tcBorders>
            <w:vAlign w:val="center"/>
          </w:tcPr>
          <w:p>
            <w:pPr>
              <w:jc w:val="center"/>
              <w:rPr>
                <w:color w:val="000000" w:themeColor="text1"/>
                <w:sz w:val="21"/>
                <w:szCs w:val="21"/>
              </w:rPr>
            </w:pPr>
            <w:r>
              <w:rPr>
                <w:color w:val="000000" w:themeColor="text1"/>
                <w:sz w:val="21"/>
                <w:szCs w:val="21"/>
              </w:rPr>
              <w:t>1</w:t>
            </w:r>
          </w:p>
        </w:tc>
        <w:tc>
          <w:tcPr>
            <w:tcW w:w="2424" w:type="dxa"/>
            <w:tcBorders>
              <w:tl2br w:val="nil"/>
              <w:tr2bl w:val="nil"/>
            </w:tcBorders>
            <w:vAlign w:val="center"/>
          </w:tcPr>
          <w:p>
            <w:pPr>
              <w:jc w:val="center"/>
              <w:rPr>
                <w:color w:val="000000" w:themeColor="text1"/>
                <w:sz w:val="21"/>
                <w:szCs w:val="21"/>
              </w:rPr>
            </w:pPr>
            <w:r>
              <w:rPr>
                <w:rFonts w:eastAsia="仿宋_GB2312"/>
                <w:color w:val="000000" w:themeColor="text1"/>
                <w:sz w:val="21"/>
                <w:szCs w:val="21"/>
              </w:rPr>
              <w:t>建设管理费</w:t>
            </w:r>
          </w:p>
        </w:tc>
        <w:tc>
          <w:tcPr>
            <w:tcW w:w="1341" w:type="dxa"/>
            <w:tcBorders>
              <w:tl2br w:val="nil"/>
              <w:tr2bl w:val="nil"/>
            </w:tcBorders>
            <w:vAlign w:val="center"/>
          </w:tcPr>
          <w:p>
            <w:pPr>
              <w:jc w:val="center"/>
              <w:rPr>
                <w:color w:val="000000" w:themeColor="text1"/>
                <w:sz w:val="21"/>
                <w:szCs w:val="21"/>
              </w:rPr>
            </w:pPr>
            <w:r>
              <w:rPr>
                <w:color w:val="000000" w:themeColor="text1"/>
                <w:sz w:val="21"/>
                <w:szCs w:val="21"/>
              </w:rPr>
              <w:t>　</w:t>
            </w:r>
          </w:p>
        </w:tc>
        <w:tc>
          <w:tcPr>
            <w:tcW w:w="1417" w:type="dxa"/>
            <w:tcBorders>
              <w:tl2br w:val="nil"/>
              <w:tr2bl w:val="nil"/>
            </w:tcBorders>
            <w:vAlign w:val="center"/>
          </w:tcPr>
          <w:p>
            <w:pPr>
              <w:jc w:val="center"/>
              <w:rPr>
                <w:color w:val="000000" w:themeColor="text1"/>
                <w:sz w:val="21"/>
                <w:szCs w:val="21"/>
              </w:rPr>
            </w:pPr>
            <w:r>
              <w:rPr>
                <w:color w:val="000000" w:themeColor="text1"/>
                <w:sz w:val="21"/>
                <w:szCs w:val="21"/>
              </w:rPr>
              <w:t>　</w:t>
            </w:r>
          </w:p>
        </w:tc>
        <w:tc>
          <w:tcPr>
            <w:tcW w:w="1134" w:type="dxa"/>
            <w:tcBorders>
              <w:tl2br w:val="nil"/>
              <w:tr2bl w:val="nil"/>
            </w:tcBorders>
            <w:vAlign w:val="center"/>
          </w:tcPr>
          <w:p>
            <w:pPr>
              <w:jc w:val="center"/>
              <w:rPr>
                <w:color w:val="000000" w:themeColor="text1"/>
                <w:sz w:val="21"/>
                <w:szCs w:val="21"/>
              </w:rPr>
            </w:pPr>
            <w:r>
              <w:rPr>
                <w:bCs/>
                <w:color w:val="000000" w:themeColor="text1"/>
                <w:sz w:val="21"/>
                <w:szCs w:val="21"/>
              </w:rPr>
              <w:t>0.</w:t>
            </w:r>
            <w:r>
              <w:rPr>
                <w:rFonts w:hint="eastAsia"/>
                <w:bCs/>
                <w:color w:val="000000" w:themeColor="text1"/>
                <w:sz w:val="21"/>
                <w:szCs w:val="21"/>
              </w:rPr>
              <w:t>01</w:t>
            </w:r>
          </w:p>
        </w:tc>
        <w:tc>
          <w:tcPr>
            <w:tcW w:w="1360" w:type="dxa"/>
            <w:tcBorders>
              <w:tl2br w:val="nil"/>
              <w:tr2bl w:val="nil"/>
            </w:tcBorders>
            <w:vAlign w:val="center"/>
          </w:tcPr>
          <w:p>
            <w:pPr>
              <w:jc w:val="center"/>
              <w:rPr>
                <w:color w:val="000000" w:themeColor="text1"/>
                <w:sz w:val="21"/>
                <w:szCs w:val="21"/>
              </w:rPr>
            </w:pPr>
            <w:r>
              <w:rPr>
                <w:bCs/>
                <w:color w:val="000000" w:themeColor="text1"/>
                <w:sz w:val="21"/>
                <w:szCs w:val="21"/>
              </w:rPr>
              <w:t>0.</w:t>
            </w:r>
            <w:r>
              <w:rPr>
                <w:rFonts w:hint="eastAsia"/>
                <w:bCs/>
                <w:color w:val="000000" w:themeColor="text1"/>
                <w:sz w:val="21"/>
                <w:szCs w:val="21"/>
              </w:rPr>
              <w:t>01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2" w:type="dxa"/>
            <w:tcBorders>
              <w:tl2br w:val="nil"/>
              <w:tr2bl w:val="nil"/>
            </w:tcBorders>
            <w:vAlign w:val="center"/>
          </w:tcPr>
          <w:p>
            <w:pPr>
              <w:jc w:val="center"/>
              <w:rPr>
                <w:color w:val="000000" w:themeColor="text1"/>
                <w:sz w:val="21"/>
                <w:szCs w:val="21"/>
              </w:rPr>
            </w:pPr>
            <w:r>
              <w:rPr>
                <w:color w:val="000000" w:themeColor="text1"/>
                <w:sz w:val="21"/>
                <w:szCs w:val="21"/>
              </w:rPr>
              <w:t>2</w:t>
            </w:r>
          </w:p>
        </w:tc>
        <w:tc>
          <w:tcPr>
            <w:tcW w:w="2424" w:type="dxa"/>
            <w:tcBorders>
              <w:tl2br w:val="nil"/>
              <w:tr2bl w:val="nil"/>
            </w:tcBorders>
            <w:vAlign w:val="center"/>
          </w:tcPr>
          <w:p>
            <w:pPr>
              <w:jc w:val="center"/>
              <w:rPr>
                <w:color w:val="000000" w:themeColor="text1"/>
                <w:sz w:val="21"/>
                <w:szCs w:val="21"/>
              </w:rPr>
            </w:pPr>
            <w:r>
              <w:rPr>
                <w:rFonts w:eastAsia="仿宋_GB2312"/>
                <w:color w:val="000000" w:themeColor="text1"/>
                <w:sz w:val="21"/>
                <w:szCs w:val="21"/>
              </w:rPr>
              <w:t>水土保持监理费</w:t>
            </w:r>
          </w:p>
        </w:tc>
        <w:tc>
          <w:tcPr>
            <w:tcW w:w="1341" w:type="dxa"/>
            <w:tcBorders>
              <w:tl2br w:val="nil"/>
              <w:tr2bl w:val="nil"/>
            </w:tcBorders>
            <w:vAlign w:val="center"/>
          </w:tcPr>
          <w:p>
            <w:pPr>
              <w:jc w:val="center"/>
              <w:rPr>
                <w:color w:val="000000" w:themeColor="text1"/>
                <w:sz w:val="21"/>
                <w:szCs w:val="21"/>
              </w:rPr>
            </w:pPr>
            <w:r>
              <w:rPr>
                <w:color w:val="000000" w:themeColor="text1"/>
                <w:sz w:val="21"/>
                <w:szCs w:val="21"/>
              </w:rPr>
              <w:t>　</w:t>
            </w:r>
          </w:p>
        </w:tc>
        <w:tc>
          <w:tcPr>
            <w:tcW w:w="1417" w:type="dxa"/>
            <w:tcBorders>
              <w:tl2br w:val="nil"/>
              <w:tr2bl w:val="nil"/>
            </w:tcBorders>
            <w:vAlign w:val="center"/>
          </w:tcPr>
          <w:p>
            <w:pPr>
              <w:jc w:val="center"/>
              <w:rPr>
                <w:color w:val="000000" w:themeColor="text1"/>
                <w:sz w:val="21"/>
                <w:szCs w:val="21"/>
              </w:rPr>
            </w:pPr>
            <w:r>
              <w:rPr>
                <w:color w:val="000000" w:themeColor="text1"/>
                <w:sz w:val="21"/>
                <w:szCs w:val="21"/>
              </w:rPr>
              <w:t>　</w:t>
            </w:r>
          </w:p>
        </w:tc>
        <w:tc>
          <w:tcPr>
            <w:tcW w:w="1134" w:type="dxa"/>
            <w:tcBorders>
              <w:tl2br w:val="nil"/>
              <w:tr2bl w:val="nil"/>
            </w:tcBorders>
            <w:vAlign w:val="center"/>
          </w:tcPr>
          <w:p>
            <w:pPr>
              <w:jc w:val="center"/>
              <w:rPr>
                <w:color w:val="000000" w:themeColor="text1"/>
                <w:sz w:val="21"/>
                <w:szCs w:val="21"/>
              </w:rPr>
            </w:pPr>
            <w:r>
              <w:rPr>
                <w:rFonts w:hint="eastAsia"/>
                <w:bCs/>
                <w:color w:val="000000" w:themeColor="text1"/>
                <w:sz w:val="21"/>
                <w:szCs w:val="21"/>
              </w:rPr>
              <w:t>5.50</w:t>
            </w:r>
          </w:p>
        </w:tc>
        <w:tc>
          <w:tcPr>
            <w:tcW w:w="1360" w:type="dxa"/>
            <w:tcBorders>
              <w:tl2br w:val="nil"/>
              <w:tr2bl w:val="nil"/>
            </w:tcBorders>
            <w:vAlign w:val="center"/>
          </w:tcPr>
          <w:p>
            <w:pPr>
              <w:jc w:val="center"/>
              <w:rPr>
                <w:color w:val="000000" w:themeColor="text1"/>
                <w:sz w:val="21"/>
                <w:szCs w:val="21"/>
              </w:rPr>
            </w:pPr>
            <w:r>
              <w:rPr>
                <w:rFonts w:hint="eastAsia"/>
                <w:bCs/>
                <w:color w:val="000000" w:themeColor="text1"/>
                <w:sz w:val="21"/>
                <w:szCs w:val="21"/>
              </w:rPr>
              <w:t>5.50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2" w:type="dxa"/>
            <w:tcBorders>
              <w:tl2br w:val="nil"/>
              <w:tr2bl w:val="nil"/>
            </w:tcBorders>
            <w:vAlign w:val="center"/>
          </w:tcPr>
          <w:p>
            <w:pPr>
              <w:jc w:val="center"/>
              <w:rPr>
                <w:color w:val="000000" w:themeColor="text1"/>
                <w:sz w:val="21"/>
                <w:szCs w:val="21"/>
              </w:rPr>
            </w:pPr>
            <w:r>
              <w:rPr>
                <w:color w:val="000000" w:themeColor="text1"/>
                <w:sz w:val="21"/>
                <w:szCs w:val="21"/>
              </w:rPr>
              <w:t>3</w:t>
            </w:r>
          </w:p>
        </w:tc>
        <w:tc>
          <w:tcPr>
            <w:tcW w:w="2424" w:type="dxa"/>
            <w:tcBorders>
              <w:tl2br w:val="nil"/>
              <w:tr2bl w:val="nil"/>
            </w:tcBorders>
            <w:vAlign w:val="center"/>
          </w:tcPr>
          <w:p>
            <w:pPr>
              <w:jc w:val="center"/>
              <w:rPr>
                <w:color w:val="000000" w:themeColor="text1"/>
                <w:sz w:val="21"/>
                <w:szCs w:val="21"/>
              </w:rPr>
            </w:pPr>
            <w:r>
              <w:rPr>
                <w:rFonts w:eastAsia="仿宋_GB2312"/>
                <w:color w:val="000000" w:themeColor="text1"/>
                <w:sz w:val="21"/>
                <w:szCs w:val="21"/>
              </w:rPr>
              <w:t>科研勘测设计费</w:t>
            </w:r>
          </w:p>
        </w:tc>
        <w:tc>
          <w:tcPr>
            <w:tcW w:w="1341" w:type="dxa"/>
            <w:tcBorders>
              <w:tl2br w:val="nil"/>
              <w:tr2bl w:val="nil"/>
            </w:tcBorders>
            <w:vAlign w:val="center"/>
          </w:tcPr>
          <w:p>
            <w:pPr>
              <w:jc w:val="center"/>
              <w:rPr>
                <w:color w:val="000000" w:themeColor="text1"/>
                <w:sz w:val="21"/>
                <w:szCs w:val="21"/>
              </w:rPr>
            </w:pPr>
            <w:r>
              <w:rPr>
                <w:color w:val="000000" w:themeColor="text1"/>
                <w:sz w:val="21"/>
                <w:szCs w:val="21"/>
              </w:rPr>
              <w:t>　</w:t>
            </w:r>
          </w:p>
        </w:tc>
        <w:tc>
          <w:tcPr>
            <w:tcW w:w="1417" w:type="dxa"/>
            <w:tcBorders>
              <w:tl2br w:val="nil"/>
              <w:tr2bl w:val="nil"/>
            </w:tcBorders>
            <w:vAlign w:val="center"/>
          </w:tcPr>
          <w:p>
            <w:pPr>
              <w:jc w:val="center"/>
              <w:rPr>
                <w:color w:val="000000" w:themeColor="text1"/>
                <w:sz w:val="21"/>
                <w:szCs w:val="21"/>
              </w:rPr>
            </w:pPr>
            <w:r>
              <w:rPr>
                <w:color w:val="000000" w:themeColor="text1"/>
                <w:sz w:val="21"/>
                <w:szCs w:val="21"/>
              </w:rPr>
              <w:t>　</w:t>
            </w:r>
          </w:p>
        </w:tc>
        <w:tc>
          <w:tcPr>
            <w:tcW w:w="1134" w:type="dxa"/>
            <w:tcBorders>
              <w:tl2br w:val="nil"/>
              <w:tr2bl w:val="nil"/>
            </w:tcBorders>
            <w:vAlign w:val="center"/>
          </w:tcPr>
          <w:p>
            <w:pPr>
              <w:jc w:val="center"/>
              <w:rPr>
                <w:color w:val="000000" w:themeColor="text1"/>
                <w:sz w:val="21"/>
                <w:szCs w:val="21"/>
              </w:rPr>
            </w:pPr>
            <w:r>
              <w:rPr>
                <w:rFonts w:hint="eastAsia"/>
                <w:bCs/>
                <w:color w:val="000000" w:themeColor="text1"/>
                <w:sz w:val="21"/>
                <w:szCs w:val="21"/>
              </w:rPr>
              <w:t>5.00</w:t>
            </w:r>
          </w:p>
        </w:tc>
        <w:tc>
          <w:tcPr>
            <w:tcW w:w="1360" w:type="dxa"/>
            <w:tcBorders>
              <w:tl2br w:val="nil"/>
              <w:tr2bl w:val="nil"/>
            </w:tcBorders>
            <w:vAlign w:val="center"/>
          </w:tcPr>
          <w:p>
            <w:pPr>
              <w:jc w:val="center"/>
              <w:rPr>
                <w:color w:val="000000" w:themeColor="text1"/>
                <w:sz w:val="21"/>
                <w:szCs w:val="21"/>
              </w:rPr>
            </w:pPr>
            <w:r>
              <w:rPr>
                <w:rFonts w:hint="eastAsia"/>
                <w:bCs/>
                <w:color w:val="000000" w:themeColor="text1"/>
                <w:sz w:val="21"/>
                <w:szCs w:val="21"/>
              </w:rPr>
              <w:t>5.00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2" w:type="dxa"/>
            <w:tcBorders>
              <w:tl2br w:val="nil"/>
              <w:tr2bl w:val="nil"/>
            </w:tcBorders>
            <w:vAlign w:val="center"/>
          </w:tcPr>
          <w:p>
            <w:pPr>
              <w:jc w:val="center"/>
              <w:rPr>
                <w:color w:val="000000" w:themeColor="text1"/>
                <w:sz w:val="21"/>
                <w:szCs w:val="21"/>
              </w:rPr>
            </w:pPr>
            <w:r>
              <w:rPr>
                <w:color w:val="000000" w:themeColor="text1"/>
                <w:sz w:val="21"/>
                <w:szCs w:val="21"/>
              </w:rPr>
              <w:t>4</w:t>
            </w:r>
          </w:p>
        </w:tc>
        <w:tc>
          <w:tcPr>
            <w:tcW w:w="2424" w:type="dxa"/>
            <w:tcBorders>
              <w:tl2br w:val="nil"/>
              <w:tr2bl w:val="nil"/>
            </w:tcBorders>
            <w:vAlign w:val="center"/>
          </w:tcPr>
          <w:p>
            <w:pPr>
              <w:jc w:val="center"/>
              <w:rPr>
                <w:rFonts w:eastAsia="仿宋_GB2312"/>
                <w:color w:val="000000" w:themeColor="text1"/>
                <w:sz w:val="21"/>
                <w:szCs w:val="21"/>
              </w:rPr>
            </w:pPr>
            <w:r>
              <w:rPr>
                <w:rFonts w:eastAsia="仿宋_GB2312"/>
                <w:color w:val="000000" w:themeColor="text1"/>
                <w:sz w:val="21"/>
                <w:szCs w:val="21"/>
              </w:rPr>
              <w:t>水土保持监测费</w:t>
            </w:r>
          </w:p>
        </w:tc>
        <w:tc>
          <w:tcPr>
            <w:tcW w:w="1341" w:type="dxa"/>
            <w:tcBorders>
              <w:tl2br w:val="nil"/>
              <w:tr2bl w:val="nil"/>
            </w:tcBorders>
            <w:vAlign w:val="center"/>
          </w:tcPr>
          <w:p>
            <w:pPr>
              <w:jc w:val="center"/>
              <w:rPr>
                <w:color w:val="000000" w:themeColor="text1"/>
                <w:sz w:val="21"/>
                <w:szCs w:val="21"/>
              </w:rPr>
            </w:pPr>
            <w:r>
              <w:rPr>
                <w:color w:val="000000" w:themeColor="text1"/>
                <w:sz w:val="21"/>
                <w:szCs w:val="21"/>
              </w:rPr>
              <w:t>　</w:t>
            </w:r>
          </w:p>
        </w:tc>
        <w:tc>
          <w:tcPr>
            <w:tcW w:w="1417" w:type="dxa"/>
            <w:tcBorders>
              <w:tl2br w:val="nil"/>
              <w:tr2bl w:val="nil"/>
            </w:tcBorders>
            <w:vAlign w:val="center"/>
          </w:tcPr>
          <w:p>
            <w:pPr>
              <w:jc w:val="center"/>
              <w:rPr>
                <w:color w:val="000000" w:themeColor="text1"/>
                <w:sz w:val="21"/>
                <w:szCs w:val="21"/>
              </w:rPr>
            </w:pPr>
            <w:r>
              <w:rPr>
                <w:color w:val="000000" w:themeColor="text1"/>
                <w:sz w:val="21"/>
                <w:szCs w:val="21"/>
              </w:rPr>
              <w:t>　</w:t>
            </w:r>
          </w:p>
        </w:tc>
        <w:tc>
          <w:tcPr>
            <w:tcW w:w="1134" w:type="dxa"/>
            <w:tcBorders>
              <w:tl2br w:val="nil"/>
              <w:tr2bl w:val="nil"/>
            </w:tcBorders>
            <w:vAlign w:val="center"/>
          </w:tcPr>
          <w:p>
            <w:pPr>
              <w:jc w:val="center"/>
              <w:rPr>
                <w:color w:val="000000" w:themeColor="text1"/>
                <w:sz w:val="21"/>
                <w:szCs w:val="21"/>
              </w:rPr>
            </w:pPr>
            <w:r>
              <w:rPr>
                <w:rFonts w:hint="eastAsia"/>
                <w:bCs/>
                <w:color w:val="000000" w:themeColor="text1"/>
                <w:sz w:val="21"/>
                <w:szCs w:val="21"/>
              </w:rPr>
              <w:t>6.21</w:t>
            </w:r>
          </w:p>
        </w:tc>
        <w:tc>
          <w:tcPr>
            <w:tcW w:w="1360" w:type="dxa"/>
            <w:tcBorders>
              <w:tl2br w:val="nil"/>
              <w:tr2bl w:val="nil"/>
            </w:tcBorders>
            <w:vAlign w:val="center"/>
          </w:tcPr>
          <w:p>
            <w:pPr>
              <w:jc w:val="center"/>
              <w:rPr>
                <w:color w:val="000000" w:themeColor="text1"/>
                <w:sz w:val="21"/>
                <w:szCs w:val="21"/>
              </w:rPr>
            </w:pPr>
            <w:r>
              <w:rPr>
                <w:rFonts w:hint="eastAsia"/>
                <w:bCs/>
                <w:color w:val="000000" w:themeColor="text1"/>
                <w:sz w:val="21"/>
                <w:szCs w:val="21"/>
              </w:rPr>
              <w:t>6.21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2" w:type="dxa"/>
            <w:tcBorders>
              <w:tl2br w:val="nil"/>
              <w:tr2bl w:val="nil"/>
            </w:tcBorders>
            <w:vAlign w:val="center"/>
          </w:tcPr>
          <w:p>
            <w:pPr>
              <w:jc w:val="center"/>
              <w:rPr>
                <w:color w:val="000000" w:themeColor="text1"/>
                <w:sz w:val="21"/>
                <w:szCs w:val="21"/>
              </w:rPr>
            </w:pPr>
            <w:r>
              <w:rPr>
                <w:color w:val="000000" w:themeColor="text1"/>
                <w:sz w:val="21"/>
                <w:szCs w:val="21"/>
              </w:rPr>
              <w:t>5</w:t>
            </w:r>
          </w:p>
        </w:tc>
        <w:tc>
          <w:tcPr>
            <w:tcW w:w="2424" w:type="dxa"/>
            <w:tcBorders>
              <w:tl2br w:val="nil"/>
              <w:tr2bl w:val="nil"/>
            </w:tcBorders>
            <w:vAlign w:val="center"/>
          </w:tcPr>
          <w:p>
            <w:pPr>
              <w:jc w:val="center"/>
              <w:rPr>
                <w:rFonts w:eastAsia="仿宋_GB2312"/>
                <w:color w:val="000000" w:themeColor="text1"/>
                <w:sz w:val="21"/>
                <w:szCs w:val="21"/>
              </w:rPr>
            </w:pPr>
            <w:r>
              <w:rPr>
                <w:rFonts w:eastAsia="仿宋_GB2312"/>
                <w:color w:val="000000" w:themeColor="text1"/>
                <w:sz w:val="21"/>
                <w:szCs w:val="21"/>
              </w:rPr>
              <w:t>水土保持设施验收费</w:t>
            </w:r>
          </w:p>
        </w:tc>
        <w:tc>
          <w:tcPr>
            <w:tcW w:w="1341" w:type="dxa"/>
            <w:tcBorders>
              <w:tl2br w:val="nil"/>
              <w:tr2bl w:val="nil"/>
            </w:tcBorders>
            <w:vAlign w:val="center"/>
          </w:tcPr>
          <w:p>
            <w:pPr>
              <w:jc w:val="center"/>
              <w:rPr>
                <w:color w:val="000000" w:themeColor="text1"/>
                <w:sz w:val="21"/>
                <w:szCs w:val="21"/>
              </w:rPr>
            </w:pPr>
            <w:r>
              <w:rPr>
                <w:color w:val="000000" w:themeColor="text1"/>
                <w:sz w:val="21"/>
                <w:szCs w:val="21"/>
              </w:rPr>
              <w:t>　</w:t>
            </w:r>
          </w:p>
        </w:tc>
        <w:tc>
          <w:tcPr>
            <w:tcW w:w="1417" w:type="dxa"/>
            <w:tcBorders>
              <w:tl2br w:val="nil"/>
              <w:tr2bl w:val="nil"/>
            </w:tcBorders>
            <w:vAlign w:val="center"/>
          </w:tcPr>
          <w:p>
            <w:pPr>
              <w:jc w:val="center"/>
              <w:rPr>
                <w:color w:val="000000" w:themeColor="text1"/>
                <w:sz w:val="21"/>
                <w:szCs w:val="21"/>
              </w:rPr>
            </w:pPr>
            <w:r>
              <w:rPr>
                <w:color w:val="000000" w:themeColor="text1"/>
                <w:sz w:val="21"/>
                <w:szCs w:val="21"/>
              </w:rPr>
              <w:t>　</w:t>
            </w:r>
          </w:p>
        </w:tc>
        <w:tc>
          <w:tcPr>
            <w:tcW w:w="1134" w:type="dxa"/>
            <w:tcBorders>
              <w:tl2br w:val="nil"/>
              <w:tr2bl w:val="nil"/>
            </w:tcBorders>
            <w:vAlign w:val="center"/>
          </w:tcPr>
          <w:p>
            <w:pPr>
              <w:jc w:val="center"/>
              <w:rPr>
                <w:color w:val="000000" w:themeColor="text1"/>
                <w:sz w:val="21"/>
                <w:szCs w:val="21"/>
              </w:rPr>
            </w:pPr>
            <w:r>
              <w:rPr>
                <w:bCs/>
                <w:color w:val="000000" w:themeColor="text1"/>
                <w:sz w:val="21"/>
                <w:szCs w:val="21"/>
              </w:rPr>
              <w:t>6</w:t>
            </w:r>
            <w:r>
              <w:rPr>
                <w:rFonts w:hint="eastAsia"/>
                <w:bCs/>
                <w:color w:val="000000" w:themeColor="text1"/>
                <w:sz w:val="21"/>
                <w:szCs w:val="21"/>
              </w:rPr>
              <w:t>.00</w:t>
            </w:r>
          </w:p>
        </w:tc>
        <w:tc>
          <w:tcPr>
            <w:tcW w:w="1360" w:type="dxa"/>
            <w:tcBorders>
              <w:tl2br w:val="nil"/>
              <w:tr2bl w:val="nil"/>
            </w:tcBorders>
            <w:vAlign w:val="center"/>
          </w:tcPr>
          <w:p>
            <w:pPr>
              <w:jc w:val="center"/>
              <w:rPr>
                <w:color w:val="000000" w:themeColor="text1"/>
                <w:sz w:val="21"/>
                <w:szCs w:val="21"/>
              </w:rPr>
            </w:pPr>
            <w:r>
              <w:rPr>
                <w:bCs/>
                <w:color w:val="000000" w:themeColor="text1"/>
                <w:sz w:val="21"/>
                <w:szCs w:val="21"/>
              </w:rPr>
              <w:t>6</w:t>
            </w:r>
            <w:r>
              <w:rPr>
                <w:rFonts w:hint="eastAsia"/>
                <w:bCs/>
                <w:color w:val="000000" w:themeColor="text1"/>
                <w:sz w:val="21"/>
                <w:szCs w:val="21"/>
              </w:rPr>
              <w:t>.00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2" w:type="dxa"/>
            <w:tcBorders>
              <w:tl2br w:val="nil"/>
              <w:tr2bl w:val="nil"/>
            </w:tcBorders>
            <w:vAlign w:val="center"/>
          </w:tcPr>
          <w:p>
            <w:pPr>
              <w:jc w:val="center"/>
              <w:rPr>
                <w:color w:val="000000" w:themeColor="text1"/>
                <w:sz w:val="21"/>
                <w:szCs w:val="21"/>
              </w:rPr>
            </w:pPr>
            <w:r>
              <w:rPr>
                <w:color w:val="000000" w:themeColor="text1"/>
                <w:sz w:val="21"/>
                <w:szCs w:val="21"/>
              </w:rPr>
              <w:t>　</w:t>
            </w:r>
          </w:p>
        </w:tc>
        <w:tc>
          <w:tcPr>
            <w:tcW w:w="2424" w:type="dxa"/>
            <w:tcBorders>
              <w:tl2br w:val="nil"/>
              <w:tr2bl w:val="nil"/>
            </w:tcBorders>
            <w:vAlign w:val="center"/>
          </w:tcPr>
          <w:p>
            <w:pPr>
              <w:jc w:val="center"/>
              <w:rPr>
                <w:color w:val="000000" w:themeColor="text1"/>
                <w:sz w:val="21"/>
                <w:szCs w:val="21"/>
              </w:rPr>
            </w:pPr>
            <w:r>
              <w:rPr>
                <w:rFonts w:eastAsia="仿宋_GB2312"/>
                <w:color w:val="000000" w:themeColor="text1"/>
                <w:sz w:val="21"/>
                <w:szCs w:val="21"/>
              </w:rPr>
              <w:t>一至四部分合计</w:t>
            </w:r>
          </w:p>
        </w:tc>
        <w:tc>
          <w:tcPr>
            <w:tcW w:w="1341" w:type="dxa"/>
            <w:tcBorders>
              <w:tl2br w:val="nil"/>
              <w:tr2bl w:val="nil"/>
            </w:tcBorders>
            <w:vAlign w:val="center"/>
          </w:tcPr>
          <w:p>
            <w:pPr>
              <w:jc w:val="center"/>
              <w:rPr>
                <w:color w:val="000000" w:themeColor="text1"/>
                <w:sz w:val="21"/>
                <w:szCs w:val="21"/>
              </w:rPr>
            </w:pPr>
            <w:r>
              <w:rPr>
                <w:color w:val="000000" w:themeColor="text1"/>
                <w:sz w:val="21"/>
                <w:szCs w:val="21"/>
              </w:rPr>
              <w:t>　</w:t>
            </w:r>
          </w:p>
        </w:tc>
        <w:tc>
          <w:tcPr>
            <w:tcW w:w="1417" w:type="dxa"/>
            <w:tcBorders>
              <w:tl2br w:val="nil"/>
              <w:tr2bl w:val="nil"/>
            </w:tcBorders>
            <w:vAlign w:val="center"/>
          </w:tcPr>
          <w:p>
            <w:pPr>
              <w:jc w:val="center"/>
              <w:rPr>
                <w:color w:val="000000" w:themeColor="text1"/>
                <w:sz w:val="21"/>
                <w:szCs w:val="21"/>
              </w:rPr>
            </w:pPr>
            <w:r>
              <w:rPr>
                <w:color w:val="000000" w:themeColor="text1"/>
                <w:sz w:val="21"/>
                <w:szCs w:val="21"/>
              </w:rPr>
              <w:t>　</w:t>
            </w:r>
          </w:p>
        </w:tc>
        <w:tc>
          <w:tcPr>
            <w:tcW w:w="1134" w:type="dxa"/>
            <w:tcBorders>
              <w:tl2br w:val="nil"/>
              <w:tr2bl w:val="nil"/>
            </w:tcBorders>
            <w:vAlign w:val="center"/>
          </w:tcPr>
          <w:p>
            <w:pPr>
              <w:jc w:val="center"/>
              <w:rPr>
                <w:color w:val="000000" w:themeColor="text1"/>
                <w:sz w:val="21"/>
                <w:szCs w:val="21"/>
              </w:rPr>
            </w:pPr>
            <w:r>
              <w:rPr>
                <w:color w:val="000000" w:themeColor="text1"/>
                <w:sz w:val="21"/>
                <w:szCs w:val="21"/>
              </w:rPr>
              <w:t>　</w:t>
            </w:r>
          </w:p>
        </w:tc>
        <w:tc>
          <w:tcPr>
            <w:tcW w:w="1360" w:type="dxa"/>
            <w:tcBorders>
              <w:tl2br w:val="nil"/>
              <w:tr2bl w:val="nil"/>
            </w:tcBorders>
            <w:vAlign w:val="center"/>
          </w:tcPr>
          <w:p>
            <w:pPr>
              <w:jc w:val="center"/>
              <w:rPr>
                <w:rFonts w:hint="default" w:eastAsia="宋体"/>
                <w:color w:val="000000" w:themeColor="text1"/>
                <w:sz w:val="21"/>
                <w:szCs w:val="21"/>
                <w:lang w:val="en-US" w:eastAsia="zh-CN"/>
              </w:rPr>
            </w:pPr>
            <w:r>
              <w:rPr>
                <w:rFonts w:hint="eastAsia"/>
                <w:color w:val="000000" w:themeColor="text1"/>
                <w:sz w:val="21"/>
                <w:szCs w:val="21"/>
                <w:lang w:val="en-US" w:eastAsia="zh-CN"/>
              </w:rPr>
              <w:t>55.20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12" w:type="dxa"/>
            <w:tcBorders>
              <w:tl2br w:val="nil"/>
              <w:tr2bl w:val="nil"/>
            </w:tcBorders>
            <w:vAlign w:val="center"/>
          </w:tcPr>
          <w:p>
            <w:pPr>
              <w:jc w:val="center"/>
              <w:rPr>
                <w:color w:val="000000" w:themeColor="text1"/>
                <w:sz w:val="21"/>
                <w:szCs w:val="21"/>
              </w:rPr>
            </w:pPr>
            <w:r>
              <w:rPr>
                <w:rFonts w:eastAsia="仿宋_GB2312"/>
                <w:color w:val="000000" w:themeColor="text1"/>
                <w:sz w:val="21"/>
                <w:szCs w:val="21"/>
              </w:rPr>
              <w:t>第五部分</w:t>
            </w:r>
            <w:r>
              <w:rPr>
                <w:color w:val="000000" w:themeColor="text1"/>
                <w:sz w:val="21"/>
                <w:szCs w:val="21"/>
              </w:rPr>
              <w:t xml:space="preserve"> </w:t>
            </w:r>
          </w:p>
        </w:tc>
        <w:tc>
          <w:tcPr>
            <w:tcW w:w="2424" w:type="dxa"/>
            <w:tcBorders>
              <w:tl2br w:val="nil"/>
              <w:tr2bl w:val="nil"/>
            </w:tcBorders>
            <w:vAlign w:val="center"/>
          </w:tcPr>
          <w:p>
            <w:pPr>
              <w:jc w:val="center"/>
              <w:rPr>
                <w:color w:val="000000" w:themeColor="text1"/>
                <w:sz w:val="21"/>
                <w:szCs w:val="21"/>
              </w:rPr>
            </w:pPr>
            <w:r>
              <w:rPr>
                <w:rFonts w:eastAsia="仿宋_GB2312"/>
                <w:color w:val="000000" w:themeColor="text1"/>
                <w:sz w:val="21"/>
                <w:szCs w:val="21"/>
              </w:rPr>
              <w:t>基本预备费</w:t>
            </w:r>
          </w:p>
        </w:tc>
        <w:tc>
          <w:tcPr>
            <w:tcW w:w="1341" w:type="dxa"/>
            <w:tcBorders>
              <w:tl2br w:val="nil"/>
              <w:tr2bl w:val="nil"/>
            </w:tcBorders>
            <w:vAlign w:val="center"/>
          </w:tcPr>
          <w:p>
            <w:pPr>
              <w:jc w:val="center"/>
              <w:rPr>
                <w:color w:val="000000" w:themeColor="text1"/>
                <w:sz w:val="21"/>
                <w:szCs w:val="21"/>
              </w:rPr>
            </w:pPr>
            <w:r>
              <w:rPr>
                <w:color w:val="000000" w:themeColor="text1"/>
                <w:sz w:val="21"/>
                <w:szCs w:val="21"/>
              </w:rPr>
              <w:t>　</w:t>
            </w:r>
          </w:p>
        </w:tc>
        <w:tc>
          <w:tcPr>
            <w:tcW w:w="1417" w:type="dxa"/>
            <w:tcBorders>
              <w:tl2br w:val="nil"/>
              <w:tr2bl w:val="nil"/>
            </w:tcBorders>
            <w:vAlign w:val="center"/>
          </w:tcPr>
          <w:p>
            <w:pPr>
              <w:jc w:val="center"/>
              <w:rPr>
                <w:color w:val="000000" w:themeColor="text1"/>
                <w:sz w:val="21"/>
                <w:szCs w:val="21"/>
              </w:rPr>
            </w:pPr>
            <w:r>
              <w:rPr>
                <w:color w:val="000000" w:themeColor="text1"/>
                <w:sz w:val="21"/>
                <w:szCs w:val="21"/>
              </w:rPr>
              <w:t>　</w:t>
            </w:r>
          </w:p>
        </w:tc>
        <w:tc>
          <w:tcPr>
            <w:tcW w:w="1134" w:type="dxa"/>
            <w:tcBorders>
              <w:tl2br w:val="nil"/>
              <w:tr2bl w:val="nil"/>
            </w:tcBorders>
            <w:vAlign w:val="center"/>
          </w:tcPr>
          <w:p>
            <w:pPr>
              <w:jc w:val="center"/>
              <w:rPr>
                <w:color w:val="000000" w:themeColor="text1"/>
                <w:sz w:val="21"/>
                <w:szCs w:val="21"/>
              </w:rPr>
            </w:pPr>
            <w:r>
              <w:rPr>
                <w:color w:val="000000" w:themeColor="text1"/>
                <w:sz w:val="21"/>
                <w:szCs w:val="21"/>
              </w:rPr>
              <w:t>　</w:t>
            </w:r>
          </w:p>
        </w:tc>
        <w:tc>
          <w:tcPr>
            <w:tcW w:w="1360" w:type="dxa"/>
            <w:tcBorders>
              <w:tl2br w:val="nil"/>
              <w:tr2bl w:val="nil"/>
            </w:tcBorders>
            <w:vAlign w:val="center"/>
          </w:tcPr>
          <w:p>
            <w:pPr>
              <w:jc w:val="center"/>
              <w:rPr>
                <w:color w:val="000000" w:themeColor="text1"/>
                <w:sz w:val="21"/>
                <w:szCs w:val="21"/>
              </w:rPr>
            </w:pPr>
            <w:r>
              <w:rPr>
                <w:rFonts w:hint="eastAsia"/>
                <w:color w:val="000000" w:themeColor="text1"/>
                <w:sz w:val="21"/>
                <w:szCs w:val="21"/>
              </w:rPr>
              <w:t>1.36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212" w:type="dxa"/>
            <w:tcBorders>
              <w:tl2br w:val="nil"/>
              <w:tr2bl w:val="nil"/>
            </w:tcBorders>
            <w:vAlign w:val="center"/>
          </w:tcPr>
          <w:p>
            <w:pPr>
              <w:jc w:val="center"/>
              <w:rPr>
                <w:color w:val="000000" w:themeColor="text1"/>
                <w:sz w:val="21"/>
                <w:szCs w:val="21"/>
              </w:rPr>
            </w:pPr>
            <w:r>
              <w:rPr>
                <w:rFonts w:eastAsia="仿宋_GB2312"/>
                <w:color w:val="000000" w:themeColor="text1"/>
                <w:sz w:val="21"/>
                <w:szCs w:val="21"/>
              </w:rPr>
              <w:t>第六部分</w:t>
            </w:r>
            <w:r>
              <w:rPr>
                <w:color w:val="000000" w:themeColor="text1"/>
                <w:sz w:val="21"/>
                <w:szCs w:val="21"/>
              </w:rPr>
              <w:t xml:space="preserve"> </w:t>
            </w:r>
          </w:p>
        </w:tc>
        <w:tc>
          <w:tcPr>
            <w:tcW w:w="2424" w:type="dxa"/>
            <w:tcBorders>
              <w:tl2br w:val="nil"/>
              <w:tr2bl w:val="nil"/>
            </w:tcBorders>
            <w:vAlign w:val="center"/>
          </w:tcPr>
          <w:p>
            <w:pPr>
              <w:jc w:val="center"/>
              <w:rPr>
                <w:color w:val="000000" w:themeColor="text1"/>
                <w:sz w:val="21"/>
                <w:szCs w:val="21"/>
              </w:rPr>
            </w:pPr>
            <w:r>
              <w:rPr>
                <w:rFonts w:eastAsia="仿宋_GB2312"/>
                <w:color w:val="000000" w:themeColor="text1"/>
                <w:sz w:val="21"/>
                <w:szCs w:val="21"/>
              </w:rPr>
              <w:t>水土保持补偿费</w:t>
            </w:r>
          </w:p>
        </w:tc>
        <w:tc>
          <w:tcPr>
            <w:tcW w:w="1341" w:type="dxa"/>
            <w:tcBorders>
              <w:tl2br w:val="nil"/>
              <w:tr2bl w:val="nil"/>
            </w:tcBorders>
            <w:vAlign w:val="center"/>
          </w:tcPr>
          <w:p>
            <w:pPr>
              <w:jc w:val="center"/>
              <w:rPr>
                <w:color w:val="000000" w:themeColor="text1"/>
                <w:sz w:val="21"/>
                <w:szCs w:val="21"/>
              </w:rPr>
            </w:pPr>
            <w:r>
              <w:rPr>
                <w:color w:val="000000" w:themeColor="text1"/>
                <w:sz w:val="21"/>
                <w:szCs w:val="21"/>
              </w:rPr>
              <w:t>　</w:t>
            </w:r>
          </w:p>
        </w:tc>
        <w:tc>
          <w:tcPr>
            <w:tcW w:w="1417" w:type="dxa"/>
            <w:tcBorders>
              <w:tl2br w:val="nil"/>
              <w:tr2bl w:val="nil"/>
            </w:tcBorders>
            <w:vAlign w:val="center"/>
          </w:tcPr>
          <w:p>
            <w:pPr>
              <w:jc w:val="center"/>
              <w:rPr>
                <w:color w:val="000000" w:themeColor="text1"/>
                <w:sz w:val="21"/>
                <w:szCs w:val="21"/>
              </w:rPr>
            </w:pPr>
            <w:r>
              <w:rPr>
                <w:color w:val="000000" w:themeColor="text1"/>
                <w:sz w:val="21"/>
                <w:szCs w:val="21"/>
              </w:rPr>
              <w:t>　</w:t>
            </w:r>
          </w:p>
        </w:tc>
        <w:tc>
          <w:tcPr>
            <w:tcW w:w="1134" w:type="dxa"/>
            <w:tcBorders>
              <w:tl2br w:val="nil"/>
              <w:tr2bl w:val="nil"/>
            </w:tcBorders>
            <w:vAlign w:val="center"/>
          </w:tcPr>
          <w:p>
            <w:pPr>
              <w:jc w:val="center"/>
              <w:rPr>
                <w:color w:val="000000" w:themeColor="text1"/>
                <w:sz w:val="21"/>
                <w:szCs w:val="21"/>
              </w:rPr>
            </w:pPr>
          </w:p>
        </w:tc>
        <w:tc>
          <w:tcPr>
            <w:tcW w:w="1360" w:type="dxa"/>
            <w:tcBorders>
              <w:tl2br w:val="nil"/>
              <w:tr2bl w:val="nil"/>
            </w:tcBorders>
            <w:vAlign w:val="center"/>
          </w:tcPr>
          <w:p>
            <w:pPr>
              <w:jc w:val="center"/>
              <w:rPr>
                <w:rFonts w:hint="default" w:eastAsia="宋体"/>
                <w:color w:val="000000" w:themeColor="text1"/>
                <w:sz w:val="21"/>
                <w:szCs w:val="21"/>
                <w:highlight w:val="yellow"/>
                <w:lang w:val="en-US" w:eastAsia="zh-CN"/>
              </w:rPr>
            </w:pPr>
            <w:r>
              <w:rPr>
                <w:rFonts w:hint="eastAsia"/>
                <w:color w:val="000000" w:themeColor="text1"/>
                <w:sz w:val="21"/>
                <w:szCs w:val="21"/>
                <w:lang w:val="en-US" w:eastAsia="zh-CN"/>
              </w:rPr>
              <w:t>0.59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36" w:type="dxa"/>
            <w:gridSpan w:val="2"/>
            <w:tcBorders>
              <w:tl2br w:val="nil"/>
              <w:tr2bl w:val="nil"/>
            </w:tcBorders>
            <w:vAlign w:val="center"/>
          </w:tcPr>
          <w:p>
            <w:pPr>
              <w:widowControl/>
              <w:jc w:val="center"/>
              <w:rPr>
                <w:color w:val="000000" w:themeColor="text1"/>
                <w:sz w:val="21"/>
                <w:szCs w:val="21"/>
              </w:rPr>
            </w:pPr>
            <w:r>
              <w:rPr>
                <w:rFonts w:eastAsia="仿宋_GB2312"/>
                <w:color w:val="000000" w:themeColor="text1"/>
                <w:sz w:val="21"/>
                <w:szCs w:val="21"/>
              </w:rPr>
              <w:t>工程总投资</w:t>
            </w:r>
          </w:p>
        </w:tc>
        <w:tc>
          <w:tcPr>
            <w:tcW w:w="1341" w:type="dxa"/>
            <w:tcBorders>
              <w:tl2br w:val="nil"/>
              <w:tr2bl w:val="nil"/>
            </w:tcBorders>
            <w:vAlign w:val="center"/>
          </w:tcPr>
          <w:p>
            <w:pPr>
              <w:widowControl/>
              <w:jc w:val="center"/>
              <w:rPr>
                <w:color w:val="000000" w:themeColor="text1"/>
                <w:sz w:val="21"/>
                <w:szCs w:val="21"/>
              </w:rPr>
            </w:pPr>
          </w:p>
        </w:tc>
        <w:tc>
          <w:tcPr>
            <w:tcW w:w="1417" w:type="dxa"/>
            <w:tcBorders>
              <w:tl2br w:val="nil"/>
              <w:tr2bl w:val="nil"/>
            </w:tcBorders>
            <w:vAlign w:val="center"/>
          </w:tcPr>
          <w:p>
            <w:pPr>
              <w:widowControl/>
              <w:jc w:val="center"/>
              <w:rPr>
                <w:color w:val="000000" w:themeColor="text1"/>
                <w:sz w:val="21"/>
                <w:szCs w:val="21"/>
              </w:rPr>
            </w:pPr>
          </w:p>
        </w:tc>
        <w:tc>
          <w:tcPr>
            <w:tcW w:w="1134" w:type="dxa"/>
            <w:tcBorders>
              <w:tl2br w:val="nil"/>
              <w:tr2bl w:val="nil"/>
            </w:tcBorders>
            <w:vAlign w:val="center"/>
          </w:tcPr>
          <w:p>
            <w:pPr>
              <w:widowControl/>
              <w:jc w:val="center"/>
              <w:rPr>
                <w:color w:val="000000" w:themeColor="text1"/>
                <w:sz w:val="21"/>
                <w:szCs w:val="21"/>
              </w:rPr>
            </w:pPr>
          </w:p>
        </w:tc>
        <w:tc>
          <w:tcPr>
            <w:tcW w:w="1360" w:type="dxa"/>
            <w:tcBorders>
              <w:tl2br w:val="nil"/>
              <w:tr2bl w:val="nil"/>
            </w:tcBorders>
            <w:vAlign w:val="center"/>
          </w:tcPr>
          <w:p>
            <w:pPr>
              <w:jc w:val="center"/>
              <w:rPr>
                <w:rFonts w:hint="default" w:eastAsia="宋体"/>
                <w:color w:val="000000" w:themeColor="text1"/>
                <w:sz w:val="21"/>
                <w:szCs w:val="21"/>
                <w:highlight w:val="yellow"/>
                <w:lang w:val="en-US" w:eastAsia="zh-CN"/>
              </w:rPr>
            </w:pPr>
            <w:r>
              <w:rPr>
                <w:rFonts w:hint="eastAsia"/>
                <w:color w:val="000000" w:themeColor="text1"/>
                <w:sz w:val="21"/>
                <w:szCs w:val="21"/>
                <w:lang w:val="en-US" w:eastAsia="zh-CN"/>
              </w:rPr>
              <w:t>57.15</w:t>
            </w:r>
          </w:p>
        </w:tc>
      </w:tr>
    </w:tbl>
    <w:p>
      <w:pPr>
        <w:spacing w:before="120" w:beforeLines="50" w:line="360" w:lineRule="auto"/>
        <w:jc w:val="center"/>
        <w:rPr>
          <w:rFonts w:eastAsia="仿宋_GB2312"/>
          <w:b/>
          <w:bCs/>
          <w:color w:val="000000" w:themeColor="text1"/>
          <w:szCs w:val="24"/>
        </w:rPr>
      </w:pPr>
      <w:r>
        <w:rPr>
          <w:rFonts w:eastAsia="仿宋_GB2312"/>
          <w:b/>
          <w:bCs/>
          <w:color w:val="000000" w:themeColor="text1"/>
          <w:szCs w:val="24"/>
        </w:rPr>
        <w:t>表7-2    水土保持工程措施投资估算表     单位：</w:t>
      </w:r>
      <w:r>
        <w:rPr>
          <w:rFonts w:hint="eastAsia" w:eastAsia="仿宋_GB2312"/>
          <w:b/>
          <w:bCs/>
          <w:color w:val="000000" w:themeColor="text1"/>
          <w:szCs w:val="24"/>
        </w:rPr>
        <w:t>万</w:t>
      </w:r>
      <w:r>
        <w:rPr>
          <w:rFonts w:eastAsia="仿宋_GB2312"/>
          <w:b/>
          <w:bCs/>
          <w:color w:val="000000" w:themeColor="text1"/>
          <w:szCs w:val="24"/>
        </w:rPr>
        <w:t>元</w:t>
      </w:r>
    </w:p>
    <w:tbl>
      <w:tblPr>
        <w:tblStyle w:val="2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77"/>
        <w:gridCol w:w="2040"/>
        <w:gridCol w:w="1361"/>
        <w:gridCol w:w="1322"/>
        <w:gridCol w:w="1283"/>
        <w:gridCol w:w="13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77" w:type="dxa"/>
            <w:tcBorders>
              <w:tl2br w:val="nil"/>
              <w:tr2bl w:val="nil"/>
            </w:tcBorders>
            <w:vAlign w:val="center"/>
          </w:tcPr>
          <w:p>
            <w:pPr>
              <w:widowControl/>
              <w:jc w:val="center"/>
              <w:rPr>
                <w:rFonts w:eastAsia="仿宋_GB2312"/>
                <w:bCs/>
                <w:color w:val="000000" w:themeColor="text1"/>
                <w:sz w:val="21"/>
                <w:szCs w:val="21"/>
              </w:rPr>
            </w:pPr>
            <w:r>
              <w:rPr>
                <w:rFonts w:eastAsia="仿宋_GB2312"/>
                <w:bCs/>
                <w:color w:val="000000" w:themeColor="text1"/>
                <w:sz w:val="21"/>
                <w:szCs w:val="21"/>
              </w:rPr>
              <w:t>序号</w:t>
            </w:r>
          </w:p>
        </w:tc>
        <w:tc>
          <w:tcPr>
            <w:tcW w:w="2040" w:type="dxa"/>
            <w:tcBorders>
              <w:tl2br w:val="nil"/>
              <w:tr2bl w:val="nil"/>
            </w:tcBorders>
            <w:vAlign w:val="center"/>
          </w:tcPr>
          <w:p>
            <w:pPr>
              <w:widowControl/>
              <w:jc w:val="center"/>
              <w:rPr>
                <w:rFonts w:eastAsia="仿宋_GB2312"/>
                <w:bCs/>
                <w:color w:val="000000" w:themeColor="text1"/>
                <w:sz w:val="21"/>
                <w:szCs w:val="21"/>
              </w:rPr>
            </w:pPr>
            <w:r>
              <w:rPr>
                <w:rFonts w:eastAsia="仿宋_GB2312"/>
                <w:bCs/>
                <w:color w:val="000000" w:themeColor="text1"/>
                <w:sz w:val="21"/>
                <w:szCs w:val="21"/>
              </w:rPr>
              <w:t>项目名称</w:t>
            </w:r>
          </w:p>
        </w:tc>
        <w:tc>
          <w:tcPr>
            <w:tcW w:w="1361" w:type="dxa"/>
            <w:tcBorders>
              <w:tl2br w:val="nil"/>
              <w:tr2bl w:val="nil"/>
            </w:tcBorders>
            <w:vAlign w:val="center"/>
          </w:tcPr>
          <w:p>
            <w:pPr>
              <w:widowControl/>
              <w:jc w:val="center"/>
              <w:rPr>
                <w:rFonts w:eastAsia="仿宋_GB2312"/>
                <w:bCs/>
                <w:color w:val="000000" w:themeColor="text1"/>
                <w:sz w:val="21"/>
                <w:szCs w:val="21"/>
              </w:rPr>
            </w:pPr>
            <w:r>
              <w:rPr>
                <w:rFonts w:eastAsia="仿宋_GB2312"/>
                <w:bCs/>
                <w:color w:val="000000" w:themeColor="text1"/>
                <w:sz w:val="21"/>
                <w:szCs w:val="21"/>
              </w:rPr>
              <w:t>单位</w:t>
            </w:r>
          </w:p>
        </w:tc>
        <w:tc>
          <w:tcPr>
            <w:tcW w:w="1322" w:type="dxa"/>
            <w:tcBorders>
              <w:tl2br w:val="nil"/>
              <w:tr2bl w:val="nil"/>
            </w:tcBorders>
            <w:vAlign w:val="center"/>
          </w:tcPr>
          <w:p>
            <w:pPr>
              <w:widowControl/>
              <w:jc w:val="center"/>
              <w:rPr>
                <w:rFonts w:eastAsia="仿宋_GB2312"/>
                <w:bCs/>
                <w:color w:val="000000" w:themeColor="text1"/>
                <w:sz w:val="21"/>
                <w:szCs w:val="21"/>
              </w:rPr>
            </w:pPr>
            <w:r>
              <w:rPr>
                <w:rFonts w:eastAsia="仿宋_GB2312"/>
                <w:bCs/>
                <w:color w:val="000000" w:themeColor="text1"/>
                <w:sz w:val="21"/>
                <w:szCs w:val="21"/>
              </w:rPr>
              <w:t>数量</w:t>
            </w:r>
          </w:p>
        </w:tc>
        <w:tc>
          <w:tcPr>
            <w:tcW w:w="1283" w:type="dxa"/>
            <w:tcBorders>
              <w:tl2br w:val="nil"/>
              <w:tr2bl w:val="nil"/>
            </w:tcBorders>
            <w:vAlign w:val="center"/>
          </w:tcPr>
          <w:p>
            <w:pPr>
              <w:jc w:val="center"/>
              <w:rPr>
                <w:bCs/>
                <w:color w:val="000000" w:themeColor="text1"/>
                <w:sz w:val="22"/>
                <w:szCs w:val="22"/>
              </w:rPr>
            </w:pPr>
            <w:r>
              <w:rPr>
                <w:rFonts w:hint="eastAsia" w:eastAsia="仿宋_GB2312"/>
                <w:bCs/>
                <w:color w:val="000000" w:themeColor="text1"/>
                <w:sz w:val="21"/>
                <w:szCs w:val="21"/>
              </w:rPr>
              <w:t>单价（元）</w:t>
            </w:r>
          </w:p>
        </w:tc>
        <w:tc>
          <w:tcPr>
            <w:tcW w:w="1349" w:type="dxa"/>
            <w:tcBorders>
              <w:tl2br w:val="nil"/>
              <w:tr2bl w:val="nil"/>
            </w:tcBorders>
            <w:vAlign w:val="center"/>
          </w:tcPr>
          <w:p>
            <w:pPr>
              <w:widowControl/>
              <w:jc w:val="center"/>
              <w:rPr>
                <w:rFonts w:eastAsia="仿宋_GB2312"/>
                <w:bCs/>
                <w:color w:val="000000" w:themeColor="text1"/>
                <w:sz w:val="21"/>
                <w:szCs w:val="21"/>
              </w:rPr>
            </w:pPr>
            <w:r>
              <w:rPr>
                <w:rFonts w:eastAsia="仿宋_GB2312"/>
                <w:bCs/>
                <w:color w:val="000000" w:themeColor="text1"/>
                <w:sz w:val="21"/>
                <w:szCs w:val="21"/>
              </w:rPr>
              <w:t>合计（元）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77" w:type="dxa"/>
            <w:tcBorders>
              <w:tl2br w:val="nil"/>
              <w:tr2bl w:val="nil"/>
            </w:tcBorders>
            <w:vAlign w:val="center"/>
          </w:tcPr>
          <w:p>
            <w:pPr>
              <w:jc w:val="center"/>
              <w:rPr>
                <w:bCs/>
                <w:color w:val="000000" w:themeColor="text1"/>
                <w:sz w:val="21"/>
                <w:szCs w:val="21"/>
              </w:rPr>
            </w:pPr>
            <w:r>
              <w:rPr>
                <w:rFonts w:eastAsia="仿宋_GB2312"/>
                <w:bCs/>
                <w:color w:val="000000" w:themeColor="text1"/>
                <w:sz w:val="21"/>
                <w:szCs w:val="21"/>
              </w:rPr>
              <w:t>第一部分</w:t>
            </w:r>
          </w:p>
        </w:tc>
        <w:tc>
          <w:tcPr>
            <w:tcW w:w="2040" w:type="dxa"/>
            <w:tcBorders>
              <w:tl2br w:val="nil"/>
              <w:tr2bl w:val="nil"/>
            </w:tcBorders>
            <w:vAlign w:val="center"/>
          </w:tcPr>
          <w:p>
            <w:pPr>
              <w:jc w:val="center"/>
              <w:rPr>
                <w:bCs/>
                <w:color w:val="000000" w:themeColor="text1"/>
                <w:sz w:val="21"/>
                <w:szCs w:val="21"/>
              </w:rPr>
            </w:pPr>
            <w:r>
              <w:rPr>
                <w:rFonts w:eastAsia="仿宋_GB2312"/>
                <w:bCs/>
                <w:color w:val="000000" w:themeColor="text1"/>
                <w:sz w:val="21"/>
                <w:szCs w:val="21"/>
              </w:rPr>
              <w:t>工程措施</w:t>
            </w:r>
          </w:p>
        </w:tc>
        <w:tc>
          <w:tcPr>
            <w:tcW w:w="1361" w:type="dxa"/>
            <w:tcBorders>
              <w:tl2br w:val="nil"/>
              <w:tr2bl w:val="nil"/>
            </w:tcBorders>
            <w:vAlign w:val="center"/>
          </w:tcPr>
          <w:p>
            <w:pPr>
              <w:jc w:val="center"/>
              <w:rPr>
                <w:bCs/>
                <w:color w:val="000000" w:themeColor="text1"/>
                <w:sz w:val="22"/>
                <w:szCs w:val="22"/>
              </w:rPr>
            </w:pPr>
            <w:r>
              <w:rPr>
                <w:bCs/>
                <w:color w:val="000000" w:themeColor="text1"/>
                <w:sz w:val="22"/>
                <w:szCs w:val="22"/>
              </w:rPr>
              <w:t>　</w:t>
            </w:r>
          </w:p>
        </w:tc>
        <w:tc>
          <w:tcPr>
            <w:tcW w:w="1322" w:type="dxa"/>
            <w:tcBorders>
              <w:tl2br w:val="nil"/>
              <w:tr2bl w:val="nil"/>
            </w:tcBorders>
            <w:vAlign w:val="center"/>
          </w:tcPr>
          <w:p>
            <w:pPr>
              <w:jc w:val="center"/>
              <w:rPr>
                <w:bCs/>
                <w:color w:val="000000" w:themeColor="text1"/>
                <w:sz w:val="22"/>
                <w:szCs w:val="22"/>
              </w:rPr>
            </w:pPr>
            <w:r>
              <w:rPr>
                <w:bCs/>
                <w:color w:val="000000" w:themeColor="text1"/>
                <w:sz w:val="22"/>
                <w:szCs w:val="22"/>
              </w:rPr>
              <w:t>　</w:t>
            </w:r>
          </w:p>
        </w:tc>
        <w:tc>
          <w:tcPr>
            <w:tcW w:w="1283" w:type="dxa"/>
            <w:tcBorders>
              <w:tl2br w:val="nil"/>
              <w:tr2bl w:val="nil"/>
            </w:tcBorders>
            <w:vAlign w:val="center"/>
          </w:tcPr>
          <w:p>
            <w:pPr>
              <w:jc w:val="center"/>
              <w:rPr>
                <w:bCs/>
                <w:color w:val="000000" w:themeColor="text1"/>
                <w:sz w:val="22"/>
                <w:szCs w:val="22"/>
              </w:rPr>
            </w:pPr>
            <w:r>
              <w:rPr>
                <w:rFonts w:hint="eastAsia"/>
                <w:bCs/>
                <w:color w:val="000000" w:themeColor="text1"/>
                <w:sz w:val="22"/>
                <w:szCs w:val="22"/>
              </w:rPr>
              <w:t>　</w:t>
            </w:r>
          </w:p>
        </w:tc>
        <w:tc>
          <w:tcPr>
            <w:tcW w:w="1349" w:type="dxa"/>
            <w:tcBorders>
              <w:tl2br w:val="nil"/>
              <w:tr2bl w:val="nil"/>
            </w:tcBorders>
            <w:vAlign w:val="center"/>
          </w:tcPr>
          <w:p>
            <w:pPr>
              <w:jc w:val="center"/>
              <w:rPr>
                <w:rFonts w:hint="default" w:eastAsia="宋体"/>
                <w:bCs/>
                <w:color w:val="000000" w:themeColor="text1"/>
                <w:sz w:val="22"/>
                <w:szCs w:val="22"/>
                <w:lang w:val="en-US" w:eastAsia="zh-CN"/>
              </w:rPr>
            </w:pPr>
            <w:r>
              <w:rPr>
                <w:rFonts w:hint="eastAsia"/>
                <w:bCs/>
                <w:color w:val="000000" w:themeColor="text1"/>
                <w:sz w:val="22"/>
                <w:szCs w:val="22"/>
                <w:lang w:val="en-US" w:eastAsia="zh-CN"/>
              </w:rPr>
              <w:t>197331.67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77" w:type="dxa"/>
            <w:tcBorders>
              <w:tl2br w:val="nil"/>
              <w:tr2bl w:val="nil"/>
            </w:tcBorders>
            <w:vAlign w:val="center"/>
          </w:tcPr>
          <w:p>
            <w:pPr>
              <w:jc w:val="center"/>
              <w:rPr>
                <w:bCs/>
                <w:color w:val="000000" w:themeColor="text1"/>
                <w:sz w:val="21"/>
                <w:szCs w:val="21"/>
              </w:rPr>
            </w:pPr>
            <w:r>
              <w:rPr>
                <w:bCs/>
                <w:color w:val="000000" w:themeColor="text1"/>
                <w:sz w:val="21"/>
                <w:szCs w:val="21"/>
              </w:rPr>
              <w:t>1</w:t>
            </w:r>
          </w:p>
        </w:tc>
        <w:tc>
          <w:tcPr>
            <w:tcW w:w="2040" w:type="dxa"/>
            <w:tcBorders>
              <w:tl2br w:val="nil"/>
              <w:tr2bl w:val="nil"/>
            </w:tcBorders>
            <w:vAlign w:val="center"/>
          </w:tcPr>
          <w:p>
            <w:pPr>
              <w:jc w:val="center"/>
              <w:rPr>
                <w:bCs/>
                <w:color w:val="000000" w:themeColor="text1"/>
                <w:sz w:val="21"/>
                <w:szCs w:val="21"/>
              </w:rPr>
            </w:pPr>
            <w:r>
              <w:rPr>
                <w:rFonts w:eastAsia="仿宋_GB2312"/>
                <w:bCs/>
                <w:color w:val="000000" w:themeColor="text1"/>
                <w:sz w:val="21"/>
                <w:szCs w:val="21"/>
              </w:rPr>
              <w:t>绿化用土回覆</w:t>
            </w:r>
          </w:p>
        </w:tc>
        <w:tc>
          <w:tcPr>
            <w:tcW w:w="1361" w:type="dxa"/>
            <w:tcBorders>
              <w:tl2br w:val="nil"/>
              <w:tr2bl w:val="nil"/>
            </w:tcBorders>
            <w:vAlign w:val="center"/>
          </w:tcPr>
          <w:p>
            <w:pPr>
              <w:spacing w:line="240" w:lineRule="auto"/>
              <w:jc w:val="center"/>
              <w:rPr>
                <w:bCs/>
                <w:color w:val="000000" w:themeColor="text1"/>
                <w:sz w:val="21"/>
                <w:szCs w:val="21"/>
              </w:rPr>
            </w:pPr>
            <w:r>
              <w:rPr>
                <w:rFonts w:eastAsia="仿宋_GB2312"/>
                <w:color w:val="000000" w:themeColor="text1"/>
                <w:sz w:val="21"/>
                <w:szCs w:val="21"/>
              </w:rPr>
              <w:t>100m</w:t>
            </w:r>
            <w:r>
              <w:rPr>
                <w:rFonts w:eastAsia="仿宋_GB2312"/>
                <w:color w:val="000000" w:themeColor="text1"/>
                <w:sz w:val="21"/>
                <w:szCs w:val="21"/>
                <w:vertAlign w:val="superscript"/>
              </w:rPr>
              <w:t>3</w:t>
            </w:r>
          </w:p>
        </w:tc>
        <w:tc>
          <w:tcPr>
            <w:tcW w:w="1322" w:type="dxa"/>
            <w:tcBorders>
              <w:tl2br w:val="nil"/>
              <w:tr2bl w:val="nil"/>
            </w:tcBorders>
            <w:vAlign w:val="center"/>
          </w:tcPr>
          <w:p>
            <w:pPr>
              <w:spacing w:line="240" w:lineRule="auto"/>
              <w:jc w:val="center"/>
              <w:rPr>
                <w:rFonts w:hint="eastAsia" w:eastAsia="宋体"/>
                <w:bCs/>
                <w:color w:val="000000" w:themeColor="text1"/>
                <w:sz w:val="22"/>
                <w:szCs w:val="22"/>
                <w:lang w:eastAsia="zh-CN"/>
              </w:rPr>
            </w:pPr>
            <w:r>
              <w:rPr>
                <w:rFonts w:hint="eastAsia"/>
                <w:bCs/>
                <w:color w:val="000000" w:themeColor="text1"/>
                <w:sz w:val="22"/>
                <w:szCs w:val="22"/>
                <w:lang w:val="en-US" w:eastAsia="zh-CN"/>
              </w:rPr>
              <w:t>4</w:t>
            </w:r>
          </w:p>
        </w:tc>
        <w:tc>
          <w:tcPr>
            <w:tcW w:w="1283" w:type="dxa"/>
            <w:tcBorders>
              <w:tl2br w:val="nil"/>
              <w:tr2bl w:val="nil"/>
            </w:tcBorders>
            <w:vAlign w:val="center"/>
          </w:tcPr>
          <w:p>
            <w:pPr>
              <w:widowControl/>
              <w:adjustRightInd/>
              <w:spacing w:line="240" w:lineRule="auto"/>
              <w:jc w:val="center"/>
              <w:textAlignment w:val="auto"/>
              <w:rPr>
                <w:bCs/>
                <w:color w:val="000000" w:themeColor="text1"/>
                <w:sz w:val="22"/>
                <w:szCs w:val="22"/>
              </w:rPr>
            </w:pPr>
            <w:r>
              <w:rPr>
                <w:rFonts w:hint="eastAsia"/>
                <w:bCs/>
                <w:color w:val="000000" w:themeColor="text1"/>
                <w:sz w:val="22"/>
                <w:szCs w:val="22"/>
              </w:rPr>
              <w:t>555</w:t>
            </w:r>
          </w:p>
        </w:tc>
        <w:tc>
          <w:tcPr>
            <w:tcW w:w="1349" w:type="dxa"/>
            <w:tcBorders>
              <w:tl2br w:val="nil"/>
              <w:tr2bl w:val="nil"/>
            </w:tcBorders>
            <w:vAlign w:val="center"/>
          </w:tcPr>
          <w:p>
            <w:pPr>
              <w:pStyle w:val="77"/>
              <w:rPr>
                <w:rFonts w:ascii="Times New Roman" w:hAnsi="Times New Roman"/>
                <w:bCs/>
                <w:color w:val="000000" w:themeColor="text1"/>
                <w:sz w:val="22"/>
                <w:szCs w:val="22"/>
              </w:rPr>
            </w:pPr>
            <w:r>
              <w:rPr>
                <w:rFonts w:hint="eastAsia" w:ascii="Times New Roman" w:hAnsi="Times New Roman" w:eastAsia="仿宋_GB2312"/>
                <w:color w:val="000000" w:themeColor="text1"/>
                <w:lang w:val="en-US" w:eastAsia="zh-CN"/>
              </w:rPr>
              <w:t>2220</w:t>
            </w:r>
            <w:r>
              <w:rPr>
                <w:rFonts w:hint="eastAsia" w:ascii="Times New Roman" w:hAnsi="Times New Roman" w:eastAsia="仿宋_GB2312"/>
                <w:color w:val="000000" w:themeColor="text1"/>
              </w:rPr>
              <w:t>.00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77" w:type="dxa"/>
            <w:tcBorders>
              <w:tl2br w:val="nil"/>
              <w:tr2bl w:val="nil"/>
            </w:tcBorders>
            <w:vAlign w:val="center"/>
          </w:tcPr>
          <w:p>
            <w:pPr>
              <w:jc w:val="center"/>
              <w:rPr>
                <w:bCs/>
                <w:color w:val="000000" w:themeColor="text1"/>
                <w:sz w:val="21"/>
                <w:szCs w:val="21"/>
              </w:rPr>
            </w:pPr>
            <w:r>
              <w:rPr>
                <w:bCs/>
                <w:color w:val="000000" w:themeColor="text1"/>
                <w:sz w:val="21"/>
                <w:szCs w:val="21"/>
              </w:rPr>
              <w:t>2</w:t>
            </w:r>
          </w:p>
        </w:tc>
        <w:tc>
          <w:tcPr>
            <w:tcW w:w="2040" w:type="dxa"/>
            <w:tcBorders>
              <w:tl2br w:val="nil"/>
              <w:tr2bl w:val="nil"/>
            </w:tcBorders>
            <w:vAlign w:val="center"/>
          </w:tcPr>
          <w:p>
            <w:pPr>
              <w:jc w:val="center"/>
              <w:rPr>
                <w:bCs/>
                <w:color w:val="000000" w:themeColor="text1"/>
                <w:sz w:val="21"/>
                <w:szCs w:val="21"/>
              </w:rPr>
            </w:pPr>
            <w:r>
              <w:rPr>
                <w:rFonts w:eastAsia="仿宋_GB2312"/>
                <w:bCs/>
                <w:color w:val="000000" w:themeColor="text1"/>
                <w:sz w:val="21"/>
                <w:szCs w:val="21"/>
              </w:rPr>
              <w:t>全面整地</w:t>
            </w:r>
          </w:p>
        </w:tc>
        <w:tc>
          <w:tcPr>
            <w:tcW w:w="1361" w:type="dxa"/>
            <w:tcBorders>
              <w:tl2br w:val="nil"/>
              <w:tr2bl w:val="nil"/>
            </w:tcBorders>
            <w:vAlign w:val="center"/>
          </w:tcPr>
          <w:p>
            <w:pPr>
              <w:widowControl/>
              <w:adjustRightInd/>
              <w:spacing w:line="240" w:lineRule="auto"/>
              <w:jc w:val="center"/>
              <w:textAlignment w:val="auto"/>
              <w:rPr>
                <w:bCs/>
                <w:color w:val="000000" w:themeColor="text1"/>
                <w:sz w:val="21"/>
                <w:szCs w:val="21"/>
              </w:rPr>
            </w:pPr>
            <w:r>
              <w:rPr>
                <w:rFonts w:eastAsia="仿宋_GB2312"/>
                <w:bCs/>
                <w:color w:val="000000" w:themeColor="text1"/>
                <w:sz w:val="21"/>
                <w:szCs w:val="21"/>
              </w:rPr>
              <w:t>hm</w:t>
            </w:r>
            <w:r>
              <w:rPr>
                <w:rFonts w:eastAsia="仿宋_GB2312"/>
                <w:bCs/>
                <w:color w:val="000000" w:themeColor="text1"/>
                <w:sz w:val="21"/>
                <w:szCs w:val="21"/>
                <w:vertAlign w:val="superscript"/>
              </w:rPr>
              <w:t>2</w:t>
            </w:r>
          </w:p>
        </w:tc>
        <w:tc>
          <w:tcPr>
            <w:tcW w:w="1322" w:type="dxa"/>
            <w:tcBorders>
              <w:tl2br w:val="nil"/>
              <w:tr2bl w:val="nil"/>
            </w:tcBorders>
            <w:vAlign w:val="center"/>
          </w:tcPr>
          <w:p>
            <w:pPr>
              <w:widowControl/>
              <w:adjustRightInd/>
              <w:spacing w:line="240" w:lineRule="auto"/>
              <w:jc w:val="center"/>
              <w:textAlignment w:val="auto"/>
              <w:rPr>
                <w:rFonts w:hint="default" w:eastAsia="宋体"/>
                <w:bCs/>
                <w:color w:val="000000" w:themeColor="text1"/>
                <w:sz w:val="22"/>
                <w:szCs w:val="22"/>
                <w:lang w:val="en-US" w:eastAsia="zh-CN"/>
              </w:rPr>
            </w:pPr>
            <w:r>
              <w:rPr>
                <w:rFonts w:hint="eastAsia"/>
                <w:bCs/>
                <w:color w:val="000000" w:themeColor="text1"/>
                <w:sz w:val="22"/>
                <w:szCs w:val="22"/>
              </w:rPr>
              <w:t>0.</w:t>
            </w:r>
            <w:r>
              <w:rPr>
                <w:rFonts w:hint="eastAsia"/>
                <w:bCs/>
                <w:color w:val="000000" w:themeColor="text1"/>
                <w:sz w:val="22"/>
                <w:szCs w:val="22"/>
                <w:lang w:val="en-US" w:eastAsia="zh-CN"/>
              </w:rPr>
              <w:t>13</w:t>
            </w:r>
          </w:p>
        </w:tc>
        <w:tc>
          <w:tcPr>
            <w:tcW w:w="1283" w:type="dxa"/>
            <w:tcBorders>
              <w:tl2br w:val="nil"/>
              <w:tr2bl w:val="nil"/>
            </w:tcBorders>
            <w:vAlign w:val="center"/>
          </w:tcPr>
          <w:p>
            <w:pPr>
              <w:widowControl/>
              <w:adjustRightInd/>
              <w:spacing w:line="240" w:lineRule="auto"/>
              <w:jc w:val="center"/>
              <w:textAlignment w:val="auto"/>
              <w:rPr>
                <w:bCs/>
                <w:color w:val="000000" w:themeColor="text1"/>
                <w:sz w:val="22"/>
                <w:szCs w:val="22"/>
              </w:rPr>
            </w:pPr>
            <w:r>
              <w:rPr>
                <w:rFonts w:hint="eastAsia"/>
                <w:bCs/>
                <w:color w:val="000000" w:themeColor="text1"/>
                <w:sz w:val="22"/>
                <w:szCs w:val="22"/>
              </w:rPr>
              <w:t>1243.58</w:t>
            </w:r>
          </w:p>
        </w:tc>
        <w:tc>
          <w:tcPr>
            <w:tcW w:w="1349" w:type="dxa"/>
            <w:tcBorders>
              <w:tl2br w:val="nil"/>
              <w:tr2bl w:val="nil"/>
            </w:tcBorders>
            <w:vAlign w:val="center"/>
          </w:tcPr>
          <w:p>
            <w:pPr>
              <w:widowControl/>
              <w:adjustRightInd/>
              <w:spacing w:line="240" w:lineRule="auto"/>
              <w:jc w:val="center"/>
              <w:textAlignment w:val="auto"/>
              <w:rPr>
                <w:rFonts w:hint="default" w:eastAsia="宋体"/>
                <w:bCs/>
                <w:color w:val="000000" w:themeColor="text1"/>
                <w:sz w:val="22"/>
                <w:szCs w:val="22"/>
                <w:lang w:val="en-US" w:eastAsia="zh-CN"/>
              </w:rPr>
            </w:pPr>
            <w:r>
              <w:rPr>
                <w:rFonts w:hint="eastAsia"/>
                <w:bCs/>
                <w:color w:val="000000" w:themeColor="text1"/>
                <w:sz w:val="22"/>
                <w:szCs w:val="22"/>
                <w:lang w:val="en-US" w:eastAsia="zh-CN"/>
              </w:rPr>
              <w:t>161.67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77" w:type="dxa"/>
            <w:tcBorders>
              <w:tl2br w:val="nil"/>
              <w:tr2bl w:val="nil"/>
            </w:tcBorders>
            <w:vAlign w:val="center"/>
          </w:tcPr>
          <w:p>
            <w:pPr>
              <w:jc w:val="center"/>
              <w:rPr>
                <w:bCs/>
                <w:color w:val="000000" w:themeColor="text1"/>
                <w:sz w:val="21"/>
                <w:szCs w:val="21"/>
              </w:rPr>
            </w:pPr>
            <w:r>
              <w:rPr>
                <w:rFonts w:hint="eastAsia"/>
                <w:bCs/>
                <w:color w:val="000000" w:themeColor="text1"/>
                <w:sz w:val="21"/>
                <w:szCs w:val="21"/>
              </w:rPr>
              <w:t>3</w:t>
            </w:r>
          </w:p>
        </w:tc>
        <w:tc>
          <w:tcPr>
            <w:tcW w:w="2040" w:type="dxa"/>
            <w:tcBorders>
              <w:tl2br w:val="nil"/>
              <w:tr2bl w:val="nil"/>
            </w:tcBorders>
            <w:vAlign w:val="center"/>
          </w:tcPr>
          <w:p>
            <w:pPr>
              <w:jc w:val="center"/>
              <w:rPr>
                <w:rFonts w:eastAsia="仿宋_GB2312"/>
                <w:bCs/>
                <w:color w:val="000000" w:themeColor="text1"/>
                <w:sz w:val="21"/>
                <w:szCs w:val="21"/>
              </w:rPr>
            </w:pPr>
            <w:r>
              <w:rPr>
                <w:rFonts w:hint="eastAsia" w:eastAsia="仿宋_GB2312"/>
                <w:bCs/>
                <w:color w:val="000000" w:themeColor="text1"/>
                <w:sz w:val="21"/>
                <w:szCs w:val="21"/>
              </w:rPr>
              <w:t>雨水管线</w:t>
            </w:r>
          </w:p>
        </w:tc>
        <w:tc>
          <w:tcPr>
            <w:tcW w:w="1361" w:type="dxa"/>
            <w:tcBorders>
              <w:tl2br w:val="nil"/>
              <w:tr2bl w:val="nil"/>
            </w:tcBorders>
            <w:vAlign w:val="center"/>
          </w:tcPr>
          <w:p>
            <w:pPr>
              <w:widowControl/>
              <w:adjustRightInd/>
              <w:spacing w:line="240" w:lineRule="auto"/>
              <w:jc w:val="center"/>
              <w:textAlignment w:val="auto"/>
              <w:rPr>
                <w:rFonts w:eastAsia="仿宋_GB2312"/>
                <w:bCs/>
                <w:color w:val="000000" w:themeColor="text1"/>
                <w:sz w:val="21"/>
                <w:szCs w:val="21"/>
              </w:rPr>
            </w:pPr>
            <w:r>
              <w:rPr>
                <w:rFonts w:hint="eastAsia" w:eastAsia="仿宋_GB2312"/>
                <w:bCs/>
                <w:color w:val="000000" w:themeColor="text1"/>
                <w:sz w:val="21"/>
                <w:szCs w:val="21"/>
              </w:rPr>
              <w:t>m</w:t>
            </w:r>
          </w:p>
        </w:tc>
        <w:tc>
          <w:tcPr>
            <w:tcW w:w="1322" w:type="dxa"/>
            <w:tcBorders>
              <w:tl2br w:val="nil"/>
              <w:tr2bl w:val="nil"/>
            </w:tcBorders>
            <w:vAlign w:val="center"/>
          </w:tcPr>
          <w:p>
            <w:pPr>
              <w:widowControl/>
              <w:adjustRightInd/>
              <w:spacing w:line="240" w:lineRule="auto"/>
              <w:jc w:val="center"/>
              <w:textAlignment w:val="auto"/>
              <w:rPr>
                <w:rFonts w:hint="default" w:eastAsia="宋体"/>
                <w:bCs/>
                <w:color w:val="000000" w:themeColor="text1"/>
                <w:sz w:val="22"/>
                <w:szCs w:val="22"/>
                <w:lang w:val="en-US" w:eastAsia="zh-CN"/>
              </w:rPr>
            </w:pPr>
            <w:r>
              <w:rPr>
                <w:rFonts w:hint="eastAsia"/>
                <w:bCs/>
                <w:color w:val="000000" w:themeColor="text1"/>
                <w:sz w:val="22"/>
                <w:szCs w:val="22"/>
              </w:rPr>
              <w:t>4</w:t>
            </w:r>
            <w:r>
              <w:rPr>
                <w:rFonts w:hint="eastAsia"/>
                <w:bCs/>
                <w:color w:val="000000" w:themeColor="text1"/>
                <w:sz w:val="22"/>
                <w:szCs w:val="22"/>
                <w:lang w:val="en-US" w:eastAsia="zh-CN"/>
              </w:rPr>
              <w:t>11</w:t>
            </w:r>
          </w:p>
        </w:tc>
        <w:tc>
          <w:tcPr>
            <w:tcW w:w="1283" w:type="dxa"/>
            <w:tcBorders>
              <w:tl2br w:val="nil"/>
              <w:tr2bl w:val="nil"/>
            </w:tcBorders>
            <w:vAlign w:val="center"/>
          </w:tcPr>
          <w:p>
            <w:pPr>
              <w:widowControl/>
              <w:adjustRightInd/>
              <w:spacing w:line="240" w:lineRule="auto"/>
              <w:jc w:val="center"/>
              <w:textAlignment w:val="auto"/>
              <w:rPr>
                <w:bCs/>
                <w:color w:val="000000" w:themeColor="text1"/>
                <w:sz w:val="22"/>
                <w:szCs w:val="22"/>
              </w:rPr>
            </w:pPr>
            <w:r>
              <w:rPr>
                <w:rFonts w:hint="eastAsia"/>
                <w:bCs/>
                <w:color w:val="000000" w:themeColor="text1"/>
                <w:sz w:val="22"/>
                <w:szCs w:val="22"/>
              </w:rPr>
              <w:t>450</w:t>
            </w:r>
          </w:p>
        </w:tc>
        <w:tc>
          <w:tcPr>
            <w:tcW w:w="1349" w:type="dxa"/>
            <w:tcBorders>
              <w:tl2br w:val="nil"/>
              <w:tr2bl w:val="nil"/>
            </w:tcBorders>
            <w:vAlign w:val="center"/>
          </w:tcPr>
          <w:p>
            <w:pPr>
              <w:widowControl/>
              <w:adjustRightInd/>
              <w:spacing w:line="240" w:lineRule="auto"/>
              <w:jc w:val="center"/>
              <w:textAlignment w:val="auto"/>
              <w:rPr>
                <w:bCs/>
                <w:color w:val="000000" w:themeColor="text1"/>
                <w:sz w:val="22"/>
                <w:szCs w:val="22"/>
              </w:rPr>
            </w:pPr>
            <w:r>
              <w:rPr>
                <w:rFonts w:hint="eastAsia"/>
                <w:bCs/>
                <w:color w:val="000000" w:themeColor="text1"/>
                <w:sz w:val="22"/>
                <w:szCs w:val="22"/>
              </w:rPr>
              <w:t>1</w:t>
            </w:r>
            <w:r>
              <w:rPr>
                <w:rFonts w:hint="eastAsia"/>
                <w:bCs/>
                <w:color w:val="000000" w:themeColor="text1"/>
                <w:sz w:val="22"/>
                <w:szCs w:val="22"/>
                <w:lang w:val="en-US" w:eastAsia="zh-CN"/>
              </w:rPr>
              <w:t>849</w:t>
            </w:r>
            <w:r>
              <w:rPr>
                <w:rFonts w:hint="eastAsia"/>
                <w:bCs/>
                <w:color w:val="000000" w:themeColor="text1"/>
                <w:sz w:val="22"/>
                <w:szCs w:val="22"/>
              </w:rPr>
              <w:t>50.00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77" w:type="dxa"/>
            <w:tcBorders>
              <w:tl2br w:val="nil"/>
              <w:tr2bl w:val="nil"/>
            </w:tcBorders>
            <w:vAlign w:val="center"/>
          </w:tcPr>
          <w:p>
            <w:pPr>
              <w:jc w:val="center"/>
              <w:rPr>
                <w:bCs/>
                <w:color w:val="000000" w:themeColor="text1"/>
                <w:sz w:val="21"/>
                <w:szCs w:val="21"/>
              </w:rPr>
            </w:pPr>
            <w:r>
              <w:rPr>
                <w:rFonts w:hint="eastAsia"/>
                <w:bCs/>
                <w:color w:val="000000" w:themeColor="text1"/>
                <w:sz w:val="21"/>
                <w:szCs w:val="21"/>
              </w:rPr>
              <w:t>4</w:t>
            </w:r>
          </w:p>
        </w:tc>
        <w:tc>
          <w:tcPr>
            <w:tcW w:w="2040" w:type="dxa"/>
            <w:tcBorders>
              <w:tl2br w:val="nil"/>
              <w:tr2bl w:val="nil"/>
            </w:tcBorders>
            <w:vAlign w:val="center"/>
          </w:tcPr>
          <w:p>
            <w:pPr>
              <w:jc w:val="center"/>
              <w:rPr>
                <w:rFonts w:eastAsia="仿宋_GB2312"/>
                <w:bCs/>
                <w:color w:val="000000" w:themeColor="text1"/>
                <w:sz w:val="21"/>
                <w:szCs w:val="21"/>
              </w:rPr>
            </w:pPr>
            <w:r>
              <w:rPr>
                <w:rFonts w:hint="eastAsia" w:eastAsia="仿宋_GB2312"/>
                <w:bCs/>
                <w:color w:val="000000" w:themeColor="text1"/>
                <w:sz w:val="21"/>
                <w:szCs w:val="21"/>
              </w:rPr>
              <w:t>雨水口</w:t>
            </w:r>
          </w:p>
        </w:tc>
        <w:tc>
          <w:tcPr>
            <w:tcW w:w="1361" w:type="dxa"/>
            <w:tcBorders>
              <w:tl2br w:val="nil"/>
              <w:tr2bl w:val="nil"/>
            </w:tcBorders>
            <w:vAlign w:val="center"/>
          </w:tcPr>
          <w:p>
            <w:pPr>
              <w:widowControl/>
              <w:adjustRightInd/>
              <w:spacing w:line="240" w:lineRule="auto"/>
              <w:jc w:val="center"/>
              <w:textAlignment w:val="auto"/>
              <w:rPr>
                <w:rFonts w:eastAsia="仿宋_GB2312"/>
                <w:bCs/>
                <w:color w:val="000000" w:themeColor="text1"/>
                <w:sz w:val="21"/>
                <w:szCs w:val="21"/>
              </w:rPr>
            </w:pPr>
            <w:r>
              <w:rPr>
                <w:rFonts w:hint="eastAsia" w:eastAsia="仿宋_GB2312"/>
                <w:bCs/>
                <w:color w:val="000000" w:themeColor="text1"/>
                <w:sz w:val="21"/>
                <w:szCs w:val="21"/>
              </w:rPr>
              <w:t>个</w:t>
            </w:r>
          </w:p>
        </w:tc>
        <w:tc>
          <w:tcPr>
            <w:tcW w:w="1322" w:type="dxa"/>
            <w:tcBorders>
              <w:tl2br w:val="nil"/>
              <w:tr2bl w:val="nil"/>
            </w:tcBorders>
            <w:vAlign w:val="center"/>
          </w:tcPr>
          <w:p>
            <w:pPr>
              <w:widowControl/>
              <w:adjustRightInd/>
              <w:spacing w:line="240" w:lineRule="auto"/>
              <w:jc w:val="center"/>
              <w:textAlignment w:val="auto"/>
              <w:rPr>
                <w:bCs/>
                <w:color w:val="000000" w:themeColor="text1"/>
                <w:sz w:val="22"/>
                <w:szCs w:val="22"/>
              </w:rPr>
            </w:pPr>
            <w:r>
              <w:rPr>
                <w:rFonts w:hint="eastAsia"/>
                <w:bCs/>
                <w:color w:val="000000" w:themeColor="text1"/>
                <w:sz w:val="22"/>
                <w:szCs w:val="22"/>
                <w:lang w:val="en-US" w:eastAsia="zh-CN"/>
              </w:rPr>
              <w:t>2</w:t>
            </w:r>
            <w:r>
              <w:rPr>
                <w:rFonts w:hint="eastAsia"/>
                <w:bCs/>
                <w:color w:val="000000" w:themeColor="text1"/>
                <w:sz w:val="22"/>
                <w:szCs w:val="22"/>
              </w:rPr>
              <w:t>0</w:t>
            </w:r>
          </w:p>
        </w:tc>
        <w:tc>
          <w:tcPr>
            <w:tcW w:w="1283" w:type="dxa"/>
            <w:tcBorders>
              <w:tl2br w:val="nil"/>
              <w:tr2bl w:val="nil"/>
            </w:tcBorders>
            <w:vAlign w:val="center"/>
          </w:tcPr>
          <w:p>
            <w:pPr>
              <w:widowControl/>
              <w:adjustRightInd/>
              <w:spacing w:line="240" w:lineRule="auto"/>
              <w:jc w:val="center"/>
              <w:textAlignment w:val="auto"/>
              <w:rPr>
                <w:bCs/>
                <w:color w:val="000000" w:themeColor="text1"/>
                <w:sz w:val="22"/>
                <w:szCs w:val="22"/>
              </w:rPr>
            </w:pPr>
            <w:r>
              <w:rPr>
                <w:rFonts w:hint="eastAsia"/>
                <w:bCs/>
                <w:color w:val="000000" w:themeColor="text1"/>
                <w:sz w:val="22"/>
                <w:szCs w:val="22"/>
              </w:rPr>
              <w:t>500</w:t>
            </w:r>
          </w:p>
        </w:tc>
        <w:tc>
          <w:tcPr>
            <w:tcW w:w="1349" w:type="dxa"/>
            <w:tcBorders>
              <w:tl2br w:val="nil"/>
              <w:tr2bl w:val="nil"/>
            </w:tcBorders>
            <w:vAlign w:val="center"/>
          </w:tcPr>
          <w:p>
            <w:pPr>
              <w:widowControl/>
              <w:adjustRightInd/>
              <w:spacing w:line="240" w:lineRule="auto"/>
              <w:jc w:val="center"/>
              <w:textAlignment w:val="auto"/>
              <w:rPr>
                <w:bCs/>
                <w:color w:val="000000" w:themeColor="text1"/>
                <w:sz w:val="22"/>
                <w:szCs w:val="22"/>
              </w:rPr>
            </w:pPr>
            <w:r>
              <w:rPr>
                <w:rFonts w:hint="eastAsia"/>
                <w:bCs/>
                <w:color w:val="000000" w:themeColor="text1"/>
                <w:sz w:val="22"/>
                <w:szCs w:val="22"/>
                <w:lang w:val="en-US" w:eastAsia="zh-CN"/>
              </w:rPr>
              <w:t>10</w:t>
            </w:r>
            <w:r>
              <w:rPr>
                <w:rFonts w:hint="eastAsia"/>
                <w:bCs/>
                <w:color w:val="000000" w:themeColor="text1"/>
                <w:sz w:val="22"/>
                <w:szCs w:val="22"/>
              </w:rPr>
              <w:t>000.00</w:t>
            </w:r>
          </w:p>
        </w:tc>
      </w:tr>
    </w:tbl>
    <w:p>
      <w:pPr>
        <w:spacing w:before="120" w:beforeLines="50" w:line="360" w:lineRule="auto"/>
        <w:jc w:val="center"/>
        <w:rPr>
          <w:rFonts w:eastAsia="仿宋_GB2312"/>
          <w:b/>
          <w:bCs/>
          <w:color w:val="000000" w:themeColor="text1"/>
          <w:szCs w:val="24"/>
        </w:rPr>
      </w:pPr>
      <w:r>
        <w:rPr>
          <w:rFonts w:eastAsia="仿宋_GB2312"/>
          <w:b/>
          <w:bCs/>
          <w:color w:val="000000" w:themeColor="text1"/>
          <w:szCs w:val="24"/>
        </w:rPr>
        <w:t>表7-3    水土保持植物措施投资估算表     单位：</w:t>
      </w:r>
      <w:r>
        <w:rPr>
          <w:rFonts w:hint="eastAsia" w:eastAsia="仿宋_GB2312"/>
          <w:b/>
          <w:bCs/>
          <w:color w:val="000000" w:themeColor="text1"/>
          <w:szCs w:val="24"/>
        </w:rPr>
        <w:t>万</w:t>
      </w:r>
      <w:r>
        <w:rPr>
          <w:rFonts w:eastAsia="仿宋_GB2312"/>
          <w:b/>
          <w:bCs/>
          <w:color w:val="000000" w:themeColor="text1"/>
          <w:szCs w:val="24"/>
        </w:rPr>
        <w:t>元</w:t>
      </w:r>
    </w:p>
    <w:tbl>
      <w:tblPr>
        <w:tblStyle w:val="2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98"/>
        <w:gridCol w:w="2331"/>
        <w:gridCol w:w="1124"/>
        <w:gridCol w:w="1344"/>
        <w:gridCol w:w="1164"/>
        <w:gridCol w:w="137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98" w:type="dxa"/>
            <w:tcBorders>
              <w:tl2br w:val="nil"/>
              <w:tr2bl w:val="nil"/>
            </w:tcBorders>
            <w:vAlign w:val="center"/>
          </w:tcPr>
          <w:p>
            <w:pPr>
              <w:widowControl/>
              <w:jc w:val="center"/>
              <w:rPr>
                <w:rFonts w:eastAsia="仿宋_GB2312"/>
                <w:bCs/>
                <w:color w:val="000000" w:themeColor="text1"/>
                <w:sz w:val="21"/>
                <w:szCs w:val="21"/>
              </w:rPr>
            </w:pPr>
            <w:r>
              <w:rPr>
                <w:rFonts w:eastAsia="仿宋_GB2312"/>
                <w:bCs/>
                <w:color w:val="000000" w:themeColor="text1"/>
                <w:sz w:val="21"/>
                <w:szCs w:val="21"/>
              </w:rPr>
              <w:t>序号</w:t>
            </w:r>
          </w:p>
        </w:tc>
        <w:tc>
          <w:tcPr>
            <w:tcW w:w="2331" w:type="dxa"/>
            <w:tcBorders>
              <w:tl2br w:val="nil"/>
              <w:tr2bl w:val="nil"/>
            </w:tcBorders>
            <w:vAlign w:val="center"/>
          </w:tcPr>
          <w:p>
            <w:pPr>
              <w:widowControl/>
              <w:jc w:val="center"/>
              <w:rPr>
                <w:rFonts w:eastAsia="仿宋_GB2312"/>
                <w:bCs/>
                <w:color w:val="000000" w:themeColor="text1"/>
                <w:sz w:val="21"/>
                <w:szCs w:val="21"/>
              </w:rPr>
            </w:pPr>
            <w:r>
              <w:rPr>
                <w:rFonts w:eastAsia="仿宋_GB2312"/>
                <w:bCs/>
                <w:color w:val="000000" w:themeColor="text1"/>
                <w:sz w:val="21"/>
                <w:szCs w:val="21"/>
              </w:rPr>
              <w:t>项目</w:t>
            </w:r>
          </w:p>
        </w:tc>
        <w:tc>
          <w:tcPr>
            <w:tcW w:w="1124" w:type="dxa"/>
            <w:tcBorders>
              <w:tl2br w:val="nil"/>
              <w:tr2bl w:val="nil"/>
            </w:tcBorders>
            <w:vAlign w:val="center"/>
          </w:tcPr>
          <w:p>
            <w:pPr>
              <w:widowControl/>
              <w:jc w:val="center"/>
              <w:rPr>
                <w:rFonts w:eastAsia="仿宋_GB2312"/>
                <w:bCs/>
                <w:color w:val="000000" w:themeColor="text1"/>
                <w:sz w:val="21"/>
                <w:szCs w:val="21"/>
              </w:rPr>
            </w:pPr>
            <w:r>
              <w:rPr>
                <w:rFonts w:eastAsia="仿宋_GB2312"/>
                <w:bCs/>
                <w:color w:val="000000" w:themeColor="text1"/>
                <w:sz w:val="21"/>
                <w:szCs w:val="21"/>
              </w:rPr>
              <w:t>单位</w:t>
            </w:r>
          </w:p>
        </w:tc>
        <w:tc>
          <w:tcPr>
            <w:tcW w:w="1344" w:type="dxa"/>
            <w:tcBorders>
              <w:tl2br w:val="nil"/>
              <w:tr2bl w:val="nil"/>
            </w:tcBorders>
            <w:vAlign w:val="center"/>
          </w:tcPr>
          <w:p>
            <w:pPr>
              <w:widowControl/>
              <w:jc w:val="center"/>
              <w:rPr>
                <w:rFonts w:eastAsia="仿宋_GB2312"/>
                <w:bCs/>
                <w:color w:val="000000" w:themeColor="text1"/>
                <w:sz w:val="21"/>
                <w:szCs w:val="21"/>
              </w:rPr>
            </w:pPr>
            <w:r>
              <w:rPr>
                <w:rFonts w:eastAsia="仿宋_GB2312"/>
                <w:bCs/>
                <w:color w:val="000000" w:themeColor="text1"/>
                <w:sz w:val="21"/>
                <w:szCs w:val="21"/>
              </w:rPr>
              <w:t>数量</w:t>
            </w:r>
          </w:p>
        </w:tc>
        <w:tc>
          <w:tcPr>
            <w:tcW w:w="1164" w:type="dxa"/>
            <w:tcBorders>
              <w:tl2br w:val="nil"/>
              <w:tr2bl w:val="nil"/>
            </w:tcBorders>
            <w:vAlign w:val="center"/>
          </w:tcPr>
          <w:p>
            <w:pPr>
              <w:widowControl/>
              <w:jc w:val="center"/>
              <w:rPr>
                <w:rFonts w:eastAsia="仿宋_GB2312"/>
                <w:bCs/>
                <w:color w:val="000000" w:themeColor="text1"/>
                <w:sz w:val="21"/>
                <w:szCs w:val="21"/>
              </w:rPr>
            </w:pPr>
            <w:r>
              <w:rPr>
                <w:rFonts w:eastAsia="仿宋_GB2312"/>
                <w:bCs/>
                <w:color w:val="000000" w:themeColor="text1"/>
                <w:sz w:val="21"/>
                <w:szCs w:val="21"/>
              </w:rPr>
              <w:t>单价（元）</w:t>
            </w:r>
          </w:p>
        </w:tc>
        <w:tc>
          <w:tcPr>
            <w:tcW w:w="1371" w:type="dxa"/>
            <w:tcBorders>
              <w:tl2br w:val="nil"/>
              <w:tr2bl w:val="nil"/>
            </w:tcBorders>
            <w:vAlign w:val="center"/>
          </w:tcPr>
          <w:p>
            <w:pPr>
              <w:widowControl/>
              <w:jc w:val="center"/>
              <w:rPr>
                <w:rFonts w:eastAsia="仿宋_GB2312"/>
                <w:bCs/>
                <w:color w:val="000000" w:themeColor="text1"/>
                <w:sz w:val="21"/>
                <w:szCs w:val="21"/>
              </w:rPr>
            </w:pPr>
            <w:r>
              <w:rPr>
                <w:rFonts w:eastAsia="仿宋_GB2312"/>
                <w:bCs/>
                <w:color w:val="000000" w:themeColor="text1"/>
                <w:sz w:val="21"/>
                <w:szCs w:val="21"/>
              </w:rPr>
              <w:t>合计（元）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98" w:type="dxa"/>
            <w:tcBorders>
              <w:tl2br w:val="nil"/>
              <w:tr2bl w:val="nil"/>
            </w:tcBorders>
            <w:vAlign w:val="center"/>
          </w:tcPr>
          <w:p>
            <w:pPr>
              <w:jc w:val="center"/>
              <w:rPr>
                <w:bCs/>
                <w:color w:val="000000" w:themeColor="text1"/>
                <w:sz w:val="21"/>
                <w:szCs w:val="21"/>
              </w:rPr>
            </w:pPr>
            <w:r>
              <w:rPr>
                <w:rFonts w:eastAsia="仿宋_GB2312"/>
                <w:bCs/>
                <w:color w:val="000000" w:themeColor="text1"/>
                <w:sz w:val="21"/>
                <w:szCs w:val="21"/>
              </w:rPr>
              <w:t>第二部分</w:t>
            </w:r>
          </w:p>
        </w:tc>
        <w:tc>
          <w:tcPr>
            <w:tcW w:w="2331" w:type="dxa"/>
            <w:tcBorders>
              <w:tl2br w:val="nil"/>
              <w:tr2bl w:val="nil"/>
            </w:tcBorders>
            <w:vAlign w:val="center"/>
          </w:tcPr>
          <w:p>
            <w:pPr>
              <w:jc w:val="center"/>
              <w:rPr>
                <w:bCs/>
                <w:color w:val="000000" w:themeColor="text1"/>
                <w:sz w:val="21"/>
                <w:szCs w:val="21"/>
              </w:rPr>
            </w:pPr>
            <w:r>
              <w:rPr>
                <w:rFonts w:eastAsia="仿宋_GB2312"/>
                <w:bCs/>
                <w:color w:val="000000" w:themeColor="text1"/>
                <w:sz w:val="21"/>
                <w:szCs w:val="21"/>
              </w:rPr>
              <w:t>植物措施</w:t>
            </w:r>
          </w:p>
        </w:tc>
        <w:tc>
          <w:tcPr>
            <w:tcW w:w="1124" w:type="dxa"/>
            <w:tcBorders>
              <w:tl2br w:val="nil"/>
              <w:tr2bl w:val="nil"/>
            </w:tcBorders>
            <w:vAlign w:val="bottom"/>
          </w:tcPr>
          <w:p>
            <w:pPr>
              <w:rPr>
                <w:bCs/>
                <w:color w:val="000000" w:themeColor="text1"/>
                <w:sz w:val="21"/>
                <w:szCs w:val="21"/>
              </w:rPr>
            </w:pPr>
            <w:r>
              <w:rPr>
                <w:bCs/>
                <w:color w:val="000000" w:themeColor="text1"/>
                <w:sz w:val="21"/>
                <w:szCs w:val="21"/>
              </w:rPr>
              <w:t>　</w:t>
            </w:r>
          </w:p>
        </w:tc>
        <w:tc>
          <w:tcPr>
            <w:tcW w:w="1344" w:type="dxa"/>
            <w:tcBorders>
              <w:tl2br w:val="nil"/>
              <w:tr2bl w:val="nil"/>
            </w:tcBorders>
            <w:vAlign w:val="bottom"/>
          </w:tcPr>
          <w:p>
            <w:pPr>
              <w:rPr>
                <w:bCs/>
                <w:color w:val="000000" w:themeColor="text1"/>
                <w:sz w:val="21"/>
                <w:szCs w:val="21"/>
              </w:rPr>
            </w:pPr>
            <w:r>
              <w:rPr>
                <w:bCs/>
                <w:color w:val="000000" w:themeColor="text1"/>
                <w:sz w:val="21"/>
                <w:szCs w:val="21"/>
              </w:rPr>
              <w:t>　</w:t>
            </w:r>
          </w:p>
        </w:tc>
        <w:tc>
          <w:tcPr>
            <w:tcW w:w="1164" w:type="dxa"/>
            <w:tcBorders>
              <w:tl2br w:val="nil"/>
              <w:tr2bl w:val="nil"/>
            </w:tcBorders>
            <w:vAlign w:val="center"/>
          </w:tcPr>
          <w:p>
            <w:pPr>
              <w:jc w:val="center"/>
              <w:rPr>
                <w:bCs/>
                <w:color w:val="000000" w:themeColor="text1"/>
                <w:sz w:val="21"/>
                <w:szCs w:val="21"/>
              </w:rPr>
            </w:pPr>
            <w:r>
              <w:rPr>
                <w:bCs/>
                <w:color w:val="000000" w:themeColor="text1"/>
                <w:sz w:val="21"/>
                <w:szCs w:val="21"/>
              </w:rPr>
              <w:t>　</w:t>
            </w:r>
          </w:p>
        </w:tc>
        <w:tc>
          <w:tcPr>
            <w:tcW w:w="1371" w:type="dxa"/>
            <w:tcBorders>
              <w:tl2br w:val="nil"/>
              <w:tr2bl w:val="nil"/>
            </w:tcBorders>
            <w:vAlign w:val="center"/>
          </w:tcPr>
          <w:p>
            <w:pPr>
              <w:jc w:val="center"/>
              <w:rPr>
                <w:bCs/>
                <w:color w:val="000000" w:themeColor="text1"/>
                <w:sz w:val="21"/>
                <w:szCs w:val="21"/>
              </w:rPr>
            </w:pPr>
            <w:r>
              <w:rPr>
                <w:rFonts w:hint="eastAsia" w:ascii="Times New Roman" w:hAnsi="Times New Roman"/>
                <w:bCs/>
                <w:color w:val="000000" w:themeColor="text1"/>
                <w:sz w:val="22"/>
                <w:szCs w:val="22"/>
                <w:lang w:val="en-US" w:eastAsia="zh-CN"/>
              </w:rPr>
              <w:t>100700.0</w:t>
            </w:r>
            <w:r>
              <w:rPr>
                <w:rFonts w:hint="eastAsia" w:ascii="Times New Roman" w:hAnsi="Times New Roman"/>
                <w:bCs/>
                <w:color w:val="000000" w:themeColor="text1"/>
                <w:sz w:val="22"/>
                <w:szCs w:val="22"/>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98" w:type="dxa"/>
            <w:tcBorders>
              <w:tl2br w:val="nil"/>
              <w:tr2bl w:val="nil"/>
            </w:tcBorders>
            <w:vAlign w:val="center"/>
          </w:tcPr>
          <w:p>
            <w:pPr>
              <w:jc w:val="center"/>
              <w:rPr>
                <w:bCs/>
                <w:color w:val="000000" w:themeColor="text1"/>
                <w:sz w:val="21"/>
                <w:szCs w:val="21"/>
              </w:rPr>
            </w:pPr>
            <w:r>
              <w:rPr>
                <w:bCs/>
                <w:color w:val="000000" w:themeColor="text1"/>
                <w:sz w:val="21"/>
                <w:szCs w:val="21"/>
              </w:rPr>
              <w:t>1</w:t>
            </w:r>
          </w:p>
        </w:tc>
        <w:tc>
          <w:tcPr>
            <w:tcW w:w="2331" w:type="dxa"/>
            <w:tcBorders>
              <w:tl2br w:val="nil"/>
              <w:tr2bl w:val="nil"/>
            </w:tcBorders>
            <w:vAlign w:val="center"/>
          </w:tcPr>
          <w:p>
            <w:pPr>
              <w:widowControl/>
              <w:spacing w:line="240" w:lineRule="auto"/>
              <w:jc w:val="center"/>
              <w:rPr>
                <w:bCs/>
                <w:color w:val="000000" w:themeColor="text1"/>
                <w:sz w:val="21"/>
                <w:szCs w:val="21"/>
              </w:rPr>
            </w:pPr>
            <w:r>
              <w:rPr>
                <w:rFonts w:eastAsia="仿宋_GB2312"/>
                <w:color w:val="000000" w:themeColor="text1"/>
                <w:sz w:val="21"/>
                <w:szCs w:val="21"/>
              </w:rPr>
              <w:t>景观绿化</w:t>
            </w:r>
          </w:p>
        </w:tc>
        <w:tc>
          <w:tcPr>
            <w:tcW w:w="1124" w:type="dxa"/>
            <w:tcBorders>
              <w:tl2br w:val="nil"/>
              <w:tr2bl w:val="nil"/>
            </w:tcBorders>
            <w:vAlign w:val="center"/>
          </w:tcPr>
          <w:p>
            <w:pPr>
              <w:widowControl/>
              <w:spacing w:line="240" w:lineRule="auto"/>
              <w:jc w:val="center"/>
              <w:rPr>
                <w:bCs/>
                <w:color w:val="000000" w:themeColor="text1"/>
                <w:sz w:val="21"/>
                <w:szCs w:val="21"/>
              </w:rPr>
            </w:pPr>
            <w:r>
              <w:rPr>
                <w:rFonts w:eastAsia="仿宋_GB2312"/>
                <w:color w:val="000000" w:themeColor="text1"/>
                <w:sz w:val="21"/>
                <w:szCs w:val="21"/>
              </w:rPr>
              <w:t>m</w:t>
            </w:r>
            <w:r>
              <w:rPr>
                <w:rFonts w:eastAsia="仿宋_GB2312"/>
                <w:color w:val="000000" w:themeColor="text1"/>
                <w:sz w:val="21"/>
                <w:szCs w:val="21"/>
                <w:vertAlign w:val="superscript"/>
              </w:rPr>
              <w:t>2</w:t>
            </w:r>
          </w:p>
        </w:tc>
        <w:tc>
          <w:tcPr>
            <w:tcW w:w="1344" w:type="dxa"/>
            <w:tcBorders>
              <w:tl2br w:val="nil"/>
              <w:tr2bl w:val="nil"/>
            </w:tcBorders>
            <w:vAlign w:val="center"/>
          </w:tcPr>
          <w:p>
            <w:pPr>
              <w:pStyle w:val="77"/>
              <w:rPr>
                <w:rFonts w:hint="eastAsia" w:ascii="Times New Roman" w:hAnsi="Times New Roman" w:eastAsia="宋体"/>
                <w:bCs/>
                <w:color w:val="000000" w:themeColor="text1"/>
                <w:lang w:eastAsia="zh-CN"/>
              </w:rPr>
            </w:pPr>
            <w:r>
              <w:rPr>
                <w:rFonts w:hint="eastAsia" w:ascii="Times New Roman" w:hAnsi="Times New Roman"/>
                <w:bCs/>
                <w:color w:val="000000" w:themeColor="text1"/>
                <w:lang w:eastAsia="zh-CN"/>
              </w:rPr>
              <w:t>1258.75</w:t>
            </w:r>
          </w:p>
        </w:tc>
        <w:tc>
          <w:tcPr>
            <w:tcW w:w="1164" w:type="dxa"/>
            <w:tcBorders>
              <w:tl2br w:val="nil"/>
              <w:tr2bl w:val="nil"/>
            </w:tcBorders>
            <w:vAlign w:val="center"/>
          </w:tcPr>
          <w:p>
            <w:pPr>
              <w:pStyle w:val="77"/>
              <w:rPr>
                <w:rFonts w:ascii="Times New Roman" w:hAnsi="Times New Roman"/>
                <w:bCs/>
                <w:color w:val="000000" w:themeColor="text1"/>
                <w:sz w:val="22"/>
                <w:szCs w:val="22"/>
              </w:rPr>
            </w:pPr>
            <w:r>
              <w:rPr>
                <w:rFonts w:ascii="Times New Roman" w:hAnsi="Times New Roman" w:eastAsia="仿宋_GB2312"/>
                <w:color w:val="000000" w:themeColor="text1"/>
              </w:rPr>
              <w:t>80</w:t>
            </w:r>
          </w:p>
        </w:tc>
        <w:tc>
          <w:tcPr>
            <w:tcW w:w="1371" w:type="dxa"/>
            <w:tcBorders>
              <w:tl2br w:val="nil"/>
              <w:tr2bl w:val="nil"/>
            </w:tcBorders>
            <w:vAlign w:val="center"/>
          </w:tcPr>
          <w:p>
            <w:pPr>
              <w:pStyle w:val="77"/>
              <w:rPr>
                <w:rFonts w:ascii="Times New Roman" w:hAnsi="Times New Roman"/>
                <w:bCs/>
                <w:color w:val="000000" w:themeColor="text1"/>
                <w:sz w:val="22"/>
                <w:szCs w:val="22"/>
              </w:rPr>
            </w:pPr>
            <w:r>
              <w:rPr>
                <w:rFonts w:hint="eastAsia" w:ascii="Times New Roman" w:hAnsi="Times New Roman"/>
                <w:bCs/>
                <w:color w:val="000000" w:themeColor="text1"/>
                <w:sz w:val="22"/>
                <w:szCs w:val="22"/>
                <w:lang w:val="en-US" w:eastAsia="zh-CN"/>
              </w:rPr>
              <w:t>100700.0</w:t>
            </w:r>
            <w:r>
              <w:rPr>
                <w:rFonts w:hint="eastAsia" w:ascii="Times New Roman" w:hAnsi="Times New Roman"/>
                <w:bCs/>
                <w:color w:val="000000" w:themeColor="text1"/>
                <w:sz w:val="22"/>
                <w:szCs w:val="22"/>
              </w:rPr>
              <w:t>0</w:t>
            </w:r>
          </w:p>
        </w:tc>
      </w:tr>
    </w:tbl>
    <w:p>
      <w:pPr>
        <w:spacing w:before="120" w:beforeLines="50" w:line="360" w:lineRule="auto"/>
        <w:jc w:val="center"/>
        <w:rPr>
          <w:rFonts w:eastAsia="仿宋_GB2312"/>
          <w:b/>
          <w:bCs/>
          <w:color w:val="000000" w:themeColor="text1"/>
          <w:szCs w:val="24"/>
        </w:rPr>
      </w:pPr>
      <w:r>
        <w:rPr>
          <w:rFonts w:eastAsia="仿宋_GB2312"/>
          <w:b/>
          <w:bCs/>
          <w:color w:val="000000" w:themeColor="text1"/>
          <w:szCs w:val="24"/>
        </w:rPr>
        <w:t>表7-4    水土保持临时措施投资估算表    单位：万元</w:t>
      </w:r>
    </w:p>
    <w:tbl>
      <w:tblPr>
        <w:tblStyle w:val="2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80"/>
        <w:gridCol w:w="2301"/>
        <w:gridCol w:w="1110"/>
        <w:gridCol w:w="1327"/>
        <w:gridCol w:w="1260"/>
        <w:gridCol w:w="135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80" w:type="dxa"/>
            <w:tcBorders>
              <w:tl2br w:val="nil"/>
              <w:tr2bl w:val="nil"/>
            </w:tcBorders>
            <w:vAlign w:val="center"/>
          </w:tcPr>
          <w:p>
            <w:pPr>
              <w:widowControl/>
              <w:jc w:val="center"/>
              <w:rPr>
                <w:rFonts w:eastAsia="仿宋_GB2312"/>
                <w:bCs/>
                <w:color w:val="000000" w:themeColor="text1"/>
                <w:sz w:val="21"/>
                <w:szCs w:val="21"/>
              </w:rPr>
            </w:pPr>
            <w:r>
              <w:rPr>
                <w:rFonts w:eastAsia="仿宋_GB2312"/>
                <w:bCs/>
                <w:color w:val="000000" w:themeColor="text1"/>
                <w:sz w:val="21"/>
                <w:szCs w:val="21"/>
              </w:rPr>
              <w:t>序号</w:t>
            </w:r>
          </w:p>
        </w:tc>
        <w:tc>
          <w:tcPr>
            <w:tcW w:w="2301" w:type="dxa"/>
            <w:tcBorders>
              <w:tl2br w:val="nil"/>
              <w:tr2bl w:val="nil"/>
            </w:tcBorders>
            <w:vAlign w:val="center"/>
          </w:tcPr>
          <w:p>
            <w:pPr>
              <w:widowControl/>
              <w:jc w:val="center"/>
              <w:rPr>
                <w:rFonts w:eastAsia="仿宋_GB2312"/>
                <w:bCs/>
                <w:color w:val="000000" w:themeColor="text1"/>
                <w:sz w:val="21"/>
                <w:szCs w:val="21"/>
              </w:rPr>
            </w:pPr>
            <w:r>
              <w:rPr>
                <w:rFonts w:eastAsia="仿宋_GB2312"/>
                <w:bCs/>
                <w:color w:val="000000" w:themeColor="text1"/>
                <w:sz w:val="21"/>
                <w:szCs w:val="21"/>
              </w:rPr>
              <w:t>项目</w:t>
            </w:r>
          </w:p>
        </w:tc>
        <w:tc>
          <w:tcPr>
            <w:tcW w:w="1110" w:type="dxa"/>
            <w:tcBorders>
              <w:tl2br w:val="nil"/>
              <w:tr2bl w:val="nil"/>
            </w:tcBorders>
            <w:vAlign w:val="center"/>
          </w:tcPr>
          <w:p>
            <w:pPr>
              <w:widowControl/>
              <w:jc w:val="center"/>
              <w:rPr>
                <w:rFonts w:eastAsia="仿宋_GB2312"/>
                <w:bCs/>
                <w:color w:val="000000" w:themeColor="text1"/>
                <w:sz w:val="21"/>
                <w:szCs w:val="21"/>
              </w:rPr>
            </w:pPr>
            <w:r>
              <w:rPr>
                <w:rFonts w:eastAsia="仿宋_GB2312"/>
                <w:bCs/>
                <w:color w:val="000000" w:themeColor="text1"/>
                <w:sz w:val="21"/>
                <w:szCs w:val="21"/>
              </w:rPr>
              <w:t>单位</w:t>
            </w:r>
          </w:p>
        </w:tc>
        <w:tc>
          <w:tcPr>
            <w:tcW w:w="1327" w:type="dxa"/>
            <w:tcBorders>
              <w:tl2br w:val="nil"/>
              <w:tr2bl w:val="nil"/>
            </w:tcBorders>
            <w:vAlign w:val="center"/>
          </w:tcPr>
          <w:p>
            <w:pPr>
              <w:widowControl/>
              <w:jc w:val="center"/>
              <w:rPr>
                <w:rFonts w:eastAsia="仿宋_GB2312"/>
                <w:bCs/>
                <w:color w:val="000000" w:themeColor="text1"/>
                <w:sz w:val="21"/>
                <w:szCs w:val="21"/>
              </w:rPr>
            </w:pPr>
            <w:r>
              <w:rPr>
                <w:rFonts w:eastAsia="仿宋_GB2312"/>
                <w:bCs/>
                <w:color w:val="000000" w:themeColor="text1"/>
                <w:sz w:val="21"/>
                <w:szCs w:val="21"/>
              </w:rPr>
              <w:t>数量</w:t>
            </w:r>
          </w:p>
        </w:tc>
        <w:tc>
          <w:tcPr>
            <w:tcW w:w="1260" w:type="dxa"/>
            <w:tcBorders>
              <w:tl2br w:val="nil"/>
              <w:tr2bl w:val="nil"/>
            </w:tcBorders>
            <w:vAlign w:val="center"/>
          </w:tcPr>
          <w:p>
            <w:pPr>
              <w:widowControl/>
              <w:jc w:val="center"/>
              <w:rPr>
                <w:rFonts w:eastAsia="仿宋_GB2312"/>
                <w:bCs/>
                <w:color w:val="000000" w:themeColor="text1"/>
                <w:sz w:val="21"/>
                <w:szCs w:val="21"/>
              </w:rPr>
            </w:pPr>
            <w:r>
              <w:rPr>
                <w:rFonts w:eastAsia="仿宋_GB2312"/>
                <w:bCs/>
                <w:color w:val="000000" w:themeColor="text1"/>
                <w:sz w:val="21"/>
                <w:szCs w:val="21"/>
              </w:rPr>
              <w:t>单价（元）</w:t>
            </w:r>
          </w:p>
        </w:tc>
        <w:tc>
          <w:tcPr>
            <w:tcW w:w="1354" w:type="dxa"/>
            <w:tcBorders>
              <w:tl2br w:val="nil"/>
              <w:tr2bl w:val="nil"/>
            </w:tcBorders>
            <w:vAlign w:val="center"/>
          </w:tcPr>
          <w:p>
            <w:pPr>
              <w:widowControl/>
              <w:jc w:val="center"/>
              <w:rPr>
                <w:rFonts w:eastAsia="仿宋_GB2312"/>
                <w:bCs/>
                <w:color w:val="000000" w:themeColor="text1"/>
                <w:sz w:val="21"/>
                <w:szCs w:val="21"/>
              </w:rPr>
            </w:pPr>
            <w:r>
              <w:rPr>
                <w:rFonts w:eastAsia="仿宋_GB2312"/>
                <w:bCs/>
                <w:color w:val="000000" w:themeColor="text1"/>
                <w:sz w:val="21"/>
                <w:szCs w:val="21"/>
              </w:rPr>
              <w:t>合计（元）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80" w:type="dxa"/>
            <w:tcBorders>
              <w:tl2br w:val="nil"/>
              <w:tr2bl w:val="nil"/>
            </w:tcBorders>
            <w:vAlign w:val="center"/>
          </w:tcPr>
          <w:p>
            <w:pPr>
              <w:jc w:val="center"/>
              <w:rPr>
                <w:bCs/>
                <w:color w:val="000000" w:themeColor="text1"/>
                <w:sz w:val="21"/>
                <w:szCs w:val="21"/>
              </w:rPr>
            </w:pPr>
            <w:r>
              <w:rPr>
                <w:rFonts w:eastAsia="仿宋_GB2312"/>
                <w:bCs/>
                <w:color w:val="000000" w:themeColor="text1"/>
                <w:sz w:val="21"/>
                <w:szCs w:val="21"/>
              </w:rPr>
              <w:t>第三部分</w:t>
            </w:r>
          </w:p>
        </w:tc>
        <w:tc>
          <w:tcPr>
            <w:tcW w:w="2301" w:type="dxa"/>
            <w:tcBorders>
              <w:tl2br w:val="nil"/>
              <w:tr2bl w:val="nil"/>
            </w:tcBorders>
            <w:vAlign w:val="center"/>
          </w:tcPr>
          <w:p>
            <w:pPr>
              <w:jc w:val="center"/>
              <w:rPr>
                <w:bCs/>
                <w:color w:val="000000" w:themeColor="text1"/>
                <w:sz w:val="21"/>
                <w:szCs w:val="21"/>
              </w:rPr>
            </w:pPr>
            <w:r>
              <w:rPr>
                <w:rFonts w:eastAsia="仿宋_GB2312"/>
                <w:bCs/>
                <w:color w:val="000000" w:themeColor="text1"/>
                <w:sz w:val="21"/>
                <w:szCs w:val="21"/>
              </w:rPr>
              <w:t>临时措施</w:t>
            </w:r>
          </w:p>
        </w:tc>
        <w:tc>
          <w:tcPr>
            <w:tcW w:w="1110" w:type="dxa"/>
            <w:tcBorders>
              <w:tl2br w:val="nil"/>
              <w:tr2bl w:val="nil"/>
            </w:tcBorders>
            <w:vAlign w:val="center"/>
          </w:tcPr>
          <w:p>
            <w:pPr>
              <w:jc w:val="center"/>
              <w:rPr>
                <w:bCs/>
                <w:color w:val="000000" w:themeColor="text1"/>
                <w:sz w:val="21"/>
                <w:szCs w:val="21"/>
              </w:rPr>
            </w:pPr>
            <w:r>
              <w:rPr>
                <w:bCs/>
                <w:color w:val="000000" w:themeColor="text1"/>
                <w:sz w:val="21"/>
                <w:szCs w:val="21"/>
              </w:rPr>
              <w:t>　</w:t>
            </w:r>
          </w:p>
        </w:tc>
        <w:tc>
          <w:tcPr>
            <w:tcW w:w="1327" w:type="dxa"/>
            <w:tcBorders>
              <w:tl2br w:val="nil"/>
              <w:tr2bl w:val="nil"/>
            </w:tcBorders>
            <w:vAlign w:val="center"/>
          </w:tcPr>
          <w:p>
            <w:pPr>
              <w:pStyle w:val="77"/>
              <w:rPr>
                <w:rFonts w:ascii="Times New Roman" w:hAnsi="Times New Roman"/>
                <w:bCs/>
                <w:color w:val="000000" w:themeColor="text1"/>
              </w:rPr>
            </w:pPr>
          </w:p>
        </w:tc>
        <w:tc>
          <w:tcPr>
            <w:tcW w:w="1260" w:type="dxa"/>
            <w:tcBorders>
              <w:tl2br w:val="nil"/>
              <w:tr2bl w:val="nil"/>
            </w:tcBorders>
            <w:vAlign w:val="center"/>
          </w:tcPr>
          <w:p>
            <w:pPr>
              <w:pStyle w:val="77"/>
              <w:rPr>
                <w:rFonts w:ascii="Times New Roman" w:hAnsi="Times New Roman"/>
                <w:bCs/>
                <w:color w:val="000000" w:themeColor="text1"/>
              </w:rPr>
            </w:pPr>
          </w:p>
        </w:tc>
        <w:tc>
          <w:tcPr>
            <w:tcW w:w="1354" w:type="dxa"/>
            <w:tcBorders>
              <w:tl2br w:val="nil"/>
              <w:tr2bl w:val="nil"/>
            </w:tcBorders>
            <w:vAlign w:val="center"/>
          </w:tcPr>
          <w:p>
            <w:pPr>
              <w:pStyle w:val="77"/>
              <w:rPr>
                <w:rFonts w:hint="default" w:ascii="Times New Roman" w:hAnsi="Times New Roman" w:eastAsia="宋体"/>
                <w:bCs/>
                <w:color w:val="000000" w:themeColor="text1"/>
                <w:lang w:val="en-US" w:eastAsia="zh-CN"/>
              </w:rPr>
            </w:pPr>
            <w:r>
              <w:rPr>
                <w:rFonts w:hint="eastAsia" w:ascii="Times New Roman" w:hAnsi="Times New Roman"/>
                <w:bCs/>
                <w:color w:val="000000" w:themeColor="text1"/>
                <w:lang w:val="en-US" w:eastAsia="zh-CN"/>
              </w:rPr>
              <w:t>26765.02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80" w:type="dxa"/>
            <w:tcBorders>
              <w:tl2br w:val="nil"/>
              <w:tr2bl w:val="nil"/>
            </w:tcBorders>
            <w:vAlign w:val="center"/>
          </w:tcPr>
          <w:p>
            <w:pPr>
              <w:jc w:val="center"/>
              <w:rPr>
                <w:bCs/>
                <w:color w:val="000000" w:themeColor="text1"/>
                <w:sz w:val="21"/>
                <w:szCs w:val="21"/>
              </w:rPr>
            </w:pPr>
            <w:r>
              <w:rPr>
                <w:bCs/>
                <w:color w:val="000000" w:themeColor="text1"/>
                <w:sz w:val="21"/>
                <w:szCs w:val="21"/>
              </w:rPr>
              <w:t>1</w:t>
            </w:r>
          </w:p>
        </w:tc>
        <w:tc>
          <w:tcPr>
            <w:tcW w:w="2301" w:type="dxa"/>
            <w:tcBorders>
              <w:tl2br w:val="nil"/>
              <w:tr2bl w:val="nil"/>
            </w:tcBorders>
            <w:vAlign w:val="center"/>
          </w:tcPr>
          <w:p>
            <w:pPr>
              <w:spacing w:line="240" w:lineRule="auto"/>
              <w:jc w:val="center"/>
              <w:rPr>
                <w:bCs/>
                <w:color w:val="000000" w:themeColor="text1"/>
                <w:sz w:val="21"/>
                <w:szCs w:val="21"/>
              </w:rPr>
            </w:pPr>
            <w:r>
              <w:rPr>
                <w:rFonts w:eastAsia="仿宋_GB2312"/>
                <w:bCs/>
                <w:color w:val="000000" w:themeColor="text1"/>
                <w:sz w:val="21"/>
                <w:szCs w:val="21"/>
              </w:rPr>
              <w:t>密目网苫盖</w:t>
            </w:r>
          </w:p>
        </w:tc>
        <w:tc>
          <w:tcPr>
            <w:tcW w:w="1110" w:type="dxa"/>
            <w:tcBorders>
              <w:tl2br w:val="nil"/>
              <w:tr2bl w:val="nil"/>
            </w:tcBorders>
            <w:vAlign w:val="center"/>
          </w:tcPr>
          <w:p>
            <w:pPr>
              <w:widowControl/>
              <w:adjustRightInd/>
              <w:spacing w:line="240" w:lineRule="auto"/>
              <w:jc w:val="center"/>
              <w:textAlignment w:val="auto"/>
              <w:rPr>
                <w:bCs/>
                <w:color w:val="000000" w:themeColor="text1"/>
                <w:sz w:val="21"/>
                <w:szCs w:val="21"/>
              </w:rPr>
            </w:pPr>
            <w:r>
              <w:rPr>
                <w:rFonts w:eastAsia="仿宋_GB2312"/>
                <w:bCs/>
                <w:color w:val="000000" w:themeColor="text1"/>
                <w:sz w:val="21"/>
                <w:szCs w:val="21"/>
              </w:rPr>
              <w:t>100m</w:t>
            </w:r>
            <w:r>
              <w:rPr>
                <w:rFonts w:eastAsia="仿宋_GB2312"/>
                <w:bCs/>
                <w:color w:val="000000" w:themeColor="text1"/>
                <w:sz w:val="21"/>
                <w:szCs w:val="21"/>
                <w:vertAlign w:val="superscript"/>
              </w:rPr>
              <w:t>2</w:t>
            </w:r>
          </w:p>
        </w:tc>
        <w:tc>
          <w:tcPr>
            <w:tcW w:w="1327" w:type="dxa"/>
            <w:tcBorders>
              <w:tl2br w:val="nil"/>
              <w:tr2bl w:val="nil"/>
            </w:tcBorders>
            <w:vAlign w:val="center"/>
          </w:tcPr>
          <w:p>
            <w:pPr>
              <w:widowControl/>
              <w:adjustRightInd/>
              <w:spacing w:line="240" w:lineRule="auto"/>
              <w:jc w:val="center"/>
              <w:textAlignment w:val="auto"/>
              <w:rPr>
                <w:rFonts w:hint="default" w:eastAsia="仿宋_GB2312"/>
                <w:bCs/>
                <w:color w:val="000000" w:themeColor="text1"/>
                <w:sz w:val="21"/>
                <w:szCs w:val="21"/>
                <w:lang w:val="en-US" w:eastAsia="zh-CN"/>
              </w:rPr>
            </w:pPr>
            <w:r>
              <w:rPr>
                <w:rFonts w:hint="eastAsia" w:eastAsia="仿宋_GB2312"/>
                <w:bCs/>
                <w:color w:val="000000" w:themeColor="text1"/>
                <w:sz w:val="21"/>
                <w:szCs w:val="21"/>
                <w:lang w:val="en-US" w:eastAsia="zh-CN"/>
              </w:rPr>
              <w:t>15.60</w:t>
            </w:r>
          </w:p>
        </w:tc>
        <w:tc>
          <w:tcPr>
            <w:tcW w:w="1260" w:type="dxa"/>
            <w:tcBorders>
              <w:tl2br w:val="nil"/>
              <w:tr2bl w:val="nil"/>
            </w:tcBorders>
            <w:vAlign w:val="center"/>
          </w:tcPr>
          <w:p>
            <w:pPr>
              <w:widowControl/>
              <w:adjustRightInd/>
              <w:spacing w:line="240" w:lineRule="auto"/>
              <w:jc w:val="center"/>
              <w:textAlignment w:val="auto"/>
              <w:rPr>
                <w:bCs/>
                <w:color w:val="000000" w:themeColor="text1"/>
                <w:sz w:val="21"/>
                <w:szCs w:val="21"/>
              </w:rPr>
            </w:pPr>
            <w:r>
              <w:rPr>
                <w:rFonts w:eastAsia="仿宋_GB2312"/>
                <w:bCs/>
                <w:color w:val="000000" w:themeColor="text1"/>
                <w:sz w:val="21"/>
                <w:szCs w:val="21"/>
              </w:rPr>
              <w:t>510.98</w:t>
            </w:r>
          </w:p>
        </w:tc>
        <w:tc>
          <w:tcPr>
            <w:tcW w:w="1354" w:type="dxa"/>
            <w:tcBorders>
              <w:tl2br w:val="nil"/>
              <w:tr2bl w:val="nil"/>
            </w:tcBorders>
            <w:vAlign w:val="center"/>
          </w:tcPr>
          <w:p>
            <w:pPr>
              <w:spacing w:line="240" w:lineRule="auto"/>
              <w:jc w:val="center"/>
              <w:rPr>
                <w:rFonts w:hint="default" w:eastAsia="宋体"/>
                <w:bCs/>
                <w:color w:val="000000" w:themeColor="text1"/>
                <w:sz w:val="21"/>
                <w:szCs w:val="21"/>
                <w:lang w:val="en-US" w:eastAsia="zh-CN"/>
              </w:rPr>
            </w:pPr>
            <w:r>
              <w:rPr>
                <w:rFonts w:hint="eastAsia"/>
                <w:bCs/>
                <w:color w:val="000000" w:themeColor="text1"/>
                <w:sz w:val="21"/>
                <w:szCs w:val="21"/>
                <w:lang w:val="en-US" w:eastAsia="zh-CN"/>
              </w:rPr>
              <w:t>7971.29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80" w:type="dxa"/>
            <w:tcBorders>
              <w:tl2br w:val="nil"/>
              <w:tr2bl w:val="nil"/>
            </w:tcBorders>
            <w:vAlign w:val="center"/>
          </w:tcPr>
          <w:p>
            <w:pPr>
              <w:jc w:val="center"/>
              <w:rPr>
                <w:bCs/>
                <w:color w:val="000000" w:themeColor="text1"/>
                <w:sz w:val="21"/>
                <w:szCs w:val="21"/>
              </w:rPr>
            </w:pPr>
            <w:r>
              <w:rPr>
                <w:bCs/>
                <w:color w:val="000000" w:themeColor="text1"/>
                <w:sz w:val="21"/>
                <w:szCs w:val="21"/>
              </w:rPr>
              <w:t>2</w:t>
            </w:r>
          </w:p>
        </w:tc>
        <w:tc>
          <w:tcPr>
            <w:tcW w:w="2301" w:type="dxa"/>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编织袋土拦挡</w:t>
            </w:r>
          </w:p>
        </w:tc>
        <w:tc>
          <w:tcPr>
            <w:tcW w:w="1110" w:type="dxa"/>
            <w:tcBorders>
              <w:tl2br w:val="nil"/>
              <w:tr2bl w:val="nil"/>
            </w:tcBorders>
            <w:vAlign w:val="center"/>
          </w:tcPr>
          <w:p>
            <w:pPr>
              <w:widowControl/>
              <w:adjustRightInd/>
              <w:spacing w:line="240" w:lineRule="auto"/>
              <w:jc w:val="center"/>
              <w:textAlignment w:val="auto"/>
              <w:rPr>
                <w:bCs/>
                <w:color w:val="000000" w:themeColor="text1"/>
                <w:sz w:val="21"/>
                <w:szCs w:val="21"/>
              </w:rPr>
            </w:pPr>
            <w:r>
              <w:rPr>
                <w:rFonts w:eastAsia="仿宋_GB2312"/>
                <w:bCs/>
                <w:color w:val="000000" w:themeColor="text1"/>
                <w:sz w:val="21"/>
                <w:szCs w:val="21"/>
              </w:rPr>
              <w:t>100m</w:t>
            </w:r>
            <w:r>
              <w:rPr>
                <w:rFonts w:eastAsia="仿宋_GB2312"/>
                <w:bCs/>
                <w:color w:val="000000" w:themeColor="text1"/>
                <w:sz w:val="21"/>
                <w:szCs w:val="21"/>
                <w:vertAlign w:val="superscript"/>
              </w:rPr>
              <w:t>3</w:t>
            </w:r>
          </w:p>
        </w:tc>
        <w:tc>
          <w:tcPr>
            <w:tcW w:w="1327" w:type="dxa"/>
            <w:tcBorders>
              <w:tl2br w:val="nil"/>
              <w:tr2bl w:val="nil"/>
            </w:tcBorders>
            <w:vAlign w:val="center"/>
          </w:tcPr>
          <w:p>
            <w:pPr>
              <w:widowControl/>
              <w:adjustRightInd/>
              <w:spacing w:line="240" w:lineRule="auto"/>
              <w:jc w:val="center"/>
              <w:textAlignment w:val="auto"/>
              <w:rPr>
                <w:rFonts w:hint="default" w:eastAsia="仿宋_GB2312"/>
                <w:bCs/>
                <w:color w:val="000000" w:themeColor="text1"/>
                <w:sz w:val="21"/>
                <w:szCs w:val="21"/>
                <w:lang w:val="en-US" w:eastAsia="zh-CN"/>
              </w:rPr>
            </w:pPr>
            <w:r>
              <w:rPr>
                <w:rFonts w:hint="eastAsia" w:eastAsia="仿宋_GB2312"/>
                <w:bCs/>
                <w:color w:val="000000" w:themeColor="text1"/>
                <w:sz w:val="21"/>
                <w:szCs w:val="21"/>
              </w:rPr>
              <w:t>0.</w:t>
            </w:r>
            <w:r>
              <w:rPr>
                <w:rFonts w:hint="eastAsia" w:eastAsia="仿宋_GB2312"/>
                <w:bCs/>
                <w:color w:val="000000" w:themeColor="text1"/>
                <w:sz w:val="21"/>
                <w:szCs w:val="21"/>
                <w:lang w:val="en-US" w:eastAsia="zh-CN"/>
              </w:rPr>
              <w:t>46</w:t>
            </w:r>
          </w:p>
        </w:tc>
        <w:tc>
          <w:tcPr>
            <w:tcW w:w="1260" w:type="dxa"/>
            <w:tcBorders>
              <w:tl2br w:val="nil"/>
              <w:tr2bl w:val="nil"/>
            </w:tcBorders>
            <w:vAlign w:val="center"/>
          </w:tcPr>
          <w:p>
            <w:pPr>
              <w:widowControl/>
              <w:adjustRightInd/>
              <w:spacing w:line="240" w:lineRule="auto"/>
              <w:jc w:val="center"/>
              <w:textAlignment w:val="auto"/>
              <w:rPr>
                <w:bCs/>
                <w:color w:val="000000" w:themeColor="text1"/>
                <w:sz w:val="21"/>
                <w:szCs w:val="21"/>
              </w:rPr>
            </w:pPr>
            <w:r>
              <w:rPr>
                <w:rFonts w:eastAsia="仿宋_GB2312"/>
                <w:bCs/>
                <w:color w:val="000000" w:themeColor="text1"/>
                <w:sz w:val="21"/>
                <w:szCs w:val="21"/>
              </w:rPr>
              <w:t>35198.10</w:t>
            </w:r>
          </w:p>
        </w:tc>
        <w:tc>
          <w:tcPr>
            <w:tcW w:w="1354" w:type="dxa"/>
            <w:tcBorders>
              <w:tl2br w:val="nil"/>
              <w:tr2bl w:val="nil"/>
            </w:tcBorders>
            <w:vAlign w:val="center"/>
          </w:tcPr>
          <w:p>
            <w:pPr>
              <w:spacing w:line="240" w:lineRule="auto"/>
              <w:jc w:val="center"/>
              <w:rPr>
                <w:rFonts w:hint="default" w:eastAsia="宋体"/>
                <w:bCs/>
                <w:color w:val="000000" w:themeColor="text1"/>
                <w:sz w:val="21"/>
                <w:szCs w:val="21"/>
                <w:lang w:val="en-US" w:eastAsia="zh-CN"/>
              </w:rPr>
            </w:pPr>
            <w:r>
              <w:rPr>
                <w:rFonts w:hint="eastAsia"/>
                <w:bCs/>
                <w:color w:val="000000" w:themeColor="text1"/>
                <w:sz w:val="21"/>
                <w:szCs w:val="21"/>
                <w:lang w:val="en-US" w:eastAsia="zh-CN"/>
              </w:rPr>
              <w:t>16191.13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80" w:type="dxa"/>
            <w:tcBorders>
              <w:tl2br w:val="nil"/>
              <w:tr2bl w:val="nil"/>
            </w:tcBorders>
            <w:vAlign w:val="center"/>
          </w:tcPr>
          <w:p>
            <w:pPr>
              <w:jc w:val="center"/>
              <w:rPr>
                <w:bCs/>
                <w:color w:val="000000" w:themeColor="text1"/>
                <w:sz w:val="21"/>
                <w:szCs w:val="21"/>
              </w:rPr>
            </w:pPr>
            <w:r>
              <w:rPr>
                <w:bCs/>
                <w:color w:val="000000" w:themeColor="text1"/>
                <w:sz w:val="21"/>
                <w:szCs w:val="21"/>
              </w:rPr>
              <w:t>3</w:t>
            </w:r>
          </w:p>
        </w:tc>
        <w:tc>
          <w:tcPr>
            <w:tcW w:w="2301" w:type="dxa"/>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编织袋土拆除</w:t>
            </w:r>
          </w:p>
        </w:tc>
        <w:tc>
          <w:tcPr>
            <w:tcW w:w="1110" w:type="dxa"/>
            <w:tcBorders>
              <w:tl2br w:val="nil"/>
              <w:tr2bl w:val="nil"/>
            </w:tcBorders>
            <w:vAlign w:val="center"/>
          </w:tcPr>
          <w:p>
            <w:pPr>
              <w:widowControl/>
              <w:adjustRightInd/>
              <w:spacing w:line="240" w:lineRule="auto"/>
              <w:jc w:val="center"/>
              <w:textAlignment w:val="auto"/>
              <w:rPr>
                <w:bCs/>
                <w:color w:val="000000" w:themeColor="text1"/>
                <w:sz w:val="21"/>
                <w:szCs w:val="21"/>
              </w:rPr>
            </w:pPr>
            <w:r>
              <w:rPr>
                <w:rFonts w:eastAsia="仿宋_GB2312"/>
                <w:bCs/>
                <w:color w:val="000000" w:themeColor="text1"/>
                <w:sz w:val="21"/>
                <w:szCs w:val="21"/>
              </w:rPr>
              <w:t>100m</w:t>
            </w:r>
            <w:r>
              <w:rPr>
                <w:rFonts w:eastAsia="仿宋_GB2312"/>
                <w:bCs/>
                <w:color w:val="000000" w:themeColor="text1"/>
                <w:sz w:val="21"/>
                <w:szCs w:val="21"/>
                <w:vertAlign w:val="superscript"/>
              </w:rPr>
              <w:t>3</w:t>
            </w:r>
          </w:p>
        </w:tc>
        <w:tc>
          <w:tcPr>
            <w:tcW w:w="1327" w:type="dxa"/>
            <w:tcBorders>
              <w:tl2br w:val="nil"/>
              <w:tr2bl w:val="nil"/>
            </w:tcBorders>
            <w:vAlign w:val="center"/>
          </w:tcPr>
          <w:p>
            <w:pPr>
              <w:widowControl/>
              <w:adjustRightInd/>
              <w:spacing w:line="240" w:lineRule="auto"/>
              <w:jc w:val="center"/>
              <w:textAlignment w:val="auto"/>
              <w:rPr>
                <w:rFonts w:hint="default" w:eastAsia="仿宋_GB2312"/>
                <w:bCs/>
                <w:color w:val="000000" w:themeColor="text1"/>
                <w:sz w:val="21"/>
                <w:szCs w:val="21"/>
                <w:lang w:val="en-US" w:eastAsia="zh-CN"/>
              </w:rPr>
            </w:pPr>
            <w:r>
              <w:rPr>
                <w:rFonts w:hint="eastAsia" w:eastAsia="仿宋_GB2312"/>
                <w:bCs/>
                <w:color w:val="000000" w:themeColor="text1"/>
                <w:sz w:val="21"/>
                <w:szCs w:val="21"/>
              </w:rPr>
              <w:t>0.</w:t>
            </w:r>
            <w:r>
              <w:rPr>
                <w:rFonts w:hint="eastAsia" w:eastAsia="仿宋_GB2312"/>
                <w:bCs/>
                <w:color w:val="000000" w:themeColor="text1"/>
                <w:sz w:val="21"/>
                <w:szCs w:val="21"/>
                <w:lang w:val="en-US" w:eastAsia="zh-CN"/>
              </w:rPr>
              <w:t>46</w:t>
            </w:r>
          </w:p>
        </w:tc>
        <w:tc>
          <w:tcPr>
            <w:tcW w:w="1260" w:type="dxa"/>
            <w:tcBorders>
              <w:tl2br w:val="nil"/>
              <w:tr2bl w:val="nil"/>
            </w:tcBorders>
            <w:vAlign w:val="center"/>
          </w:tcPr>
          <w:p>
            <w:pPr>
              <w:widowControl/>
              <w:adjustRightInd/>
              <w:spacing w:line="240" w:lineRule="auto"/>
              <w:jc w:val="center"/>
              <w:textAlignment w:val="auto"/>
              <w:rPr>
                <w:bCs/>
                <w:color w:val="000000" w:themeColor="text1"/>
                <w:sz w:val="21"/>
                <w:szCs w:val="21"/>
              </w:rPr>
            </w:pPr>
            <w:r>
              <w:rPr>
                <w:rFonts w:eastAsia="仿宋_GB2312"/>
                <w:bCs/>
                <w:color w:val="000000" w:themeColor="text1"/>
                <w:sz w:val="21"/>
                <w:szCs w:val="21"/>
              </w:rPr>
              <w:t>4516.95</w:t>
            </w:r>
          </w:p>
        </w:tc>
        <w:tc>
          <w:tcPr>
            <w:tcW w:w="1354" w:type="dxa"/>
            <w:tcBorders>
              <w:tl2br w:val="nil"/>
              <w:tr2bl w:val="nil"/>
            </w:tcBorders>
            <w:vAlign w:val="center"/>
          </w:tcPr>
          <w:p>
            <w:pPr>
              <w:spacing w:line="240" w:lineRule="auto"/>
              <w:jc w:val="center"/>
              <w:rPr>
                <w:rFonts w:hint="default" w:eastAsia="宋体"/>
                <w:bCs/>
                <w:color w:val="000000" w:themeColor="text1"/>
                <w:sz w:val="21"/>
                <w:szCs w:val="21"/>
                <w:lang w:val="en-US" w:eastAsia="zh-CN"/>
              </w:rPr>
            </w:pPr>
            <w:r>
              <w:rPr>
                <w:rFonts w:hint="eastAsia"/>
                <w:bCs/>
                <w:color w:val="000000" w:themeColor="text1"/>
                <w:sz w:val="21"/>
                <w:szCs w:val="21"/>
              </w:rPr>
              <w:t>2</w:t>
            </w:r>
            <w:r>
              <w:rPr>
                <w:rFonts w:hint="eastAsia"/>
                <w:bCs/>
                <w:color w:val="000000" w:themeColor="text1"/>
                <w:sz w:val="21"/>
                <w:szCs w:val="21"/>
                <w:lang w:val="en-US" w:eastAsia="zh-CN"/>
              </w:rPr>
              <w:t>077.80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380" w:type="dxa"/>
            <w:tcBorders>
              <w:tl2br w:val="nil"/>
              <w:tr2bl w:val="nil"/>
            </w:tcBorders>
            <w:vAlign w:val="center"/>
          </w:tcPr>
          <w:p>
            <w:pPr>
              <w:jc w:val="center"/>
              <w:rPr>
                <w:bCs/>
                <w:color w:val="000000" w:themeColor="text1"/>
                <w:sz w:val="21"/>
                <w:szCs w:val="21"/>
              </w:rPr>
            </w:pPr>
            <w:r>
              <w:rPr>
                <w:bCs/>
                <w:color w:val="000000" w:themeColor="text1"/>
                <w:sz w:val="21"/>
                <w:szCs w:val="21"/>
              </w:rPr>
              <w:t>4</w:t>
            </w:r>
          </w:p>
        </w:tc>
        <w:tc>
          <w:tcPr>
            <w:tcW w:w="2301" w:type="dxa"/>
            <w:tcBorders>
              <w:tl2br w:val="nil"/>
              <w:tr2bl w:val="nil"/>
            </w:tcBorders>
            <w:vAlign w:val="center"/>
          </w:tcPr>
          <w:p>
            <w:pPr>
              <w:jc w:val="center"/>
              <w:rPr>
                <w:bCs/>
                <w:color w:val="000000" w:themeColor="text1"/>
                <w:sz w:val="21"/>
                <w:szCs w:val="21"/>
              </w:rPr>
            </w:pPr>
            <w:r>
              <w:rPr>
                <w:rFonts w:eastAsia="仿宋_GB2312"/>
                <w:bCs/>
                <w:color w:val="000000" w:themeColor="text1"/>
                <w:sz w:val="21"/>
                <w:szCs w:val="21"/>
              </w:rPr>
              <w:t>其他临时措施</w:t>
            </w:r>
          </w:p>
        </w:tc>
        <w:tc>
          <w:tcPr>
            <w:tcW w:w="1110" w:type="dxa"/>
            <w:tcBorders>
              <w:tl2br w:val="nil"/>
              <w:tr2bl w:val="nil"/>
            </w:tcBorders>
            <w:vAlign w:val="center"/>
          </w:tcPr>
          <w:p>
            <w:pPr>
              <w:jc w:val="center"/>
              <w:rPr>
                <w:bCs/>
                <w:color w:val="000000" w:themeColor="text1"/>
                <w:sz w:val="21"/>
                <w:szCs w:val="21"/>
              </w:rPr>
            </w:pPr>
            <w:r>
              <w:rPr>
                <w:bCs/>
                <w:color w:val="000000" w:themeColor="text1"/>
                <w:sz w:val="21"/>
                <w:szCs w:val="21"/>
              </w:rPr>
              <w:t>　</w:t>
            </w:r>
          </w:p>
        </w:tc>
        <w:tc>
          <w:tcPr>
            <w:tcW w:w="1327" w:type="dxa"/>
            <w:tcBorders>
              <w:tl2br w:val="nil"/>
              <w:tr2bl w:val="nil"/>
            </w:tcBorders>
            <w:vAlign w:val="center"/>
          </w:tcPr>
          <w:p>
            <w:pPr>
              <w:jc w:val="center"/>
              <w:rPr>
                <w:bCs/>
                <w:color w:val="000000" w:themeColor="text1"/>
                <w:sz w:val="21"/>
                <w:szCs w:val="21"/>
              </w:rPr>
            </w:pPr>
            <w:r>
              <w:rPr>
                <w:bCs/>
                <w:color w:val="000000" w:themeColor="text1"/>
                <w:sz w:val="21"/>
                <w:szCs w:val="21"/>
              </w:rPr>
              <w:t>　</w:t>
            </w:r>
          </w:p>
        </w:tc>
        <w:tc>
          <w:tcPr>
            <w:tcW w:w="1260" w:type="dxa"/>
            <w:tcBorders>
              <w:tl2br w:val="nil"/>
              <w:tr2bl w:val="nil"/>
            </w:tcBorders>
            <w:vAlign w:val="center"/>
          </w:tcPr>
          <w:p>
            <w:pPr>
              <w:spacing w:line="240" w:lineRule="auto"/>
              <w:jc w:val="center"/>
              <w:rPr>
                <w:bCs/>
                <w:color w:val="000000" w:themeColor="text1"/>
                <w:sz w:val="21"/>
                <w:szCs w:val="21"/>
              </w:rPr>
            </w:pPr>
            <w:r>
              <w:rPr>
                <w:bCs/>
                <w:color w:val="000000" w:themeColor="text1"/>
                <w:sz w:val="21"/>
                <w:szCs w:val="21"/>
              </w:rPr>
              <w:t>2%</w:t>
            </w:r>
          </w:p>
        </w:tc>
        <w:tc>
          <w:tcPr>
            <w:tcW w:w="1354" w:type="dxa"/>
            <w:tcBorders>
              <w:tl2br w:val="nil"/>
              <w:tr2bl w:val="nil"/>
            </w:tcBorders>
            <w:vAlign w:val="center"/>
          </w:tcPr>
          <w:p>
            <w:pPr>
              <w:spacing w:line="240" w:lineRule="auto"/>
              <w:jc w:val="center"/>
              <w:rPr>
                <w:rFonts w:hint="default" w:eastAsia="宋体"/>
                <w:bCs/>
                <w:color w:val="000000" w:themeColor="text1"/>
                <w:sz w:val="21"/>
                <w:szCs w:val="21"/>
                <w:lang w:val="en-US" w:eastAsia="zh-CN"/>
              </w:rPr>
            </w:pPr>
            <w:r>
              <w:rPr>
                <w:rFonts w:hint="eastAsia"/>
                <w:bCs/>
                <w:color w:val="000000" w:themeColor="text1"/>
                <w:sz w:val="21"/>
                <w:szCs w:val="21"/>
                <w:lang w:val="en-US" w:eastAsia="zh-CN"/>
              </w:rPr>
              <w:t>524.80</w:t>
            </w:r>
          </w:p>
        </w:tc>
      </w:tr>
    </w:tbl>
    <w:p>
      <w:pPr>
        <w:spacing w:before="120" w:beforeLines="50" w:line="360" w:lineRule="auto"/>
        <w:jc w:val="center"/>
        <w:rPr>
          <w:rFonts w:eastAsia="仿宋_GB2312"/>
          <w:b/>
          <w:bCs/>
          <w:color w:val="000000" w:themeColor="text1"/>
          <w:szCs w:val="24"/>
        </w:rPr>
      </w:pPr>
      <w:r>
        <w:rPr>
          <w:rFonts w:eastAsia="仿宋_GB2312"/>
          <w:b/>
          <w:bCs/>
          <w:color w:val="000000" w:themeColor="text1"/>
          <w:szCs w:val="24"/>
        </w:rPr>
        <w:t>表7-5           独立费用计算表      单位：万元</w:t>
      </w:r>
    </w:p>
    <w:tbl>
      <w:tblPr>
        <w:tblStyle w:val="2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61"/>
        <w:gridCol w:w="2672"/>
        <w:gridCol w:w="2968"/>
        <w:gridCol w:w="183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61" w:type="dxa"/>
            <w:tcBorders>
              <w:tl2br w:val="nil"/>
              <w:tr2bl w:val="nil"/>
            </w:tcBorders>
            <w:vAlign w:val="center"/>
          </w:tcPr>
          <w:p>
            <w:pPr>
              <w:widowControl/>
              <w:jc w:val="center"/>
              <w:rPr>
                <w:rFonts w:eastAsia="仿宋_GB2312"/>
                <w:bCs/>
                <w:color w:val="000000" w:themeColor="text1"/>
                <w:sz w:val="21"/>
                <w:szCs w:val="21"/>
              </w:rPr>
            </w:pPr>
            <w:r>
              <w:rPr>
                <w:rFonts w:eastAsia="仿宋_GB2312"/>
                <w:bCs/>
                <w:color w:val="000000" w:themeColor="text1"/>
                <w:sz w:val="21"/>
                <w:szCs w:val="21"/>
              </w:rPr>
              <w:t>序号</w:t>
            </w:r>
          </w:p>
        </w:tc>
        <w:tc>
          <w:tcPr>
            <w:tcW w:w="2672" w:type="dxa"/>
            <w:tcBorders>
              <w:tl2br w:val="nil"/>
              <w:tr2bl w:val="nil"/>
            </w:tcBorders>
            <w:vAlign w:val="center"/>
          </w:tcPr>
          <w:p>
            <w:pPr>
              <w:widowControl/>
              <w:jc w:val="center"/>
              <w:rPr>
                <w:rFonts w:eastAsia="仿宋_GB2312"/>
                <w:bCs/>
                <w:color w:val="000000" w:themeColor="text1"/>
                <w:sz w:val="21"/>
                <w:szCs w:val="21"/>
              </w:rPr>
            </w:pPr>
            <w:r>
              <w:rPr>
                <w:rFonts w:eastAsia="仿宋_GB2312"/>
                <w:bCs/>
                <w:color w:val="000000" w:themeColor="text1"/>
                <w:sz w:val="21"/>
                <w:szCs w:val="21"/>
              </w:rPr>
              <w:t>费用名称</w:t>
            </w:r>
          </w:p>
        </w:tc>
        <w:tc>
          <w:tcPr>
            <w:tcW w:w="2968" w:type="dxa"/>
            <w:tcBorders>
              <w:tl2br w:val="nil"/>
              <w:tr2bl w:val="nil"/>
            </w:tcBorders>
            <w:vAlign w:val="center"/>
          </w:tcPr>
          <w:p>
            <w:pPr>
              <w:widowControl/>
              <w:jc w:val="center"/>
              <w:rPr>
                <w:rFonts w:eastAsia="仿宋_GB2312"/>
                <w:bCs/>
                <w:color w:val="000000" w:themeColor="text1"/>
                <w:sz w:val="21"/>
                <w:szCs w:val="21"/>
              </w:rPr>
            </w:pPr>
            <w:r>
              <w:rPr>
                <w:rFonts w:eastAsia="仿宋_GB2312"/>
                <w:bCs/>
                <w:color w:val="000000" w:themeColor="text1"/>
                <w:sz w:val="21"/>
                <w:szCs w:val="21"/>
              </w:rPr>
              <w:t>编制依据及计算公式</w:t>
            </w:r>
          </w:p>
        </w:tc>
        <w:tc>
          <w:tcPr>
            <w:tcW w:w="1831" w:type="dxa"/>
            <w:tcBorders>
              <w:tl2br w:val="nil"/>
              <w:tr2bl w:val="nil"/>
            </w:tcBorders>
            <w:vAlign w:val="center"/>
          </w:tcPr>
          <w:p>
            <w:pPr>
              <w:widowControl/>
              <w:jc w:val="center"/>
              <w:rPr>
                <w:rFonts w:eastAsia="仿宋_GB2312"/>
                <w:bCs/>
                <w:color w:val="000000" w:themeColor="text1"/>
                <w:sz w:val="21"/>
                <w:szCs w:val="21"/>
              </w:rPr>
            </w:pPr>
            <w:r>
              <w:rPr>
                <w:rFonts w:eastAsia="仿宋_GB2312"/>
                <w:bCs/>
                <w:color w:val="000000" w:themeColor="text1"/>
                <w:sz w:val="21"/>
                <w:szCs w:val="21"/>
              </w:rPr>
              <w:t>金额（万元）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61" w:type="dxa"/>
            <w:tcBorders>
              <w:tl2br w:val="nil"/>
              <w:tr2bl w:val="nil"/>
            </w:tcBorders>
            <w:vAlign w:val="center"/>
          </w:tcPr>
          <w:p>
            <w:pPr>
              <w:jc w:val="center"/>
              <w:rPr>
                <w:bCs/>
                <w:color w:val="000000" w:themeColor="text1"/>
                <w:sz w:val="21"/>
                <w:szCs w:val="21"/>
              </w:rPr>
            </w:pPr>
            <w:r>
              <w:rPr>
                <w:rFonts w:eastAsia="仿宋_GB2312"/>
                <w:bCs/>
                <w:color w:val="000000" w:themeColor="text1"/>
                <w:sz w:val="21"/>
                <w:szCs w:val="21"/>
              </w:rPr>
              <w:t>第四部分</w:t>
            </w:r>
          </w:p>
        </w:tc>
        <w:tc>
          <w:tcPr>
            <w:tcW w:w="2672" w:type="dxa"/>
            <w:tcBorders>
              <w:tl2br w:val="nil"/>
              <w:tr2bl w:val="nil"/>
            </w:tcBorders>
            <w:vAlign w:val="center"/>
          </w:tcPr>
          <w:p>
            <w:pPr>
              <w:jc w:val="center"/>
              <w:rPr>
                <w:bCs/>
                <w:color w:val="000000" w:themeColor="text1"/>
                <w:sz w:val="21"/>
                <w:szCs w:val="21"/>
              </w:rPr>
            </w:pPr>
            <w:r>
              <w:rPr>
                <w:rFonts w:eastAsia="仿宋_GB2312"/>
                <w:bCs/>
                <w:color w:val="000000" w:themeColor="text1"/>
                <w:sz w:val="21"/>
                <w:szCs w:val="21"/>
              </w:rPr>
              <w:t>独立费用</w:t>
            </w:r>
          </w:p>
        </w:tc>
        <w:tc>
          <w:tcPr>
            <w:tcW w:w="2968" w:type="dxa"/>
            <w:tcBorders>
              <w:tl2br w:val="nil"/>
              <w:tr2bl w:val="nil"/>
            </w:tcBorders>
            <w:vAlign w:val="center"/>
          </w:tcPr>
          <w:p>
            <w:pPr>
              <w:jc w:val="center"/>
              <w:rPr>
                <w:bCs/>
                <w:color w:val="000000" w:themeColor="text1"/>
                <w:sz w:val="21"/>
                <w:szCs w:val="21"/>
              </w:rPr>
            </w:pPr>
          </w:p>
        </w:tc>
        <w:tc>
          <w:tcPr>
            <w:tcW w:w="1831" w:type="dxa"/>
            <w:tcBorders>
              <w:tl2br w:val="nil"/>
              <w:tr2bl w:val="nil"/>
            </w:tcBorders>
            <w:vAlign w:val="center"/>
          </w:tcPr>
          <w:p>
            <w:pPr>
              <w:jc w:val="center"/>
              <w:rPr>
                <w:bCs/>
                <w:color w:val="000000" w:themeColor="text1"/>
                <w:sz w:val="21"/>
                <w:szCs w:val="21"/>
              </w:rPr>
            </w:pPr>
            <w:r>
              <w:rPr>
                <w:rFonts w:hint="eastAsia"/>
                <w:bCs/>
                <w:color w:val="000000" w:themeColor="text1"/>
                <w:sz w:val="21"/>
                <w:szCs w:val="21"/>
              </w:rPr>
              <w:t>22.72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61" w:type="dxa"/>
            <w:tcBorders>
              <w:tl2br w:val="nil"/>
              <w:tr2bl w:val="nil"/>
            </w:tcBorders>
            <w:vAlign w:val="center"/>
          </w:tcPr>
          <w:p>
            <w:pPr>
              <w:jc w:val="center"/>
              <w:rPr>
                <w:bCs/>
                <w:color w:val="000000" w:themeColor="text1"/>
                <w:sz w:val="21"/>
                <w:szCs w:val="21"/>
              </w:rPr>
            </w:pPr>
            <w:r>
              <w:rPr>
                <w:bCs/>
                <w:color w:val="000000" w:themeColor="text1"/>
                <w:sz w:val="21"/>
                <w:szCs w:val="21"/>
              </w:rPr>
              <w:t>1</w:t>
            </w:r>
          </w:p>
        </w:tc>
        <w:tc>
          <w:tcPr>
            <w:tcW w:w="2672" w:type="dxa"/>
            <w:tcBorders>
              <w:tl2br w:val="nil"/>
              <w:tr2bl w:val="nil"/>
            </w:tcBorders>
            <w:vAlign w:val="center"/>
          </w:tcPr>
          <w:p>
            <w:pPr>
              <w:jc w:val="center"/>
              <w:rPr>
                <w:bCs/>
                <w:color w:val="000000" w:themeColor="text1"/>
                <w:sz w:val="21"/>
                <w:szCs w:val="21"/>
              </w:rPr>
            </w:pPr>
            <w:r>
              <w:rPr>
                <w:rFonts w:eastAsia="仿宋_GB2312"/>
                <w:bCs/>
                <w:color w:val="000000" w:themeColor="text1"/>
                <w:sz w:val="21"/>
                <w:szCs w:val="21"/>
              </w:rPr>
              <w:t>建设管理费</w:t>
            </w:r>
          </w:p>
        </w:tc>
        <w:tc>
          <w:tcPr>
            <w:tcW w:w="2968" w:type="dxa"/>
            <w:tcBorders>
              <w:tl2br w:val="nil"/>
              <w:tr2bl w:val="nil"/>
            </w:tcBorders>
            <w:vAlign w:val="center"/>
          </w:tcPr>
          <w:p>
            <w:pPr>
              <w:jc w:val="center"/>
              <w:rPr>
                <w:bCs/>
                <w:color w:val="000000" w:themeColor="text1"/>
                <w:sz w:val="21"/>
                <w:szCs w:val="21"/>
              </w:rPr>
            </w:pPr>
            <w:r>
              <w:rPr>
                <w:rFonts w:eastAsia="仿宋_GB2312"/>
                <w:bCs/>
                <w:color w:val="000000" w:themeColor="text1"/>
                <w:sz w:val="21"/>
                <w:szCs w:val="21"/>
              </w:rPr>
              <w:t>前三新增部分之和</w:t>
            </w:r>
            <w:r>
              <w:rPr>
                <w:bCs/>
                <w:color w:val="000000" w:themeColor="text1"/>
                <w:sz w:val="21"/>
                <w:szCs w:val="21"/>
              </w:rPr>
              <w:t>×2.0</w:t>
            </w:r>
            <w:r>
              <w:rPr>
                <w:rFonts w:eastAsia="仿宋_GB2312"/>
                <w:bCs/>
                <w:color w:val="000000" w:themeColor="text1"/>
                <w:sz w:val="21"/>
                <w:szCs w:val="21"/>
              </w:rPr>
              <w:t>％</w:t>
            </w:r>
          </w:p>
        </w:tc>
        <w:tc>
          <w:tcPr>
            <w:tcW w:w="1831" w:type="dxa"/>
            <w:tcBorders>
              <w:tl2br w:val="nil"/>
              <w:tr2bl w:val="nil"/>
            </w:tcBorders>
            <w:vAlign w:val="center"/>
          </w:tcPr>
          <w:p>
            <w:pPr>
              <w:jc w:val="center"/>
              <w:rPr>
                <w:bCs/>
                <w:color w:val="000000" w:themeColor="text1"/>
                <w:sz w:val="21"/>
                <w:szCs w:val="21"/>
              </w:rPr>
            </w:pPr>
            <w:r>
              <w:rPr>
                <w:bCs/>
                <w:color w:val="000000" w:themeColor="text1"/>
                <w:sz w:val="21"/>
                <w:szCs w:val="21"/>
              </w:rPr>
              <w:t>0.</w:t>
            </w:r>
            <w:r>
              <w:rPr>
                <w:rFonts w:hint="eastAsia"/>
                <w:bCs/>
                <w:color w:val="000000" w:themeColor="text1"/>
                <w:sz w:val="21"/>
                <w:szCs w:val="21"/>
              </w:rPr>
              <w:t>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61" w:type="dxa"/>
            <w:tcBorders>
              <w:tl2br w:val="nil"/>
              <w:tr2bl w:val="nil"/>
            </w:tcBorders>
            <w:vAlign w:val="center"/>
          </w:tcPr>
          <w:p>
            <w:pPr>
              <w:jc w:val="center"/>
              <w:rPr>
                <w:bCs/>
                <w:color w:val="000000" w:themeColor="text1"/>
                <w:sz w:val="21"/>
                <w:szCs w:val="21"/>
              </w:rPr>
            </w:pPr>
            <w:r>
              <w:rPr>
                <w:bCs/>
                <w:color w:val="000000" w:themeColor="text1"/>
                <w:sz w:val="21"/>
                <w:szCs w:val="21"/>
              </w:rPr>
              <w:t>2</w:t>
            </w:r>
          </w:p>
        </w:tc>
        <w:tc>
          <w:tcPr>
            <w:tcW w:w="2672" w:type="dxa"/>
            <w:tcBorders>
              <w:tl2br w:val="nil"/>
              <w:tr2bl w:val="nil"/>
            </w:tcBorders>
            <w:vAlign w:val="center"/>
          </w:tcPr>
          <w:p>
            <w:pPr>
              <w:jc w:val="center"/>
              <w:rPr>
                <w:bCs/>
                <w:color w:val="000000" w:themeColor="text1"/>
                <w:sz w:val="21"/>
                <w:szCs w:val="21"/>
              </w:rPr>
            </w:pPr>
            <w:r>
              <w:rPr>
                <w:rFonts w:eastAsia="仿宋_GB2312"/>
                <w:bCs/>
                <w:color w:val="000000" w:themeColor="text1"/>
                <w:sz w:val="21"/>
                <w:szCs w:val="21"/>
              </w:rPr>
              <w:t>水土保持监理费</w:t>
            </w:r>
          </w:p>
        </w:tc>
        <w:tc>
          <w:tcPr>
            <w:tcW w:w="2968" w:type="dxa"/>
            <w:tcBorders>
              <w:tl2br w:val="nil"/>
              <w:tr2bl w:val="nil"/>
            </w:tcBorders>
            <w:vAlign w:val="center"/>
          </w:tcPr>
          <w:p>
            <w:pPr>
              <w:jc w:val="center"/>
              <w:rPr>
                <w:bCs/>
                <w:color w:val="000000" w:themeColor="text1"/>
                <w:sz w:val="21"/>
                <w:szCs w:val="21"/>
              </w:rPr>
            </w:pPr>
            <w:r>
              <w:rPr>
                <w:rFonts w:eastAsia="仿宋_GB2312"/>
                <w:bCs/>
                <w:color w:val="000000" w:themeColor="text1"/>
                <w:sz w:val="21"/>
                <w:szCs w:val="21"/>
              </w:rPr>
              <w:t>参照同类项目计列</w:t>
            </w:r>
          </w:p>
        </w:tc>
        <w:tc>
          <w:tcPr>
            <w:tcW w:w="1831" w:type="dxa"/>
            <w:tcBorders>
              <w:tl2br w:val="nil"/>
              <w:tr2bl w:val="nil"/>
            </w:tcBorders>
            <w:vAlign w:val="center"/>
          </w:tcPr>
          <w:p>
            <w:pPr>
              <w:jc w:val="center"/>
              <w:rPr>
                <w:bCs/>
                <w:color w:val="000000" w:themeColor="text1"/>
                <w:sz w:val="21"/>
                <w:szCs w:val="21"/>
              </w:rPr>
            </w:pPr>
            <w:r>
              <w:rPr>
                <w:rFonts w:hint="eastAsia"/>
                <w:bCs/>
                <w:color w:val="000000" w:themeColor="text1"/>
                <w:sz w:val="21"/>
                <w:szCs w:val="21"/>
              </w:rPr>
              <w:t>5.50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61" w:type="dxa"/>
            <w:tcBorders>
              <w:tl2br w:val="nil"/>
              <w:tr2bl w:val="nil"/>
            </w:tcBorders>
            <w:vAlign w:val="center"/>
          </w:tcPr>
          <w:p>
            <w:pPr>
              <w:jc w:val="center"/>
              <w:rPr>
                <w:bCs/>
                <w:color w:val="000000" w:themeColor="text1"/>
                <w:sz w:val="21"/>
                <w:szCs w:val="21"/>
              </w:rPr>
            </w:pPr>
            <w:r>
              <w:rPr>
                <w:bCs/>
                <w:color w:val="000000" w:themeColor="text1"/>
                <w:sz w:val="21"/>
                <w:szCs w:val="21"/>
              </w:rPr>
              <w:t>3</w:t>
            </w:r>
          </w:p>
        </w:tc>
        <w:tc>
          <w:tcPr>
            <w:tcW w:w="2672" w:type="dxa"/>
            <w:tcBorders>
              <w:tl2br w:val="nil"/>
              <w:tr2bl w:val="nil"/>
            </w:tcBorders>
            <w:vAlign w:val="center"/>
          </w:tcPr>
          <w:p>
            <w:pPr>
              <w:jc w:val="center"/>
              <w:rPr>
                <w:bCs/>
                <w:color w:val="000000" w:themeColor="text1"/>
                <w:sz w:val="21"/>
                <w:szCs w:val="21"/>
              </w:rPr>
            </w:pPr>
            <w:r>
              <w:rPr>
                <w:rFonts w:eastAsia="仿宋_GB2312"/>
                <w:bCs/>
                <w:color w:val="000000" w:themeColor="text1"/>
                <w:sz w:val="21"/>
                <w:szCs w:val="21"/>
              </w:rPr>
              <w:t>科研勘测设计费</w:t>
            </w:r>
          </w:p>
        </w:tc>
        <w:tc>
          <w:tcPr>
            <w:tcW w:w="2968" w:type="dxa"/>
            <w:tcBorders>
              <w:tl2br w:val="nil"/>
              <w:tr2bl w:val="nil"/>
            </w:tcBorders>
            <w:vAlign w:val="center"/>
          </w:tcPr>
          <w:p>
            <w:pPr>
              <w:jc w:val="center"/>
              <w:rPr>
                <w:bCs/>
                <w:color w:val="000000" w:themeColor="text1"/>
                <w:sz w:val="21"/>
                <w:szCs w:val="21"/>
              </w:rPr>
            </w:pPr>
            <w:r>
              <w:rPr>
                <w:rFonts w:eastAsia="仿宋_GB2312"/>
                <w:bCs/>
                <w:color w:val="000000" w:themeColor="text1"/>
                <w:sz w:val="21"/>
                <w:szCs w:val="21"/>
              </w:rPr>
              <w:t>根据合同计列</w:t>
            </w:r>
          </w:p>
        </w:tc>
        <w:tc>
          <w:tcPr>
            <w:tcW w:w="1831" w:type="dxa"/>
            <w:tcBorders>
              <w:tl2br w:val="nil"/>
              <w:tr2bl w:val="nil"/>
            </w:tcBorders>
            <w:vAlign w:val="center"/>
          </w:tcPr>
          <w:p>
            <w:pPr>
              <w:jc w:val="center"/>
              <w:rPr>
                <w:bCs/>
                <w:color w:val="000000" w:themeColor="text1"/>
                <w:sz w:val="21"/>
                <w:szCs w:val="21"/>
              </w:rPr>
            </w:pPr>
            <w:r>
              <w:rPr>
                <w:rFonts w:hint="eastAsia"/>
                <w:bCs/>
                <w:color w:val="000000" w:themeColor="text1"/>
                <w:sz w:val="21"/>
                <w:szCs w:val="21"/>
              </w:rPr>
              <w:t>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61" w:type="dxa"/>
            <w:tcBorders>
              <w:tl2br w:val="nil"/>
              <w:tr2bl w:val="nil"/>
            </w:tcBorders>
            <w:vAlign w:val="center"/>
          </w:tcPr>
          <w:p>
            <w:pPr>
              <w:jc w:val="center"/>
              <w:rPr>
                <w:bCs/>
                <w:color w:val="000000" w:themeColor="text1"/>
                <w:sz w:val="21"/>
                <w:szCs w:val="21"/>
              </w:rPr>
            </w:pPr>
            <w:r>
              <w:rPr>
                <w:bCs/>
                <w:color w:val="000000" w:themeColor="text1"/>
                <w:sz w:val="21"/>
                <w:szCs w:val="21"/>
              </w:rPr>
              <w:t>4</w:t>
            </w:r>
          </w:p>
        </w:tc>
        <w:tc>
          <w:tcPr>
            <w:tcW w:w="2672" w:type="dxa"/>
            <w:tcBorders>
              <w:tl2br w:val="nil"/>
              <w:tr2bl w:val="nil"/>
            </w:tcBorders>
            <w:vAlign w:val="center"/>
          </w:tcPr>
          <w:p>
            <w:pPr>
              <w:jc w:val="center"/>
              <w:rPr>
                <w:bCs/>
                <w:color w:val="000000" w:themeColor="text1"/>
                <w:sz w:val="21"/>
                <w:szCs w:val="21"/>
              </w:rPr>
            </w:pPr>
            <w:r>
              <w:rPr>
                <w:rFonts w:eastAsia="仿宋_GB2312"/>
                <w:bCs/>
                <w:color w:val="000000" w:themeColor="text1"/>
                <w:sz w:val="21"/>
                <w:szCs w:val="21"/>
              </w:rPr>
              <w:t>水土保持监测费</w:t>
            </w:r>
          </w:p>
        </w:tc>
        <w:tc>
          <w:tcPr>
            <w:tcW w:w="2968" w:type="dxa"/>
            <w:tcBorders>
              <w:tl2br w:val="nil"/>
              <w:tr2bl w:val="nil"/>
            </w:tcBorders>
            <w:vAlign w:val="center"/>
          </w:tcPr>
          <w:p>
            <w:pPr>
              <w:jc w:val="center"/>
              <w:rPr>
                <w:bCs/>
                <w:color w:val="000000" w:themeColor="text1"/>
                <w:sz w:val="21"/>
                <w:szCs w:val="21"/>
              </w:rPr>
            </w:pPr>
            <w:r>
              <w:rPr>
                <w:rFonts w:eastAsia="仿宋_GB2312"/>
                <w:bCs/>
                <w:color w:val="000000" w:themeColor="text1"/>
                <w:sz w:val="21"/>
                <w:szCs w:val="21"/>
              </w:rPr>
              <w:t>参照同类项目计列</w:t>
            </w:r>
          </w:p>
        </w:tc>
        <w:tc>
          <w:tcPr>
            <w:tcW w:w="1831" w:type="dxa"/>
            <w:tcBorders>
              <w:tl2br w:val="nil"/>
              <w:tr2bl w:val="nil"/>
            </w:tcBorders>
            <w:vAlign w:val="center"/>
          </w:tcPr>
          <w:p>
            <w:pPr>
              <w:jc w:val="center"/>
              <w:rPr>
                <w:bCs/>
                <w:color w:val="000000" w:themeColor="text1"/>
                <w:sz w:val="21"/>
                <w:szCs w:val="21"/>
              </w:rPr>
            </w:pPr>
            <w:r>
              <w:rPr>
                <w:bCs/>
                <w:color w:val="000000" w:themeColor="text1"/>
                <w:sz w:val="21"/>
                <w:szCs w:val="21"/>
              </w:rPr>
              <w:t>6</w:t>
            </w:r>
            <w:r>
              <w:rPr>
                <w:rFonts w:hint="eastAsia"/>
                <w:bCs/>
                <w:color w:val="000000" w:themeColor="text1"/>
                <w:sz w:val="21"/>
                <w:szCs w:val="21"/>
              </w:rPr>
              <w:t>.21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261" w:type="dxa"/>
            <w:tcBorders>
              <w:tl2br w:val="nil"/>
              <w:tr2bl w:val="nil"/>
            </w:tcBorders>
            <w:vAlign w:val="center"/>
          </w:tcPr>
          <w:p>
            <w:pPr>
              <w:jc w:val="center"/>
              <w:rPr>
                <w:bCs/>
                <w:color w:val="000000" w:themeColor="text1"/>
                <w:sz w:val="21"/>
                <w:szCs w:val="21"/>
              </w:rPr>
            </w:pPr>
            <w:r>
              <w:rPr>
                <w:bCs/>
                <w:color w:val="000000" w:themeColor="text1"/>
                <w:sz w:val="21"/>
                <w:szCs w:val="21"/>
              </w:rPr>
              <w:t>5</w:t>
            </w:r>
          </w:p>
        </w:tc>
        <w:tc>
          <w:tcPr>
            <w:tcW w:w="2672" w:type="dxa"/>
            <w:tcBorders>
              <w:tl2br w:val="nil"/>
              <w:tr2bl w:val="nil"/>
            </w:tcBorders>
            <w:vAlign w:val="center"/>
          </w:tcPr>
          <w:p>
            <w:pPr>
              <w:jc w:val="center"/>
              <w:rPr>
                <w:bCs/>
                <w:color w:val="000000" w:themeColor="text1"/>
                <w:sz w:val="21"/>
                <w:szCs w:val="21"/>
              </w:rPr>
            </w:pPr>
            <w:r>
              <w:rPr>
                <w:rFonts w:eastAsia="仿宋_GB2312"/>
                <w:bCs/>
                <w:color w:val="000000" w:themeColor="text1"/>
                <w:sz w:val="21"/>
                <w:szCs w:val="21"/>
              </w:rPr>
              <w:t>水土保持设施验收费</w:t>
            </w:r>
          </w:p>
        </w:tc>
        <w:tc>
          <w:tcPr>
            <w:tcW w:w="2968" w:type="dxa"/>
            <w:tcBorders>
              <w:tl2br w:val="nil"/>
              <w:tr2bl w:val="nil"/>
            </w:tcBorders>
            <w:vAlign w:val="center"/>
          </w:tcPr>
          <w:p>
            <w:pPr>
              <w:jc w:val="center"/>
              <w:rPr>
                <w:bCs/>
                <w:color w:val="000000" w:themeColor="text1"/>
                <w:sz w:val="21"/>
                <w:szCs w:val="21"/>
              </w:rPr>
            </w:pPr>
            <w:r>
              <w:rPr>
                <w:rFonts w:eastAsia="仿宋_GB2312"/>
                <w:bCs/>
                <w:color w:val="000000" w:themeColor="text1"/>
                <w:sz w:val="21"/>
                <w:szCs w:val="21"/>
              </w:rPr>
              <w:t>参照同类项目计列</w:t>
            </w:r>
          </w:p>
        </w:tc>
        <w:tc>
          <w:tcPr>
            <w:tcW w:w="1831" w:type="dxa"/>
            <w:tcBorders>
              <w:tl2br w:val="nil"/>
              <w:tr2bl w:val="nil"/>
            </w:tcBorders>
            <w:vAlign w:val="center"/>
          </w:tcPr>
          <w:p>
            <w:pPr>
              <w:jc w:val="center"/>
              <w:rPr>
                <w:bCs/>
                <w:color w:val="000000" w:themeColor="text1"/>
                <w:sz w:val="21"/>
                <w:szCs w:val="21"/>
              </w:rPr>
            </w:pPr>
            <w:r>
              <w:rPr>
                <w:bCs/>
                <w:color w:val="000000" w:themeColor="text1"/>
                <w:sz w:val="21"/>
                <w:szCs w:val="21"/>
              </w:rPr>
              <w:t>6</w:t>
            </w:r>
            <w:r>
              <w:rPr>
                <w:rFonts w:hint="eastAsia"/>
                <w:bCs/>
                <w:color w:val="000000" w:themeColor="text1"/>
                <w:sz w:val="21"/>
                <w:szCs w:val="21"/>
              </w:rPr>
              <w:t>.00</w:t>
            </w:r>
          </w:p>
        </w:tc>
      </w:tr>
    </w:tbl>
    <w:p>
      <w:pPr>
        <w:spacing w:before="120" w:beforeLines="50" w:line="360" w:lineRule="auto"/>
        <w:jc w:val="center"/>
        <w:rPr>
          <w:rFonts w:eastAsia="仿宋_GB2312"/>
          <w:b/>
          <w:bCs/>
          <w:color w:val="000000" w:themeColor="text1"/>
          <w:szCs w:val="24"/>
        </w:rPr>
      </w:pPr>
      <w:r>
        <w:rPr>
          <w:rFonts w:eastAsia="仿宋_GB2312"/>
          <w:b/>
          <w:bCs/>
          <w:color w:val="000000" w:themeColor="text1"/>
          <w:szCs w:val="24"/>
        </w:rPr>
        <w:t>表7-6           水土保持监测费计算表         单位：元</w:t>
      </w:r>
    </w:p>
    <w:tbl>
      <w:tblPr>
        <w:tblStyle w:val="23"/>
        <w:tblW w:w="0" w:type="auto"/>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17"/>
        <w:gridCol w:w="2406"/>
        <w:gridCol w:w="1038"/>
        <w:gridCol w:w="1420"/>
        <w:gridCol w:w="1419"/>
        <w:gridCol w:w="142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817" w:type="dxa"/>
            <w:tcBorders>
              <w:top w:val="single" w:color="000000" w:sz="6" w:space="0"/>
              <w:left w:val="single" w:color="000000" w:sz="6"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序号</w:t>
            </w:r>
          </w:p>
        </w:tc>
        <w:tc>
          <w:tcPr>
            <w:tcW w:w="2406" w:type="dxa"/>
            <w:tcBorders>
              <w:top w:val="single" w:color="000000" w:sz="6"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监测设施与设备</w:t>
            </w:r>
          </w:p>
        </w:tc>
        <w:tc>
          <w:tcPr>
            <w:tcW w:w="1038" w:type="dxa"/>
            <w:tcBorders>
              <w:top w:val="single" w:color="000000" w:sz="6"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单位</w:t>
            </w:r>
          </w:p>
        </w:tc>
        <w:tc>
          <w:tcPr>
            <w:tcW w:w="1420" w:type="dxa"/>
            <w:tcBorders>
              <w:top w:val="single" w:color="000000" w:sz="6"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数量</w:t>
            </w:r>
          </w:p>
        </w:tc>
        <w:tc>
          <w:tcPr>
            <w:tcW w:w="1419" w:type="dxa"/>
            <w:tcBorders>
              <w:top w:val="single" w:color="000000" w:sz="6"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单价</w:t>
            </w:r>
          </w:p>
        </w:tc>
        <w:tc>
          <w:tcPr>
            <w:tcW w:w="1421" w:type="dxa"/>
            <w:tcBorders>
              <w:top w:val="single" w:color="000000" w:sz="6" w:space="0"/>
              <w:left w:val="single" w:color="000000" w:sz="4" w:space="0"/>
              <w:bottom w:val="single" w:color="000000" w:sz="4" w:space="0"/>
              <w:right w:val="single" w:color="000000" w:sz="6"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投资</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817" w:type="dxa"/>
            <w:tcBorders>
              <w:top w:val="single" w:color="000000" w:sz="4" w:space="0"/>
              <w:left w:val="single" w:color="000000" w:sz="6"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p>
        </w:tc>
        <w:tc>
          <w:tcPr>
            <w:tcW w:w="2406"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合计</w:t>
            </w:r>
          </w:p>
        </w:tc>
        <w:tc>
          <w:tcPr>
            <w:tcW w:w="103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p>
        </w:tc>
        <w:tc>
          <w:tcPr>
            <w:tcW w:w="1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p>
        </w:tc>
        <w:tc>
          <w:tcPr>
            <w:tcW w:w="141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p>
        </w:tc>
        <w:tc>
          <w:tcPr>
            <w:tcW w:w="1421" w:type="dxa"/>
            <w:tcBorders>
              <w:top w:val="single" w:color="000000" w:sz="4" w:space="0"/>
              <w:left w:val="single" w:color="000000" w:sz="4" w:space="0"/>
              <w:bottom w:val="single" w:color="000000" w:sz="4" w:space="0"/>
              <w:right w:val="single" w:color="000000" w:sz="6" w:space="0"/>
            </w:tcBorders>
            <w:vAlign w:val="center"/>
          </w:tcPr>
          <w:p>
            <w:pPr>
              <w:spacing w:line="240" w:lineRule="auto"/>
              <w:jc w:val="center"/>
              <w:rPr>
                <w:rFonts w:eastAsia="仿宋_GB2312"/>
                <w:color w:val="000000" w:themeColor="text1"/>
                <w:sz w:val="21"/>
                <w:szCs w:val="21"/>
              </w:rPr>
            </w:pPr>
            <w:r>
              <w:rPr>
                <w:rFonts w:hint="eastAsia" w:eastAsia="仿宋_GB2312"/>
                <w:color w:val="000000" w:themeColor="text1"/>
                <w:sz w:val="21"/>
                <w:szCs w:val="21"/>
              </w:rPr>
              <w:t>57474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817" w:type="dxa"/>
            <w:tcBorders>
              <w:top w:val="single" w:color="000000" w:sz="4" w:space="0"/>
              <w:left w:val="single" w:color="000000" w:sz="6"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一</w:t>
            </w:r>
          </w:p>
        </w:tc>
        <w:tc>
          <w:tcPr>
            <w:tcW w:w="2406"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人工费</w:t>
            </w:r>
          </w:p>
        </w:tc>
        <w:tc>
          <w:tcPr>
            <w:tcW w:w="103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p>
        </w:tc>
        <w:tc>
          <w:tcPr>
            <w:tcW w:w="1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p>
        </w:tc>
        <w:tc>
          <w:tcPr>
            <w:tcW w:w="141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p>
        </w:tc>
        <w:tc>
          <w:tcPr>
            <w:tcW w:w="1421" w:type="dxa"/>
            <w:tcBorders>
              <w:top w:val="single" w:color="000000" w:sz="4" w:space="0"/>
              <w:left w:val="single" w:color="000000" w:sz="4" w:space="0"/>
              <w:bottom w:val="single" w:color="000000" w:sz="4" w:space="0"/>
              <w:right w:val="single" w:color="000000" w:sz="6" w:space="0"/>
            </w:tcBorders>
            <w:vAlign w:val="center"/>
          </w:tcPr>
          <w:p>
            <w:pPr>
              <w:spacing w:line="240" w:lineRule="auto"/>
              <w:jc w:val="center"/>
              <w:rPr>
                <w:rFonts w:eastAsia="仿宋_GB2312"/>
                <w:color w:val="000000" w:themeColor="text1"/>
                <w:sz w:val="21"/>
                <w:szCs w:val="21"/>
              </w:rPr>
            </w:pPr>
            <w:r>
              <w:rPr>
                <w:rFonts w:hint="eastAsia" w:eastAsia="仿宋_GB2312"/>
                <w:color w:val="000000" w:themeColor="text1"/>
                <w:sz w:val="21"/>
                <w:szCs w:val="21"/>
              </w:rPr>
              <w:t>48800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817" w:type="dxa"/>
            <w:tcBorders>
              <w:top w:val="single" w:color="000000" w:sz="4" w:space="0"/>
              <w:left w:val="single" w:color="000000" w:sz="6"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p>
        </w:tc>
        <w:tc>
          <w:tcPr>
            <w:tcW w:w="2406"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监测人工费</w:t>
            </w:r>
          </w:p>
        </w:tc>
        <w:tc>
          <w:tcPr>
            <w:tcW w:w="103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工日</w:t>
            </w:r>
          </w:p>
        </w:tc>
        <w:tc>
          <w:tcPr>
            <w:tcW w:w="1420"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rFonts w:eastAsia="仿宋_GB2312"/>
                <w:color w:val="000000" w:themeColor="text1"/>
                <w:sz w:val="21"/>
                <w:szCs w:val="21"/>
              </w:rPr>
            </w:pPr>
            <w:r>
              <w:rPr>
                <w:rFonts w:hint="eastAsia" w:eastAsia="仿宋_GB2312"/>
                <w:color w:val="000000" w:themeColor="text1"/>
                <w:sz w:val="21"/>
                <w:szCs w:val="21"/>
              </w:rPr>
              <w:t>92</w:t>
            </w:r>
          </w:p>
        </w:tc>
        <w:tc>
          <w:tcPr>
            <w:tcW w:w="1419"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jc w:val="center"/>
              <w:rPr>
                <w:rFonts w:eastAsia="仿宋_GB2312"/>
                <w:color w:val="000000" w:themeColor="text1"/>
                <w:sz w:val="21"/>
                <w:szCs w:val="21"/>
              </w:rPr>
            </w:pPr>
          </w:p>
        </w:tc>
        <w:tc>
          <w:tcPr>
            <w:tcW w:w="1421" w:type="dxa"/>
            <w:tcBorders>
              <w:top w:val="single" w:color="000000" w:sz="4" w:space="0"/>
              <w:left w:val="single" w:color="000000" w:sz="4" w:space="0"/>
              <w:bottom w:val="single" w:color="000000" w:sz="4" w:space="0"/>
              <w:right w:val="single" w:color="000000" w:sz="6" w:space="0"/>
            </w:tcBorders>
            <w:vAlign w:val="center"/>
          </w:tcPr>
          <w:p>
            <w:pPr>
              <w:spacing w:line="240" w:lineRule="auto"/>
              <w:jc w:val="center"/>
              <w:rPr>
                <w:rFonts w:eastAsia="仿宋_GB2312"/>
                <w:color w:val="000000" w:themeColor="text1"/>
                <w:sz w:val="21"/>
                <w:szCs w:val="21"/>
              </w:rPr>
            </w:pPr>
            <w:r>
              <w:rPr>
                <w:rFonts w:hint="eastAsia" w:eastAsia="仿宋_GB2312"/>
                <w:color w:val="000000" w:themeColor="text1"/>
                <w:sz w:val="21"/>
                <w:szCs w:val="21"/>
              </w:rPr>
              <w:t>48800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817" w:type="dxa"/>
            <w:tcBorders>
              <w:top w:val="single" w:color="000000" w:sz="4" w:space="0"/>
              <w:left w:val="single" w:color="000000" w:sz="6"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p>
        </w:tc>
        <w:tc>
          <w:tcPr>
            <w:tcW w:w="2406"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内业</w:t>
            </w:r>
          </w:p>
        </w:tc>
        <w:tc>
          <w:tcPr>
            <w:tcW w:w="103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工日</w:t>
            </w:r>
          </w:p>
        </w:tc>
        <w:tc>
          <w:tcPr>
            <w:tcW w:w="1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3</w:t>
            </w:r>
            <w:r>
              <w:rPr>
                <w:rFonts w:hint="eastAsia" w:eastAsia="仿宋_GB2312"/>
                <w:color w:val="000000" w:themeColor="text1"/>
                <w:sz w:val="21"/>
                <w:szCs w:val="21"/>
              </w:rPr>
              <w:t>2</w:t>
            </w:r>
          </w:p>
        </w:tc>
        <w:tc>
          <w:tcPr>
            <w:tcW w:w="141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400</w:t>
            </w:r>
          </w:p>
        </w:tc>
        <w:tc>
          <w:tcPr>
            <w:tcW w:w="1421" w:type="dxa"/>
            <w:tcBorders>
              <w:top w:val="single" w:color="000000" w:sz="4" w:space="0"/>
              <w:left w:val="single" w:color="000000" w:sz="4" w:space="0"/>
              <w:bottom w:val="single" w:color="000000" w:sz="4" w:space="0"/>
              <w:right w:val="single" w:color="000000" w:sz="6" w:space="0"/>
            </w:tcBorders>
            <w:vAlign w:val="center"/>
          </w:tcPr>
          <w:p>
            <w:pPr>
              <w:spacing w:line="240" w:lineRule="auto"/>
              <w:jc w:val="center"/>
              <w:rPr>
                <w:rFonts w:eastAsia="仿宋_GB2312"/>
                <w:color w:val="000000" w:themeColor="text1"/>
                <w:sz w:val="21"/>
                <w:szCs w:val="21"/>
              </w:rPr>
            </w:pPr>
            <w:r>
              <w:rPr>
                <w:rFonts w:hint="eastAsia" w:eastAsia="仿宋_GB2312"/>
                <w:color w:val="000000" w:themeColor="text1"/>
                <w:sz w:val="21"/>
                <w:szCs w:val="21"/>
              </w:rPr>
              <w:t>12800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817" w:type="dxa"/>
            <w:tcBorders>
              <w:top w:val="single" w:color="000000" w:sz="4" w:space="0"/>
              <w:left w:val="single" w:color="000000" w:sz="6"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p>
        </w:tc>
        <w:tc>
          <w:tcPr>
            <w:tcW w:w="2406"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外业</w:t>
            </w:r>
          </w:p>
        </w:tc>
        <w:tc>
          <w:tcPr>
            <w:tcW w:w="103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工日</w:t>
            </w:r>
          </w:p>
        </w:tc>
        <w:tc>
          <w:tcPr>
            <w:tcW w:w="1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6</w:t>
            </w:r>
            <w:r>
              <w:rPr>
                <w:rFonts w:hint="eastAsia" w:eastAsia="仿宋_GB2312"/>
                <w:color w:val="000000" w:themeColor="text1"/>
                <w:sz w:val="21"/>
                <w:szCs w:val="21"/>
              </w:rPr>
              <w:t>0</w:t>
            </w:r>
          </w:p>
        </w:tc>
        <w:tc>
          <w:tcPr>
            <w:tcW w:w="141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600</w:t>
            </w:r>
          </w:p>
        </w:tc>
        <w:tc>
          <w:tcPr>
            <w:tcW w:w="1421" w:type="dxa"/>
            <w:tcBorders>
              <w:top w:val="single" w:color="000000" w:sz="4" w:space="0"/>
              <w:left w:val="single" w:color="000000" w:sz="4" w:space="0"/>
              <w:bottom w:val="single" w:color="000000" w:sz="4" w:space="0"/>
              <w:right w:val="single" w:color="000000" w:sz="6"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3</w:t>
            </w:r>
            <w:r>
              <w:rPr>
                <w:rFonts w:hint="eastAsia" w:eastAsia="仿宋_GB2312"/>
                <w:color w:val="000000" w:themeColor="text1"/>
                <w:sz w:val="21"/>
                <w:szCs w:val="21"/>
              </w:rPr>
              <w:t>60</w:t>
            </w:r>
            <w:r>
              <w:rPr>
                <w:rFonts w:eastAsia="仿宋_GB2312"/>
                <w:color w:val="000000" w:themeColor="text1"/>
                <w:sz w:val="21"/>
                <w:szCs w:val="21"/>
              </w:rPr>
              <w:t>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817" w:type="dxa"/>
            <w:tcBorders>
              <w:top w:val="single" w:color="000000" w:sz="4" w:space="0"/>
              <w:left w:val="single" w:color="000000" w:sz="6"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二</w:t>
            </w:r>
          </w:p>
        </w:tc>
        <w:tc>
          <w:tcPr>
            <w:tcW w:w="2406"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消耗性材料</w:t>
            </w:r>
          </w:p>
        </w:tc>
        <w:tc>
          <w:tcPr>
            <w:tcW w:w="103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p>
        </w:tc>
        <w:tc>
          <w:tcPr>
            <w:tcW w:w="1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p>
        </w:tc>
        <w:tc>
          <w:tcPr>
            <w:tcW w:w="141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p>
        </w:tc>
        <w:tc>
          <w:tcPr>
            <w:tcW w:w="1421" w:type="dxa"/>
            <w:tcBorders>
              <w:top w:val="single" w:color="000000" w:sz="4" w:space="0"/>
              <w:left w:val="single" w:color="000000" w:sz="4" w:space="0"/>
              <w:bottom w:val="single" w:color="000000" w:sz="4" w:space="0"/>
              <w:right w:val="single" w:color="000000" w:sz="6"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2270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817" w:type="dxa"/>
            <w:tcBorders>
              <w:top w:val="single" w:color="000000" w:sz="4" w:space="0"/>
              <w:left w:val="single" w:color="000000" w:sz="6"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w:t>
            </w:r>
          </w:p>
        </w:tc>
        <w:tc>
          <w:tcPr>
            <w:tcW w:w="2406"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取样玻璃仪器</w:t>
            </w:r>
          </w:p>
        </w:tc>
        <w:tc>
          <w:tcPr>
            <w:tcW w:w="103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套</w:t>
            </w:r>
          </w:p>
        </w:tc>
        <w:tc>
          <w:tcPr>
            <w:tcW w:w="1420" w:type="dxa"/>
            <w:tcBorders>
              <w:top w:val="single" w:color="000000" w:sz="4" w:space="0"/>
              <w:left w:val="single" w:color="000000" w:sz="4" w:space="0"/>
              <w:bottom w:val="single" w:color="000000" w:sz="4" w:space="0"/>
              <w:right w:val="single" w:color="000000" w:sz="4" w:space="0"/>
            </w:tcBorders>
            <w:vAlign w:val="center"/>
          </w:tcPr>
          <w:p>
            <w:pPr>
              <w:pStyle w:val="99"/>
              <w:spacing w:before="35" w:line="240" w:lineRule="auto"/>
              <w:ind w:left="27"/>
              <w:rPr>
                <w:rFonts w:ascii="Times New Roman" w:hAnsi="Times New Roman" w:eastAsia="仿宋_GB2312" w:cs="Times New Roman"/>
                <w:color w:val="000000" w:themeColor="text1"/>
                <w:sz w:val="21"/>
                <w:szCs w:val="21"/>
              </w:rPr>
            </w:pPr>
            <w:r>
              <w:rPr>
                <w:rFonts w:ascii="Times New Roman" w:hAnsi="Times New Roman" w:eastAsia="仿宋_GB2312" w:cs="Times New Roman"/>
                <w:bCs/>
                <w:color w:val="000000" w:themeColor="text1"/>
                <w:sz w:val="21"/>
                <w:szCs w:val="21"/>
              </w:rPr>
              <w:t>1</w:t>
            </w:r>
          </w:p>
        </w:tc>
        <w:tc>
          <w:tcPr>
            <w:tcW w:w="141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180</w:t>
            </w:r>
          </w:p>
        </w:tc>
        <w:tc>
          <w:tcPr>
            <w:tcW w:w="1421" w:type="dxa"/>
            <w:tcBorders>
              <w:top w:val="single" w:color="000000" w:sz="4" w:space="0"/>
              <w:left w:val="single" w:color="000000" w:sz="4" w:space="0"/>
              <w:bottom w:val="single" w:color="000000" w:sz="4" w:space="0"/>
              <w:right w:val="single" w:color="000000" w:sz="6"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180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817" w:type="dxa"/>
            <w:tcBorders>
              <w:top w:val="single" w:color="000000" w:sz="4" w:space="0"/>
              <w:left w:val="single" w:color="000000" w:sz="6"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2</w:t>
            </w:r>
          </w:p>
        </w:tc>
        <w:tc>
          <w:tcPr>
            <w:tcW w:w="2406"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采样工具</w:t>
            </w:r>
          </w:p>
        </w:tc>
        <w:tc>
          <w:tcPr>
            <w:tcW w:w="103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套</w:t>
            </w:r>
          </w:p>
        </w:tc>
        <w:tc>
          <w:tcPr>
            <w:tcW w:w="1420" w:type="dxa"/>
            <w:tcBorders>
              <w:top w:val="single" w:color="000000" w:sz="4" w:space="0"/>
              <w:left w:val="single" w:color="000000" w:sz="4" w:space="0"/>
              <w:bottom w:val="single" w:color="000000" w:sz="4" w:space="0"/>
              <w:right w:val="single" w:color="000000" w:sz="4" w:space="0"/>
            </w:tcBorders>
            <w:vAlign w:val="center"/>
          </w:tcPr>
          <w:p>
            <w:pPr>
              <w:pStyle w:val="99"/>
              <w:spacing w:before="34" w:line="240" w:lineRule="auto"/>
              <w:ind w:left="27"/>
              <w:rPr>
                <w:rFonts w:ascii="Times New Roman" w:hAnsi="Times New Roman" w:eastAsia="仿宋_GB2312" w:cs="Times New Roman"/>
                <w:color w:val="000000" w:themeColor="text1"/>
                <w:sz w:val="21"/>
                <w:szCs w:val="21"/>
              </w:rPr>
            </w:pPr>
            <w:r>
              <w:rPr>
                <w:rFonts w:ascii="Times New Roman" w:hAnsi="Times New Roman" w:eastAsia="仿宋_GB2312" w:cs="Times New Roman"/>
                <w:bCs/>
                <w:color w:val="000000" w:themeColor="text1"/>
                <w:sz w:val="21"/>
                <w:szCs w:val="21"/>
              </w:rPr>
              <w:t>1</w:t>
            </w:r>
          </w:p>
        </w:tc>
        <w:tc>
          <w:tcPr>
            <w:tcW w:w="141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300</w:t>
            </w:r>
          </w:p>
        </w:tc>
        <w:tc>
          <w:tcPr>
            <w:tcW w:w="1421" w:type="dxa"/>
            <w:tcBorders>
              <w:top w:val="single" w:color="000000" w:sz="4" w:space="0"/>
              <w:left w:val="single" w:color="000000" w:sz="4" w:space="0"/>
              <w:bottom w:val="single" w:color="000000" w:sz="4" w:space="0"/>
              <w:right w:val="single" w:color="000000" w:sz="6"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300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817" w:type="dxa"/>
            <w:tcBorders>
              <w:top w:val="single" w:color="000000" w:sz="4" w:space="0"/>
              <w:left w:val="single" w:color="000000" w:sz="6"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3</w:t>
            </w:r>
          </w:p>
        </w:tc>
        <w:tc>
          <w:tcPr>
            <w:tcW w:w="2406"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围栏网</w:t>
            </w:r>
          </w:p>
        </w:tc>
        <w:tc>
          <w:tcPr>
            <w:tcW w:w="103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m</w:t>
            </w:r>
          </w:p>
        </w:tc>
        <w:tc>
          <w:tcPr>
            <w:tcW w:w="1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50</w:t>
            </w:r>
          </w:p>
        </w:tc>
        <w:tc>
          <w:tcPr>
            <w:tcW w:w="141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8.5</w:t>
            </w:r>
          </w:p>
        </w:tc>
        <w:tc>
          <w:tcPr>
            <w:tcW w:w="1421" w:type="dxa"/>
            <w:tcBorders>
              <w:top w:val="single" w:color="000000" w:sz="4" w:space="0"/>
              <w:left w:val="single" w:color="000000" w:sz="4" w:space="0"/>
              <w:bottom w:val="single" w:color="000000" w:sz="4" w:space="0"/>
              <w:right w:val="single" w:color="000000" w:sz="6"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425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817" w:type="dxa"/>
            <w:tcBorders>
              <w:top w:val="single" w:color="000000" w:sz="4" w:space="0"/>
              <w:left w:val="single" w:color="000000" w:sz="6"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4</w:t>
            </w:r>
          </w:p>
        </w:tc>
        <w:tc>
          <w:tcPr>
            <w:tcW w:w="2406"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标志绳</w:t>
            </w:r>
          </w:p>
        </w:tc>
        <w:tc>
          <w:tcPr>
            <w:tcW w:w="103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m</w:t>
            </w:r>
          </w:p>
        </w:tc>
        <w:tc>
          <w:tcPr>
            <w:tcW w:w="1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100</w:t>
            </w:r>
          </w:p>
        </w:tc>
        <w:tc>
          <w:tcPr>
            <w:tcW w:w="141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1.5</w:t>
            </w:r>
          </w:p>
        </w:tc>
        <w:tc>
          <w:tcPr>
            <w:tcW w:w="1421" w:type="dxa"/>
            <w:tcBorders>
              <w:top w:val="single" w:color="000000" w:sz="4" w:space="0"/>
              <w:left w:val="single" w:color="000000" w:sz="4" w:space="0"/>
              <w:bottom w:val="single" w:color="000000" w:sz="4" w:space="0"/>
              <w:right w:val="single" w:color="000000" w:sz="6"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817" w:type="dxa"/>
            <w:tcBorders>
              <w:top w:val="single" w:color="000000" w:sz="4" w:space="0"/>
              <w:left w:val="single" w:color="000000" w:sz="6"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5</w:t>
            </w:r>
          </w:p>
        </w:tc>
        <w:tc>
          <w:tcPr>
            <w:tcW w:w="2406"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测钎</w:t>
            </w:r>
          </w:p>
        </w:tc>
        <w:tc>
          <w:tcPr>
            <w:tcW w:w="103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根</w:t>
            </w:r>
          </w:p>
        </w:tc>
        <w:tc>
          <w:tcPr>
            <w:tcW w:w="1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25</w:t>
            </w:r>
          </w:p>
        </w:tc>
        <w:tc>
          <w:tcPr>
            <w:tcW w:w="141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5</w:t>
            </w:r>
          </w:p>
        </w:tc>
        <w:tc>
          <w:tcPr>
            <w:tcW w:w="1421" w:type="dxa"/>
            <w:tcBorders>
              <w:top w:val="single" w:color="000000" w:sz="4" w:space="0"/>
              <w:left w:val="single" w:color="000000" w:sz="4" w:space="0"/>
              <w:bottom w:val="single" w:color="000000" w:sz="4" w:space="0"/>
              <w:right w:val="single" w:color="000000" w:sz="6"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125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817" w:type="dxa"/>
            <w:tcBorders>
              <w:top w:val="single" w:color="000000" w:sz="4" w:space="0"/>
              <w:left w:val="single" w:color="000000" w:sz="6"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6</w:t>
            </w:r>
          </w:p>
        </w:tc>
        <w:tc>
          <w:tcPr>
            <w:tcW w:w="2406"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标志牌</w:t>
            </w:r>
          </w:p>
        </w:tc>
        <w:tc>
          <w:tcPr>
            <w:tcW w:w="103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个</w:t>
            </w:r>
          </w:p>
        </w:tc>
        <w:tc>
          <w:tcPr>
            <w:tcW w:w="1420" w:type="dxa"/>
            <w:tcBorders>
              <w:top w:val="single" w:color="000000" w:sz="4" w:space="0"/>
              <w:left w:val="single" w:color="000000" w:sz="4" w:space="0"/>
              <w:bottom w:val="single" w:color="000000" w:sz="4" w:space="0"/>
              <w:right w:val="single" w:color="000000" w:sz="4" w:space="0"/>
            </w:tcBorders>
            <w:vAlign w:val="center"/>
          </w:tcPr>
          <w:p>
            <w:pPr>
              <w:pStyle w:val="99"/>
              <w:spacing w:before="35" w:line="240" w:lineRule="auto"/>
              <w:ind w:left="26"/>
              <w:rPr>
                <w:rFonts w:ascii="Times New Roman" w:hAnsi="Times New Roman" w:eastAsia="仿宋_GB2312" w:cs="Times New Roman"/>
                <w:color w:val="000000" w:themeColor="text1"/>
                <w:sz w:val="21"/>
                <w:szCs w:val="21"/>
              </w:rPr>
            </w:pPr>
            <w:r>
              <w:rPr>
                <w:rFonts w:ascii="Times New Roman" w:hAnsi="Times New Roman" w:eastAsia="仿宋_GB2312" w:cs="Times New Roman"/>
                <w:bCs/>
                <w:color w:val="000000" w:themeColor="text1"/>
                <w:sz w:val="21"/>
                <w:szCs w:val="21"/>
              </w:rPr>
              <w:t>1</w:t>
            </w:r>
          </w:p>
        </w:tc>
        <w:tc>
          <w:tcPr>
            <w:tcW w:w="141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10</w:t>
            </w:r>
          </w:p>
        </w:tc>
        <w:tc>
          <w:tcPr>
            <w:tcW w:w="1421" w:type="dxa"/>
            <w:tcBorders>
              <w:top w:val="single" w:color="000000" w:sz="4" w:space="0"/>
              <w:left w:val="single" w:color="000000" w:sz="4" w:space="0"/>
              <w:bottom w:val="single" w:color="000000" w:sz="4" w:space="0"/>
              <w:right w:val="single" w:color="000000" w:sz="6"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817" w:type="dxa"/>
            <w:tcBorders>
              <w:top w:val="single" w:color="000000" w:sz="4" w:space="0"/>
              <w:left w:val="single" w:color="000000" w:sz="6"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7</w:t>
            </w:r>
          </w:p>
        </w:tc>
        <w:tc>
          <w:tcPr>
            <w:tcW w:w="2406"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皮尺</w:t>
            </w:r>
          </w:p>
        </w:tc>
        <w:tc>
          <w:tcPr>
            <w:tcW w:w="103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把</w:t>
            </w:r>
          </w:p>
        </w:tc>
        <w:tc>
          <w:tcPr>
            <w:tcW w:w="1420" w:type="dxa"/>
            <w:tcBorders>
              <w:top w:val="single" w:color="000000" w:sz="4" w:space="0"/>
              <w:left w:val="single" w:color="000000" w:sz="4" w:space="0"/>
              <w:bottom w:val="single" w:color="000000" w:sz="4" w:space="0"/>
              <w:right w:val="single" w:color="000000" w:sz="4" w:space="0"/>
            </w:tcBorders>
            <w:vAlign w:val="center"/>
          </w:tcPr>
          <w:p>
            <w:pPr>
              <w:pStyle w:val="99"/>
              <w:spacing w:before="34" w:line="240" w:lineRule="auto"/>
              <w:ind w:left="27"/>
              <w:rPr>
                <w:rFonts w:ascii="Times New Roman" w:hAnsi="Times New Roman" w:eastAsia="仿宋_GB2312" w:cs="Times New Roman"/>
                <w:color w:val="000000" w:themeColor="text1"/>
                <w:sz w:val="21"/>
                <w:szCs w:val="21"/>
              </w:rPr>
            </w:pPr>
            <w:r>
              <w:rPr>
                <w:rFonts w:ascii="Times New Roman" w:hAnsi="Times New Roman" w:eastAsia="仿宋_GB2312" w:cs="Times New Roman"/>
                <w:bCs/>
                <w:color w:val="000000" w:themeColor="text1"/>
                <w:sz w:val="21"/>
                <w:szCs w:val="21"/>
              </w:rPr>
              <w:t>1</w:t>
            </w:r>
          </w:p>
        </w:tc>
        <w:tc>
          <w:tcPr>
            <w:tcW w:w="141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30</w:t>
            </w:r>
          </w:p>
        </w:tc>
        <w:tc>
          <w:tcPr>
            <w:tcW w:w="1421" w:type="dxa"/>
            <w:tcBorders>
              <w:top w:val="single" w:color="000000" w:sz="4" w:space="0"/>
              <w:left w:val="single" w:color="000000" w:sz="4" w:space="0"/>
              <w:bottom w:val="single" w:color="000000" w:sz="4" w:space="0"/>
              <w:right w:val="single" w:color="000000" w:sz="6"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30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817" w:type="dxa"/>
            <w:tcBorders>
              <w:top w:val="single" w:color="000000" w:sz="4" w:space="0"/>
              <w:left w:val="single" w:color="000000" w:sz="6" w:space="0"/>
              <w:bottom w:val="single" w:color="auto"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8</w:t>
            </w:r>
          </w:p>
        </w:tc>
        <w:tc>
          <w:tcPr>
            <w:tcW w:w="2406" w:type="dxa"/>
            <w:tcBorders>
              <w:top w:val="single" w:color="000000" w:sz="4" w:space="0"/>
              <w:left w:val="single" w:color="000000" w:sz="4" w:space="0"/>
              <w:bottom w:val="single" w:color="auto"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钢卷尺</w:t>
            </w:r>
          </w:p>
        </w:tc>
        <w:tc>
          <w:tcPr>
            <w:tcW w:w="1038" w:type="dxa"/>
            <w:tcBorders>
              <w:top w:val="single" w:color="000000" w:sz="4" w:space="0"/>
              <w:left w:val="single" w:color="000000" w:sz="4" w:space="0"/>
              <w:bottom w:val="single" w:color="auto"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把</w:t>
            </w:r>
          </w:p>
        </w:tc>
        <w:tc>
          <w:tcPr>
            <w:tcW w:w="1420" w:type="dxa"/>
            <w:tcBorders>
              <w:top w:val="single" w:color="000000" w:sz="4" w:space="0"/>
              <w:left w:val="single" w:color="000000" w:sz="4" w:space="0"/>
              <w:bottom w:val="single" w:color="auto" w:sz="4" w:space="0"/>
              <w:right w:val="single" w:color="000000" w:sz="4" w:space="0"/>
            </w:tcBorders>
            <w:vAlign w:val="center"/>
          </w:tcPr>
          <w:p>
            <w:pPr>
              <w:pStyle w:val="99"/>
              <w:spacing w:before="35" w:line="240" w:lineRule="auto"/>
              <w:ind w:left="26"/>
              <w:rPr>
                <w:rFonts w:ascii="Times New Roman" w:hAnsi="Times New Roman" w:eastAsia="仿宋_GB2312" w:cs="Times New Roman"/>
                <w:color w:val="000000" w:themeColor="text1"/>
                <w:sz w:val="21"/>
                <w:szCs w:val="21"/>
              </w:rPr>
            </w:pPr>
            <w:r>
              <w:rPr>
                <w:rFonts w:ascii="Times New Roman" w:hAnsi="Times New Roman" w:eastAsia="仿宋_GB2312" w:cs="Times New Roman"/>
                <w:bCs/>
                <w:color w:val="000000" w:themeColor="text1"/>
                <w:sz w:val="21"/>
                <w:szCs w:val="21"/>
              </w:rPr>
              <w:t>1</w:t>
            </w:r>
          </w:p>
        </w:tc>
        <w:tc>
          <w:tcPr>
            <w:tcW w:w="1419" w:type="dxa"/>
            <w:tcBorders>
              <w:top w:val="single" w:color="000000" w:sz="4" w:space="0"/>
              <w:left w:val="single" w:color="000000" w:sz="4" w:space="0"/>
              <w:bottom w:val="single" w:color="auto"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50</w:t>
            </w:r>
          </w:p>
        </w:tc>
        <w:tc>
          <w:tcPr>
            <w:tcW w:w="1421" w:type="dxa"/>
            <w:tcBorders>
              <w:top w:val="single" w:color="000000" w:sz="4" w:space="0"/>
              <w:left w:val="single" w:color="000000" w:sz="4" w:space="0"/>
              <w:bottom w:val="single" w:color="auto" w:sz="4" w:space="0"/>
              <w:right w:val="single" w:color="000000" w:sz="6"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817" w:type="dxa"/>
            <w:tcBorders>
              <w:top w:val="single" w:color="auto" w:sz="4" w:space="0"/>
              <w:left w:val="single" w:color="000000" w:sz="6"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9</w:t>
            </w:r>
          </w:p>
        </w:tc>
        <w:tc>
          <w:tcPr>
            <w:tcW w:w="2406" w:type="dxa"/>
            <w:tcBorders>
              <w:top w:val="single" w:color="auto"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卫片</w:t>
            </w:r>
          </w:p>
        </w:tc>
        <w:tc>
          <w:tcPr>
            <w:tcW w:w="1038" w:type="dxa"/>
            <w:tcBorders>
              <w:top w:val="single" w:color="auto"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张</w:t>
            </w:r>
          </w:p>
        </w:tc>
        <w:tc>
          <w:tcPr>
            <w:tcW w:w="1420" w:type="dxa"/>
            <w:tcBorders>
              <w:top w:val="single" w:color="auto" w:sz="4" w:space="0"/>
              <w:left w:val="single" w:color="000000" w:sz="4" w:space="0"/>
              <w:bottom w:val="single" w:color="000000" w:sz="4" w:space="0"/>
              <w:right w:val="single" w:color="000000" w:sz="4" w:space="0"/>
            </w:tcBorders>
            <w:vAlign w:val="center"/>
          </w:tcPr>
          <w:p>
            <w:pPr>
              <w:pStyle w:val="99"/>
              <w:spacing w:before="35" w:line="240" w:lineRule="auto"/>
              <w:ind w:left="26"/>
              <w:rPr>
                <w:rFonts w:ascii="Times New Roman" w:hAnsi="Times New Roman" w:eastAsia="仿宋_GB2312" w:cs="Times New Roman"/>
                <w:bCs/>
                <w:color w:val="000000" w:themeColor="text1"/>
                <w:sz w:val="21"/>
                <w:szCs w:val="21"/>
              </w:rPr>
            </w:pPr>
            <w:r>
              <w:rPr>
                <w:rFonts w:ascii="Times New Roman" w:hAnsi="Times New Roman" w:eastAsia="仿宋_GB2312" w:cs="Times New Roman"/>
                <w:bCs/>
                <w:color w:val="000000" w:themeColor="text1"/>
                <w:sz w:val="21"/>
                <w:szCs w:val="21"/>
              </w:rPr>
              <w:t>1</w:t>
            </w:r>
          </w:p>
        </w:tc>
        <w:tc>
          <w:tcPr>
            <w:tcW w:w="1419" w:type="dxa"/>
            <w:tcBorders>
              <w:top w:val="single" w:color="auto"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1000</w:t>
            </w:r>
          </w:p>
        </w:tc>
        <w:tc>
          <w:tcPr>
            <w:tcW w:w="1421" w:type="dxa"/>
            <w:tcBorders>
              <w:top w:val="single" w:color="auto" w:sz="4" w:space="0"/>
              <w:left w:val="single" w:color="000000" w:sz="4" w:space="0"/>
              <w:bottom w:val="single" w:color="000000" w:sz="4" w:space="0"/>
              <w:right w:val="single" w:color="000000" w:sz="6"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1000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817" w:type="dxa"/>
            <w:tcBorders>
              <w:top w:val="single" w:color="000000" w:sz="4" w:space="0"/>
              <w:left w:val="single" w:color="000000" w:sz="6"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三</w:t>
            </w:r>
          </w:p>
        </w:tc>
        <w:tc>
          <w:tcPr>
            <w:tcW w:w="2406"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监测设施和设备</w:t>
            </w:r>
          </w:p>
        </w:tc>
        <w:tc>
          <w:tcPr>
            <w:tcW w:w="103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p>
        </w:tc>
        <w:tc>
          <w:tcPr>
            <w:tcW w:w="1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p>
        </w:tc>
        <w:tc>
          <w:tcPr>
            <w:tcW w:w="141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p>
        </w:tc>
        <w:tc>
          <w:tcPr>
            <w:tcW w:w="1421" w:type="dxa"/>
            <w:tcBorders>
              <w:top w:val="single" w:color="000000" w:sz="4" w:space="0"/>
              <w:left w:val="single" w:color="000000" w:sz="4" w:space="0"/>
              <w:bottom w:val="single" w:color="000000" w:sz="4" w:space="0"/>
              <w:right w:val="single" w:color="000000" w:sz="6" w:space="0"/>
            </w:tcBorders>
            <w:vAlign w:val="center"/>
          </w:tcPr>
          <w:p>
            <w:pPr>
              <w:spacing w:line="240" w:lineRule="auto"/>
              <w:jc w:val="center"/>
              <w:rPr>
                <w:rFonts w:eastAsia="仿宋_GB2312"/>
                <w:color w:val="000000" w:themeColor="text1"/>
                <w:sz w:val="21"/>
                <w:szCs w:val="21"/>
              </w:rPr>
            </w:pPr>
            <w:r>
              <w:rPr>
                <w:rFonts w:hint="eastAsia" w:eastAsia="仿宋_GB2312"/>
                <w:color w:val="000000" w:themeColor="text1"/>
                <w:sz w:val="21"/>
                <w:szCs w:val="21"/>
              </w:rPr>
              <w:t>6404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817" w:type="dxa"/>
            <w:tcBorders>
              <w:top w:val="single" w:color="000000" w:sz="4" w:space="0"/>
              <w:left w:val="single" w:color="000000" w:sz="6"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w:t>
            </w:r>
          </w:p>
        </w:tc>
        <w:tc>
          <w:tcPr>
            <w:tcW w:w="2406"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电子天平（按20％折旧）</w:t>
            </w:r>
          </w:p>
        </w:tc>
        <w:tc>
          <w:tcPr>
            <w:tcW w:w="103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台</w:t>
            </w:r>
          </w:p>
        </w:tc>
        <w:tc>
          <w:tcPr>
            <w:tcW w:w="1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w:t>
            </w:r>
          </w:p>
        </w:tc>
        <w:tc>
          <w:tcPr>
            <w:tcW w:w="141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3000</w:t>
            </w:r>
          </w:p>
        </w:tc>
        <w:tc>
          <w:tcPr>
            <w:tcW w:w="1421" w:type="dxa"/>
            <w:tcBorders>
              <w:top w:val="single" w:color="000000" w:sz="4" w:space="0"/>
              <w:left w:val="single" w:color="000000" w:sz="4" w:space="0"/>
              <w:bottom w:val="single" w:color="000000" w:sz="4" w:space="0"/>
              <w:right w:val="single" w:color="000000" w:sz="6"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600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817" w:type="dxa"/>
            <w:tcBorders>
              <w:top w:val="single" w:color="000000" w:sz="4" w:space="0"/>
              <w:left w:val="single" w:color="000000" w:sz="6"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2</w:t>
            </w:r>
          </w:p>
        </w:tc>
        <w:tc>
          <w:tcPr>
            <w:tcW w:w="2406"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比重计（按20％折旧）</w:t>
            </w:r>
          </w:p>
        </w:tc>
        <w:tc>
          <w:tcPr>
            <w:tcW w:w="103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个</w:t>
            </w:r>
          </w:p>
        </w:tc>
        <w:tc>
          <w:tcPr>
            <w:tcW w:w="1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w:t>
            </w:r>
          </w:p>
        </w:tc>
        <w:tc>
          <w:tcPr>
            <w:tcW w:w="141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80</w:t>
            </w:r>
          </w:p>
        </w:tc>
        <w:tc>
          <w:tcPr>
            <w:tcW w:w="1421" w:type="dxa"/>
            <w:tcBorders>
              <w:top w:val="single" w:color="000000" w:sz="4" w:space="0"/>
              <w:left w:val="single" w:color="000000" w:sz="4" w:space="0"/>
              <w:bottom w:val="single" w:color="000000" w:sz="4" w:space="0"/>
              <w:right w:val="single" w:color="000000" w:sz="6"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817" w:type="dxa"/>
            <w:tcBorders>
              <w:top w:val="single" w:color="000000" w:sz="4" w:space="0"/>
              <w:left w:val="single" w:color="000000" w:sz="6"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3</w:t>
            </w:r>
          </w:p>
        </w:tc>
        <w:tc>
          <w:tcPr>
            <w:tcW w:w="2406"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烘箱（按20％折旧）</w:t>
            </w:r>
          </w:p>
        </w:tc>
        <w:tc>
          <w:tcPr>
            <w:tcW w:w="103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台</w:t>
            </w:r>
          </w:p>
        </w:tc>
        <w:tc>
          <w:tcPr>
            <w:tcW w:w="1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w:t>
            </w:r>
          </w:p>
        </w:tc>
        <w:tc>
          <w:tcPr>
            <w:tcW w:w="141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8000</w:t>
            </w:r>
          </w:p>
        </w:tc>
        <w:tc>
          <w:tcPr>
            <w:tcW w:w="1421" w:type="dxa"/>
            <w:tcBorders>
              <w:top w:val="single" w:color="000000" w:sz="4" w:space="0"/>
              <w:left w:val="single" w:color="000000" w:sz="4" w:space="0"/>
              <w:bottom w:val="single" w:color="000000" w:sz="4" w:space="0"/>
              <w:right w:val="single" w:color="000000" w:sz="6"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1600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817" w:type="dxa"/>
            <w:tcBorders>
              <w:top w:val="single" w:color="000000" w:sz="4" w:space="0"/>
              <w:left w:val="single" w:color="000000" w:sz="6"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4</w:t>
            </w:r>
          </w:p>
        </w:tc>
        <w:tc>
          <w:tcPr>
            <w:tcW w:w="2406"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土壤水分快速测定仪</w:t>
            </w:r>
          </w:p>
          <w:p>
            <w:pPr>
              <w:spacing w:line="240" w:lineRule="auto"/>
              <w:jc w:val="center"/>
              <w:rPr>
                <w:rFonts w:eastAsia="仿宋_GB2312"/>
                <w:color w:val="000000" w:themeColor="text1"/>
                <w:sz w:val="21"/>
                <w:szCs w:val="21"/>
              </w:rPr>
            </w:pPr>
            <w:r>
              <w:rPr>
                <w:rFonts w:eastAsia="仿宋_GB2312"/>
                <w:color w:val="000000" w:themeColor="text1"/>
                <w:sz w:val="21"/>
                <w:szCs w:val="21"/>
              </w:rPr>
              <w:t>（按20％折旧）</w:t>
            </w:r>
          </w:p>
        </w:tc>
        <w:tc>
          <w:tcPr>
            <w:tcW w:w="103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台</w:t>
            </w:r>
          </w:p>
        </w:tc>
        <w:tc>
          <w:tcPr>
            <w:tcW w:w="1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w:t>
            </w:r>
          </w:p>
        </w:tc>
        <w:tc>
          <w:tcPr>
            <w:tcW w:w="141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15000</w:t>
            </w:r>
          </w:p>
        </w:tc>
        <w:tc>
          <w:tcPr>
            <w:tcW w:w="1421" w:type="dxa"/>
            <w:tcBorders>
              <w:top w:val="single" w:color="000000" w:sz="4" w:space="0"/>
              <w:left w:val="single" w:color="000000" w:sz="4" w:space="0"/>
              <w:bottom w:val="single" w:color="000000" w:sz="4" w:space="0"/>
              <w:right w:val="single" w:color="000000" w:sz="6"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3000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817" w:type="dxa"/>
            <w:tcBorders>
              <w:top w:val="single" w:color="000000" w:sz="4" w:space="0"/>
              <w:left w:val="single" w:color="000000" w:sz="6"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5</w:t>
            </w:r>
          </w:p>
        </w:tc>
        <w:tc>
          <w:tcPr>
            <w:tcW w:w="2406"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自记雨量计</w:t>
            </w:r>
          </w:p>
          <w:p>
            <w:pPr>
              <w:spacing w:line="240" w:lineRule="auto"/>
              <w:jc w:val="center"/>
              <w:rPr>
                <w:rFonts w:eastAsia="仿宋_GB2312"/>
                <w:color w:val="000000" w:themeColor="text1"/>
                <w:sz w:val="21"/>
                <w:szCs w:val="21"/>
              </w:rPr>
            </w:pPr>
            <w:r>
              <w:rPr>
                <w:rFonts w:eastAsia="仿宋_GB2312"/>
                <w:color w:val="000000" w:themeColor="text1"/>
                <w:sz w:val="21"/>
                <w:szCs w:val="21"/>
              </w:rPr>
              <w:t>（按20％折旧）</w:t>
            </w:r>
          </w:p>
        </w:tc>
        <w:tc>
          <w:tcPr>
            <w:tcW w:w="103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个</w:t>
            </w:r>
          </w:p>
        </w:tc>
        <w:tc>
          <w:tcPr>
            <w:tcW w:w="1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w:t>
            </w:r>
          </w:p>
        </w:tc>
        <w:tc>
          <w:tcPr>
            <w:tcW w:w="141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1800</w:t>
            </w:r>
          </w:p>
        </w:tc>
        <w:tc>
          <w:tcPr>
            <w:tcW w:w="1421" w:type="dxa"/>
            <w:tcBorders>
              <w:top w:val="single" w:color="000000" w:sz="4" w:space="0"/>
              <w:left w:val="single" w:color="000000" w:sz="4" w:space="0"/>
              <w:bottom w:val="single" w:color="000000" w:sz="4" w:space="0"/>
              <w:right w:val="single" w:color="000000" w:sz="6"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360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817" w:type="dxa"/>
            <w:tcBorders>
              <w:top w:val="single" w:color="000000" w:sz="4" w:space="0"/>
              <w:left w:val="single" w:color="000000" w:sz="6"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6</w:t>
            </w:r>
          </w:p>
        </w:tc>
        <w:tc>
          <w:tcPr>
            <w:tcW w:w="2406"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植被高度观测仪</w:t>
            </w:r>
          </w:p>
          <w:p>
            <w:pPr>
              <w:spacing w:line="240" w:lineRule="auto"/>
              <w:jc w:val="center"/>
              <w:rPr>
                <w:rFonts w:eastAsia="仿宋_GB2312"/>
                <w:color w:val="000000" w:themeColor="text1"/>
                <w:sz w:val="21"/>
                <w:szCs w:val="21"/>
              </w:rPr>
            </w:pPr>
            <w:r>
              <w:rPr>
                <w:rFonts w:eastAsia="仿宋_GB2312"/>
                <w:color w:val="000000" w:themeColor="text1"/>
                <w:sz w:val="21"/>
                <w:szCs w:val="21"/>
              </w:rPr>
              <w:t>（按20％折旧）</w:t>
            </w:r>
          </w:p>
        </w:tc>
        <w:tc>
          <w:tcPr>
            <w:tcW w:w="103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个</w:t>
            </w:r>
          </w:p>
        </w:tc>
        <w:tc>
          <w:tcPr>
            <w:tcW w:w="1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w:t>
            </w:r>
          </w:p>
        </w:tc>
        <w:tc>
          <w:tcPr>
            <w:tcW w:w="141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2000</w:t>
            </w:r>
          </w:p>
        </w:tc>
        <w:tc>
          <w:tcPr>
            <w:tcW w:w="1421" w:type="dxa"/>
            <w:tcBorders>
              <w:top w:val="single" w:color="000000" w:sz="4" w:space="0"/>
              <w:left w:val="single" w:color="000000" w:sz="4" w:space="0"/>
              <w:bottom w:val="single" w:color="000000" w:sz="4" w:space="0"/>
              <w:right w:val="single" w:color="000000" w:sz="6"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400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817" w:type="dxa"/>
            <w:tcBorders>
              <w:top w:val="single" w:color="000000" w:sz="4" w:space="0"/>
              <w:left w:val="single" w:color="000000" w:sz="6"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7</w:t>
            </w:r>
          </w:p>
        </w:tc>
        <w:tc>
          <w:tcPr>
            <w:tcW w:w="2406"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坡度仪（按20％折旧）</w:t>
            </w:r>
          </w:p>
        </w:tc>
        <w:tc>
          <w:tcPr>
            <w:tcW w:w="103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个</w:t>
            </w:r>
          </w:p>
        </w:tc>
        <w:tc>
          <w:tcPr>
            <w:tcW w:w="1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w:t>
            </w:r>
          </w:p>
        </w:tc>
        <w:tc>
          <w:tcPr>
            <w:tcW w:w="141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140</w:t>
            </w:r>
          </w:p>
        </w:tc>
        <w:tc>
          <w:tcPr>
            <w:tcW w:w="1421" w:type="dxa"/>
            <w:tcBorders>
              <w:top w:val="single" w:color="000000" w:sz="4" w:space="0"/>
              <w:left w:val="single" w:color="000000" w:sz="4" w:space="0"/>
              <w:bottom w:val="single" w:color="000000" w:sz="4" w:space="0"/>
              <w:right w:val="single" w:color="000000" w:sz="6"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28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3" w:hRule="atLeast"/>
          <w:jc w:val="center"/>
        </w:trPr>
        <w:tc>
          <w:tcPr>
            <w:tcW w:w="817" w:type="dxa"/>
            <w:tcBorders>
              <w:top w:val="single" w:color="000000" w:sz="4" w:space="0"/>
              <w:left w:val="single" w:color="000000" w:sz="6"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8</w:t>
            </w:r>
          </w:p>
        </w:tc>
        <w:tc>
          <w:tcPr>
            <w:tcW w:w="2406"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GPS定位仪</w:t>
            </w:r>
          </w:p>
          <w:p>
            <w:pPr>
              <w:spacing w:line="240" w:lineRule="auto"/>
              <w:jc w:val="center"/>
              <w:rPr>
                <w:rFonts w:eastAsia="仿宋_GB2312"/>
                <w:color w:val="000000" w:themeColor="text1"/>
                <w:sz w:val="21"/>
                <w:szCs w:val="21"/>
              </w:rPr>
            </w:pPr>
            <w:r>
              <w:rPr>
                <w:rFonts w:eastAsia="仿宋_GB2312"/>
                <w:color w:val="000000" w:themeColor="text1"/>
                <w:sz w:val="21"/>
                <w:szCs w:val="21"/>
              </w:rPr>
              <w:t>（按20％折旧）</w:t>
            </w:r>
          </w:p>
        </w:tc>
        <w:tc>
          <w:tcPr>
            <w:tcW w:w="103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套</w:t>
            </w:r>
          </w:p>
        </w:tc>
        <w:tc>
          <w:tcPr>
            <w:tcW w:w="14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w:t>
            </w:r>
          </w:p>
        </w:tc>
        <w:tc>
          <w:tcPr>
            <w:tcW w:w="1419"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2000</w:t>
            </w:r>
          </w:p>
        </w:tc>
        <w:tc>
          <w:tcPr>
            <w:tcW w:w="1421" w:type="dxa"/>
            <w:tcBorders>
              <w:top w:val="single" w:color="000000" w:sz="4" w:space="0"/>
              <w:left w:val="single" w:color="000000" w:sz="4" w:space="0"/>
              <w:bottom w:val="single" w:color="000000" w:sz="4" w:space="0"/>
              <w:right w:val="single" w:color="000000" w:sz="6" w:space="0"/>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400</w:t>
            </w:r>
          </w:p>
        </w:tc>
      </w:tr>
    </w:tbl>
    <w:p>
      <w:pPr>
        <w:spacing w:line="360" w:lineRule="auto"/>
        <w:jc w:val="both"/>
        <w:rPr>
          <w:rFonts w:eastAsia="仿宋_GB2312"/>
          <w:b/>
          <w:bCs/>
          <w:color w:val="000000" w:themeColor="text1"/>
          <w:szCs w:val="24"/>
          <w:highlight w:val="cyan"/>
        </w:rPr>
      </w:pPr>
    </w:p>
    <w:p>
      <w:pPr>
        <w:spacing w:line="360" w:lineRule="auto"/>
        <w:jc w:val="center"/>
        <w:rPr>
          <w:rFonts w:eastAsia="仿宋_GB2312"/>
          <w:b/>
          <w:bCs/>
          <w:color w:val="000000" w:themeColor="text1"/>
          <w:szCs w:val="24"/>
        </w:rPr>
      </w:pPr>
      <w:r>
        <w:rPr>
          <w:rFonts w:eastAsia="仿宋_GB2312"/>
          <w:b/>
          <w:bCs/>
          <w:color w:val="000000" w:themeColor="text1"/>
          <w:szCs w:val="24"/>
        </w:rPr>
        <w:t>表7-7    水土保持补偿费计算表      单位：元</w:t>
      </w:r>
    </w:p>
    <w:tbl>
      <w:tblPr>
        <w:tblStyle w:val="23"/>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3984"/>
        <w:gridCol w:w="1736"/>
        <w:gridCol w:w="1506"/>
        <w:gridCol w:w="1506"/>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4" w:type="dxa"/>
            <w:vMerge w:val="restart"/>
            <w:tcBorders>
              <w:tl2br w:val="nil"/>
              <w:tr2bl w:val="nil"/>
            </w:tcBorders>
            <w:vAlign w:val="center"/>
          </w:tcPr>
          <w:p>
            <w:pPr>
              <w:widowControl/>
              <w:jc w:val="center"/>
              <w:rPr>
                <w:rFonts w:eastAsia="仿宋_GB2312"/>
                <w:color w:val="000000" w:themeColor="text1"/>
                <w:sz w:val="21"/>
                <w:szCs w:val="21"/>
              </w:rPr>
            </w:pPr>
            <w:r>
              <w:rPr>
                <w:rFonts w:eastAsia="仿宋_GB2312"/>
                <w:color w:val="000000" w:themeColor="text1"/>
                <w:sz w:val="21"/>
                <w:szCs w:val="21"/>
              </w:rPr>
              <w:t>项目</w:t>
            </w:r>
          </w:p>
        </w:tc>
        <w:tc>
          <w:tcPr>
            <w:tcW w:w="3242" w:type="dxa"/>
            <w:gridSpan w:val="2"/>
            <w:tcBorders>
              <w:tl2br w:val="nil"/>
              <w:tr2bl w:val="nil"/>
            </w:tcBorders>
            <w:vAlign w:val="center"/>
          </w:tcPr>
          <w:p>
            <w:pPr>
              <w:widowControl/>
              <w:jc w:val="center"/>
              <w:rPr>
                <w:rFonts w:eastAsia="仿宋_GB2312"/>
                <w:color w:val="000000" w:themeColor="text1"/>
                <w:sz w:val="21"/>
                <w:szCs w:val="21"/>
              </w:rPr>
            </w:pPr>
            <w:r>
              <w:rPr>
                <w:rFonts w:eastAsia="仿宋_GB2312"/>
                <w:color w:val="000000" w:themeColor="text1"/>
                <w:sz w:val="21"/>
                <w:szCs w:val="21"/>
              </w:rPr>
              <w:t>0～10度（含10度）</w:t>
            </w:r>
          </w:p>
        </w:tc>
        <w:tc>
          <w:tcPr>
            <w:tcW w:w="1506" w:type="dxa"/>
            <w:vMerge w:val="restart"/>
            <w:tcBorders>
              <w:tl2br w:val="nil"/>
              <w:tr2bl w:val="nil"/>
            </w:tcBorders>
            <w:vAlign w:val="center"/>
          </w:tcPr>
          <w:p>
            <w:pPr>
              <w:widowControl/>
              <w:jc w:val="center"/>
              <w:rPr>
                <w:rFonts w:eastAsia="仿宋_GB2312"/>
                <w:color w:val="000000" w:themeColor="text1"/>
                <w:sz w:val="21"/>
                <w:szCs w:val="21"/>
              </w:rPr>
            </w:pPr>
            <w:r>
              <w:rPr>
                <w:rFonts w:eastAsia="仿宋_GB2312"/>
                <w:color w:val="000000" w:themeColor="text1"/>
                <w:sz w:val="21"/>
                <w:szCs w:val="21"/>
              </w:rPr>
              <w:t>金额（元）</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4" w:type="dxa"/>
            <w:vMerge w:val="continue"/>
            <w:tcBorders>
              <w:tl2br w:val="nil"/>
              <w:tr2bl w:val="nil"/>
            </w:tcBorders>
            <w:vAlign w:val="center"/>
          </w:tcPr>
          <w:p>
            <w:pPr>
              <w:widowControl/>
              <w:jc w:val="center"/>
              <w:rPr>
                <w:rFonts w:eastAsia="仿宋_GB2312"/>
                <w:color w:val="000000" w:themeColor="text1"/>
                <w:sz w:val="21"/>
                <w:szCs w:val="21"/>
              </w:rPr>
            </w:pPr>
          </w:p>
        </w:tc>
        <w:tc>
          <w:tcPr>
            <w:tcW w:w="1736" w:type="dxa"/>
            <w:tcBorders>
              <w:tl2br w:val="nil"/>
              <w:tr2bl w:val="nil"/>
            </w:tcBorders>
            <w:vAlign w:val="center"/>
          </w:tcPr>
          <w:p>
            <w:pPr>
              <w:widowControl/>
              <w:jc w:val="center"/>
              <w:rPr>
                <w:rFonts w:eastAsia="仿宋_GB2312"/>
                <w:color w:val="000000" w:themeColor="text1"/>
                <w:sz w:val="21"/>
                <w:szCs w:val="21"/>
              </w:rPr>
            </w:pPr>
            <w:r>
              <w:rPr>
                <w:rFonts w:eastAsia="仿宋_GB2312"/>
                <w:color w:val="000000" w:themeColor="text1"/>
                <w:sz w:val="21"/>
                <w:szCs w:val="21"/>
              </w:rPr>
              <w:t>单价（元/m</w:t>
            </w:r>
            <w:r>
              <w:rPr>
                <w:rFonts w:eastAsia="仿宋_GB2312"/>
                <w:color w:val="000000" w:themeColor="text1"/>
                <w:sz w:val="21"/>
                <w:szCs w:val="21"/>
                <w:vertAlign w:val="superscript"/>
              </w:rPr>
              <w:t>2</w:t>
            </w:r>
            <w:r>
              <w:rPr>
                <w:rFonts w:eastAsia="仿宋_GB2312"/>
                <w:color w:val="000000" w:themeColor="text1"/>
                <w:sz w:val="21"/>
                <w:szCs w:val="21"/>
              </w:rPr>
              <w:t>）</w:t>
            </w:r>
          </w:p>
        </w:tc>
        <w:tc>
          <w:tcPr>
            <w:tcW w:w="1506" w:type="dxa"/>
            <w:tcBorders>
              <w:tl2br w:val="nil"/>
              <w:tr2bl w:val="nil"/>
            </w:tcBorders>
            <w:vAlign w:val="center"/>
          </w:tcPr>
          <w:p>
            <w:pPr>
              <w:widowControl/>
              <w:jc w:val="center"/>
              <w:rPr>
                <w:rFonts w:eastAsia="仿宋_GB2312"/>
                <w:color w:val="000000" w:themeColor="text1"/>
                <w:sz w:val="21"/>
                <w:szCs w:val="21"/>
              </w:rPr>
            </w:pPr>
            <w:r>
              <w:rPr>
                <w:rFonts w:eastAsia="仿宋_GB2312"/>
                <w:color w:val="000000" w:themeColor="text1"/>
                <w:sz w:val="21"/>
                <w:szCs w:val="21"/>
              </w:rPr>
              <w:t>面积（m</w:t>
            </w:r>
            <w:r>
              <w:rPr>
                <w:rFonts w:eastAsia="仿宋_GB2312"/>
                <w:color w:val="000000" w:themeColor="text1"/>
                <w:sz w:val="21"/>
                <w:szCs w:val="21"/>
                <w:vertAlign w:val="superscript"/>
              </w:rPr>
              <w:t>2</w:t>
            </w:r>
            <w:r>
              <w:rPr>
                <w:rFonts w:eastAsia="仿宋_GB2312"/>
                <w:color w:val="000000" w:themeColor="text1"/>
                <w:sz w:val="21"/>
                <w:szCs w:val="21"/>
              </w:rPr>
              <w:t>）</w:t>
            </w:r>
          </w:p>
        </w:tc>
        <w:tc>
          <w:tcPr>
            <w:tcW w:w="1506" w:type="dxa"/>
            <w:vMerge w:val="continue"/>
            <w:tcBorders>
              <w:tl2br w:val="nil"/>
              <w:tr2bl w:val="nil"/>
            </w:tcBorders>
            <w:vAlign w:val="center"/>
          </w:tcPr>
          <w:p>
            <w:pPr>
              <w:widowControl/>
              <w:jc w:val="center"/>
              <w:rPr>
                <w:rFonts w:eastAsia="仿宋_GB2312"/>
                <w:color w:val="000000" w:themeColor="text1"/>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4" w:type="dxa"/>
            <w:tcBorders>
              <w:tl2br w:val="nil"/>
              <w:tr2bl w:val="nil"/>
            </w:tcBorders>
            <w:vAlign w:val="center"/>
          </w:tcPr>
          <w:p>
            <w:pPr>
              <w:jc w:val="center"/>
              <w:rPr>
                <w:color w:val="000000" w:themeColor="text1"/>
                <w:sz w:val="21"/>
                <w:szCs w:val="21"/>
              </w:rPr>
            </w:pPr>
            <w:r>
              <w:rPr>
                <w:rFonts w:eastAsia="仿宋_GB2312"/>
                <w:color w:val="000000" w:themeColor="text1"/>
                <w:sz w:val="21"/>
                <w:szCs w:val="21"/>
              </w:rPr>
              <w:t>工程建设区</w:t>
            </w:r>
          </w:p>
        </w:tc>
        <w:tc>
          <w:tcPr>
            <w:tcW w:w="1736" w:type="dxa"/>
            <w:tcBorders>
              <w:tl2br w:val="nil"/>
              <w:tr2bl w:val="nil"/>
            </w:tcBorders>
            <w:vAlign w:val="center"/>
          </w:tcPr>
          <w:p>
            <w:pPr>
              <w:jc w:val="center"/>
              <w:rPr>
                <w:rFonts w:hint="default" w:eastAsia="宋体"/>
                <w:color w:val="000000" w:themeColor="text1"/>
                <w:sz w:val="21"/>
                <w:szCs w:val="21"/>
                <w:lang w:val="en-US" w:eastAsia="zh-CN"/>
              </w:rPr>
            </w:pPr>
            <w:r>
              <w:rPr>
                <w:color w:val="000000" w:themeColor="text1"/>
                <w:sz w:val="21"/>
                <w:szCs w:val="21"/>
              </w:rPr>
              <w:t>0.</w:t>
            </w:r>
            <w:r>
              <w:rPr>
                <w:rFonts w:hint="eastAsia"/>
                <w:color w:val="000000" w:themeColor="text1"/>
                <w:sz w:val="21"/>
                <w:szCs w:val="21"/>
                <w:lang w:val="en-US" w:eastAsia="zh-CN"/>
              </w:rPr>
              <w:t>45</w:t>
            </w:r>
          </w:p>
        </w:tc>
        <w:tc>
          <w:tcPr>
            <w:tcW w:w="1506" w:type="dxa"/>
            <w:tcBorders>
              <w:tl2br w:val="nil"/>
              <w:tr2bl w:val="nil"/>
            </w:tcBorders>
            <w:vAlign w:val="center"/>
          </w:tcPr>
          <w:p>
            <w:pPr>
              <w:jc w:val="center"/>
              <w:rPr>
                <w:rFonts w:hint="eastAsia" w:eastAsia="宋体"/>
                <w:color w:val="000000" w:themeColor="text1"/>
                <w:sz w:val="21"/>
                <w:szCs w:val="21"/>
                <w:lang w:eastAsia="zh-CN"/>
              </w:rPr>
            </w:pPr>
            <w:r>
              <w:rPr>
                <w:rStyle w:val="34"/>
                <w:rFonts w:hint="eastAsia"/>
                <w:color w:val="000000" w:themeColor="text1"/>
                <w:lang w:eastAsia="zh-CN"/>
              </w:rPr>
              <w:t>13022</w:t>
            </w:r>
          </w:p>
        </w:tc>
        <w:tc>
          <w:tcPr>
            <w:tcW w:w="1506" w:type="dxa"/>
            <w:tcBorders>
              <w:tl2br w:val="nil"/>
              <w:tr2bl w:val="nil"/>
            </w:tcBorders>
            <w:vAlign w:val="center"/>
          </w:tcPr>
          <w:p>
            <w:pPr>
              <w:jc w:val="center"/>
              <w:rPr>
                <w:rFonts w:hint="default" w:eastAsia="宋体"/>
                <w:color w:val="000000" w:themeColor="text1"/>
                <w:sz w:val="21"/>
                <w:szCs w:val="21"/>
                <w:lang w:val="en-US" w:eastAsia="zh-CN"/>
              </w:rPr>
            </w:pPr>
            <w:r>
              <w:rPr>
                <w:rFonts w:hint="eastAsia"/>
                <w:color w:val="000000" w:themeColor="text1"/>
                <w:sz w:val="21"/>
                <w:szCs w:val="21"/>
                <w:lang w:val="en-US" w:eastAsia="zh-CN"/>
              </w:rPr>
              <w:t>5859.90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84" w:type="dxa"/>
            <w:tcBorders>
              <w:tl2br w:val="nil"/>
              <w:tr2bl w:val="nil"/>
            </w:tcBorders>
            <w:vAlign w:val="center"/>
          </w:tcPr>
          <w:p>
            <w:pPr>
              <w:widowControl/>
              <w:jc w:val="center"/>
              <w:rPr>
                <w:rFonts w:eastAsia="仿宋_GB2312"/>
                <w:color w:val="000000" w:themeColor="text1"/>
                <w:sz w:val="21"/>
                <w:szCs w:val="21"/>
              </w:rPr>
            </w:pPr>
            <w:r>
              <w:rPr>
                <w:rFonts w:eastAsia="仿宋_GB2312"/>
                <w:color w:val="000000" w:themeColor="text1"/>
                <w:sz w:val="21"/>
                <w:szCs w:val="21"/>
              </w:rPr>
              <w:t>合计</w:t>
            </w:r>
          </w:p>
        </w:tc>
        <w:tc>
          <w:tcPr>
            <w:tcW w:w="1736" w:type="dxa"/>
            <w:tcBorders>
              <w:tl2br w:val="nil"/>
              <w:tr2bl w:val="nil"/>
            </w:tcBorders>
            <w:vAlign w:val="center"/>
          </w:tcPr>
          <w:p>
            <w:pPr>
              <w:widowControl/>
              <w:jc w:val="center"/>
              <w:rPr>
                <w:rFonts w:eastAsia="仿宋_GB2312"/>
                <w:color w:val="000000" w:themeColor="text1"/>
                <w:sz w:val="21"/>
                <w:szCs w:val="21"/>
              </w:rPr>
            </w:pPr>
          </w:p>
        </w:tc>
        <w:tc>
          <w:tcPr>
            <w:tcW w:w="1506" w:type="dxa"/>
            <w:tcBorders>
              <w:tl2br w:val="nil"/>
              <w:tr2bl w:val="nil"/>
            </w:tcBorders>
            <w:vAlign w:val="center"/>
          </w:tcPr>
          <w:p>
            <w:pPr>
              <w:jc w:val="center"/>
              <w:rPr>
                <w:rFonts w:hint="eastAsia" w:eastAsia="宋体"/>
                <w:color w:val="000000" w:themeColor="text1"/>
                <w:sz w:val="21"/>
                <w:szCs w:val="21"/>
                <w:lang w:eastAsia="zh-CN"/>
              </w:rPr>
            </w:pPr>
            <w:r>
              <w:rPr>
                <w:rStyle w:val="34"/>
                <w:rFonts w:hint="eastAsia"/>
                <w:color w:val="000000" w:themeColor="text1"/>
                <w:lang w:eastAsia="zh-CN"/>
              </w:rPr>
              <w:t>13022</w:t>
            </w:r>
          </w:p>
        </w:tc>
        <w:tc>
          <w:tcPr>
            <w:tcW w:w="1506" w:type="dxa"/>
            <w:tcBorders>
              <w:tl2br w:val="nil"/>
              <w:tr2bl w:val="nil"/>
            </w:tcBorders>
            <w:vAlign w:val="center"/>
          </w:tcPr>
          <w:p>
            <w:pPr>
              <w:jc w:val="center"/>
              <w:rPr>
                <w:rFonts w:hint="eastAsia" w:eastAsia="宋体"/>
                <w:color w:val="000000" w:themeColor="text1"/>
                <w:sz w:val="21"/>
                <w:szCs w:val="21"/>
                <w:lang w:eastAsia="zh-CN"/>
              </w:rPr>
            </w:pPr>
            <w:r>
              <w:rPr>
                <w:rFonts w:hint="eastAsia"/>
                <w:color w:val="000000" w:themeColor="text1"/>
                <w:sz w:val="21"/>
                <w:szCs w:val="21"/>
                <w:lang w:eastAsia="zh-CN"/>
              </w:rPr>
              <w:t>5859.90</w:t>
            </w:r>
          </w:p>
        </w:tc>
      </w:tr>
    </w:tbl>
    <w:p>
      <w:pPr>
        <w:spacing w:before="120" w:beforeLines="50" w:line="360" w:lineRule="auto"/>
        <w:jc w:val="center"/>
        <w:rPr>
          <w:rFonts w:eastAsia="仿宋_GB2312"/>
          <w:b/>
          <w:bCs/>
          <w:color w:val="000000" w:themeColor="text1"/>
          <w:szCs w:val="24"/>
        </w:rPr>
      </w:pPr>
      <w:r>
        <w:rPr>
          <w:rFonts w:eastAsia="仿宋_GB2312"/>
          <w:b/>
          <w:bCs/>
          <w:color w:val="000000" w:themeColor="text1"/>
          <w:szCs w:val="24"/>
        </w:rPr>
        <w:t>表7-8    主要材料价格计算表     单位：元</w:t>
      </w:r>
    </w:p>
    <w:tbl>
      <w:tblPr>
        <w:tblStyle w:val="23"/>
        <w:tblW w:w="0" w:type="auto"/>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15" w:type="dxa"/>
          <w:left w:w="15" w:type="dxa"/>
          <w:bottom w:w="15" w:type="dxa"/>
          <w:right w:w="15" w:type="dxa"/>
        </w:tblCellMar>
      </w:tblPr>
      <w:tblGrid>
        <w:gridCol w:w="980"/>
        <w:gridCol w:w="980"/>
        <w:gridCol w:w="980"/>
        <w:gridCol w:w="981"/>
        <w:gridCol w:w="981"/>
        <w:gridCol w:w="981"/>
        <w:gridCol w:w="1327"/>
        <w:gridCol w:w="1314"/>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980" w:type="dxa"/>
            <w:vMerge w:val="restart"/>
            <w:tcBorders>
              <w:tl2br w:val="nil"/>
              <w:tr2bl w:val="nil"/>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序号</w:t>
            </w:r>
          </w:p>
        </w:tc>
        <w:tc>
          <w:tcPr>
            <w:tcW w:w="980" w:type="dxa"/>
            <w:vMerge w:val="restart"/>
            <w:tcBorders>
              <w:tl2br w:val="nil"/>
              <w:tr2bl w:val="nil"/>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名称及规格</w:t>
            </w:r>
          </w:p>
        </w:tc>
        <w:tc>
          <w:tcPr>
            <w:tcW w:w="980" w:type="dxa"/>
            <w:vMerge w:val="restart"/>
            <w:tcBorders>
              <w:tl2br w:val="nil"/>
              <w:tr2bl w:val="nil"/>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单位</w:t>
            </w:r>
          </w:p>
        </w:tc>
        <w:tc>
          <w:tcPr>
            <w:tcW w:w="981" w:type="dxa"/>
            <w:vMerge w:val="restart"/>
            <w:tcBorders>
              <w:tl2br w:val="nil"/>
              <w:tr2bl w:val="nil"/>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预算价格</w:t>
            </w:r>
          </w:p>
        </w:tc>
        <w:tc>
          <w:tcPr>
            <w:tcW w:w="4603" w:type="dxa"/>
            <w:gridSpan w:val="4"/>
            <w:tcBorders>
              <w:tl2br w:val="nil"/>
              <w:tr2bl w:val="nil"/>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其中</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980" w:type="dxa"/>
            <w:vMerge w:val="continue"/>
            <w:tcBorders>
              <w:tl2br w:val="nil"/>
              <w:tr2bl w:val="nil"/>
            </w:tcBorders>
            <w:vAlign w:val="center"/>
          </w:tcPr>
          <w:p>
            <w:pPr>
              <w:widowControl/>
              <w:adjustRightInd/>
              <w:spacing w:line="240" w:lineRule="auto"/>
              <w:jc w:val="center"/>
              <w:textAlignment w:val="auto"/>
              <w:rPr>
                <w:rFonts w:eastAsia="仿宋_GB2312"/>
                <w:color w:val="000000" w:themeColor="text1"/>
                <w:sz w:val="21"/>
                <w:szCs w:val="21"/>
              </w:rPr>
            </w:pPr>
          </w:p>
        </w:tc>
        <w:tc>
          <w:tcPr>
            <w:tcW w:w="980" w:type="dxa"/>
            <w:vMerge w:val="continue"/>
            <w:tcBorders>
              <w:tl2br w:val="nil"/>
              <w:tr2bl w:val="nil"/>
            </w:tcBorders>
            <w:vAlign w:val="center"/>
          </w:tcPr>
          <w:p>
            <w:pPr>
              <w:widowControl/>
              <w:adjustRightInd/>
              <w:spacing w:line="240" w:lineRule="auto"/>
              <w:jc w:val="center"/>
              <w:textAlignment w:val="auto"/>
              <w:rPr>
                <w:rFonts w:eastAsia="仿宋_GB2312"/>
                <w:color w:val="000000" w:themeColor="text1"/>
                <w:sz w:val="21"/>
                <w:szCs w:val="21"/>
              </w:rPr>
            </w:pPr>
          </w:p>
        </w:tc>
        <w:tc>
          <w:tcPr>
            <w:tcW w:w="980" w:type="dxa"/>
            <w:vMerge w:val="continue"/>
            <w:tcBorders>
              <w:tl2br w:val="nil"/>
              <w:tr2bl w:val="nil"/>
            </w:tcBorders>
            <w:vAlign w:val="center"/>
          </w:tcPr>
          <w:p>
            <w:pPr>
              <w:widowControl/>
              <w:adjustRightInd/>
              <w:spacing w:line="240" w:lineRule="auto"/>
              <w:jc w:val="center"/>
              <w:textAlignment w:val="auto"/>
              <w:rPr>
                <w:rFonts w:eastAsia="仿宋_GB2312"/>
                <w:color w:val="000000" w:themeColor="text1"/>
                <w:sz w:val="21"/>
                <w:szCs w:val="21"/>
              </w:rPr>
            </w:pPr>
          </w:p>
        </w:tc>
        <w:tc>
          <w:tcPr>
            <w:tcW w:w="981" w:type="dxa"/>
            <w:vMerge w:val="continue"/>
            <w:tcBorders>
              <w:tl2br w:val="nil"/>
              <w:tr2bl w:val="nil"/>
            </w:tcBorders>
            <w:vAlign w:val="center"/>
          </w:tcPr>
          <w:p>
            <w:pPr>
              <w:widowControl/>
              <w:adjustRightInd/>
              <w:spacing w:line="240" w:lineRule="auto"/>
              <w:jc w:val="center"/>
              <w:textAlignment w:val="auto"/>
              <w:rPr>
                <w:rFonts w:eastAsia="仿宋_GB2312"/>
                <w:color w:val="000000" w:themeColor="text1"/>
                <w:sz w:val="21"/>
                <w:szCs w:val="21"/>
              </w:rPr>
            </w:pPr>
          </w:p>
        </w:tc>
        <w:tc>
          <w:tcPr>
            <w:tcW w:w="981" w:type="dxa"/>
            <w:tcBorders>
              <w:tl2br w:val="nil"/>
              <w:tr2bl w:val="nil"/>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原价</w:t>
            </w:r>
          </w:p>
        </w:tc>
        <w:tc>
          <w:tcPr>
            <w:tcW w:w="981" w:type="dxa"/>
            <w:tcBorders>
              <w:tl2br w:val="nil"/>
              <w:tr2bl w:val="nil"/>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运杂费</w:t>
            </w:r>
          </w:p>
        </w:tc>
        <w:tc>
          <w:tcPr>
            <w:tcW w:w="1327" w:type="dxa"/>
            <w:tcBorders>
              <w:tl2br w:val="nil"/>
              <w:tr2bl w:val="nil"/>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采购及保管费</w:t>
            </w:r>
          </w:p>
        </w:tc>
        <w:tc>
          <w:tcPr>
            <w:tcW w:w="1314" w:type="dxa"/>
            <w:tcBorders>
              <w:tl2br w:val="nil"/>
              <w:tr2bl w:val="nil"/>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价差</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980"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w:t>
            </w:r>
          </w:p>
        </w:tc>
        <w:tc>
          <w:tcPr>
            <w:tcW w:w="980"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水</w:t>
            </w:r>
          </w:p>
        </w:tc>
        <w:tc>
          <w:tcPr>
            <w:tcW w:w="980"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m</w:t>
            </w:r>
            <w:r>
              <w:rPr>
                <w:rFonts w:eastAsia="仿宋_GB2312"/>
                <w:color w:val="000000" w:themeColor="text1"/>
                <w:sz w:val="21"/>
                <w:szCs w:val="21"/>
                <w:vertAlign w:val="superscript"/>
              </w:rPr>
              <w:t>3</w:t>
            </w:r>
          </w:p>
        </w:tc>
        <w:tc>
          <w:tcPr>
            <w:tcW w:w="981"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3.50</w:t>
            </w:r>
          </w:p>
        </w:tc>
        <w:tc>
          <w:tcPr>
            <w:tcW w:w="981"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3.50</w:t>
            </w:r>
          </w:p>
        </w:tc>
        <w:tc>
          <w:tcPr>
            <w:tcW w:w="981" w:type="dxa"/>
            <w:tcBorders>
              <w:tl2br w:val="nil"/>
              <w:tr2bl w:val="nil"/>
            </w:tcBorders>
            <w:vAlign w:val="center"/>
          </w:tcPr>
          <w:p>
            <w:pPr>
              <w:spacing w:line="240" w:lineRule="auto"/>
              <w:jc w:val="center"/>
              <w:rPr>
                <w:rFonts w:eastAsia="仿宋_GB2312"/>
                <w:color w:val="000000" w:themeColor="text1"/>
                <w:sz w:val="21"/>
                <w:szCs w:val="21"/>
              </w:rPr>
            </w:pPr>
          </w:p>
        </w:tc>
        <w:tc>
          <w:tcPr>
            <w:tcW w:w="1327" w:type="dxa"/>
            <w:tcBorders>
              <w:tl2br w:val="nil"/>
              <w:tr2bl w:val="nil"/>
            </w:tcBorders>
            <w:vAlign w:val="center"/>
          </w:tcPr>
          <w:p>
            <w:pPr>
              <w:spacing w:line="240" w:lineRule="auto"/>
              <w:jc w:val="center"/>
              <w:rPr>
                <w:rFonts w:eastAsia="仿宋_GB2312"/>
                <w:color w:val="000000" w:themeColor="text1"/>
                <w:sz w:val="21"/>
                <w:szCs w:val="21"/>
              </w:rPr>
            </w:pPr>
          </w:p>
        </w:tc>
        <w:tc>
          <w:tcPr>
            <w:tcW w:w="1314" w:type="dxa"/>
            <w:tcBorders>
              <w:tl2br w:val="nil"/>
              <w:tr2bl w:val="nil"/>
            </w:tcBorders>
            <w:vAlign w:val="center"/>
          </w:tcPr>
          <w:p>
            <w:pPr>
              <w:spacing w:line="240" w:lineRule="auto"/>
              <w:jc w:val="center"/>
              <w:rPr>
                <w:rFonts w:eastAsia="仿宋_GB2312"/>
                <w:color w:val="000000" w:themeColor="text1"/>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980"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2</w:t>
            </w:r>
          </w:p>
        </w:tc>
        <w:tc>
          <w:tcPr>
            <w:tcW w:w="980"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电</w:t>
            </w:r>
          </w:p>
        </w:tc>
        <w:tc>
          <w:tcPr>
            <w:tcW w:w="980"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kW.h</w:t>
            </w:r>
          </w:p>
        </w:tc>
        <w:tc>
          <w:tcPr>
            <w:tcW w:w="981"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1.00</w:t>
            </w:r>
          </w:p>
        </w:tc>
        <w:tc>
          <w:tcPr>
            <w:tcW w:w="981"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1.00</w:t>
            </w:r>
          </w:p>
        </w:tc>
        <w:tc>
          <w:tcPr>
            <w:tcW w:w="981" w:type="dxa"/>
            <w:tcBorders>
              <w:tl2br w:val="nil"/>
              <w:tr2bl w:val="nil"/>
            </w:tcBorders>
            <w:vAlign w:val="center"/>
          </w:tcPr>
          <w:p>
            <w:pPr>
              <w:spacing w:line="240" w:lineRule="auto"/>
              <w:jc w:val="center"/>
              <w:rPr>
                <w:rFonts w:eastAsia="仿宋_GB2312"/>
                <w:color w:val="000000" w:themeColor="text1"/>
                <w:sz w:val="21"/>
                <w:szCs w:val="21"/>
              </w:rPr>
            </w:pPr>
          </w:p>
        </w:tc>
        <w:tc>
          <w:tcPr>
            <w:tcW w:w="1327" w:type="dxa"/>
            <w:tcBorders>
              <w:tl2br w:val="nil"/>
              <w:tr2bl w:val="nil"/>
            </w:tcBorders>
            <w:vAlign w:val="center"/>
          </w:tcPr>
          <w:p>
            <w:pPr>
              <w:spacing w:line="240" w:lineRule="auto"/>
              <w:jc w:val="center"/>
              <w:rPr>
                <w:rFonts w:eastAsia="仿宋_GB2312"/>
                <w:color w:val="000000" w:themeColor="text1"/>
                <w:sz w:val="21"/>
                <w:szCs w:val="21"/>
              </w:rPr>
            </w:pPr>
          </w:p>
        </w:tc>
        <w:tc>
          <w:tcPr>
            <w:tcW w:w="1314" w:type="dxa"/>
            <w:tcBorders>
              <w:tl2br w:val="nil"/>
              <w:tr2bl w:val="nil"/>
            </w:tcBorders>
            <w:vAlign w:val="center"/>
          </w:tcPr>
          <w:p>
            <w:pPr>
              <w:spacing w:line="240" w:lineRule="auto"/>
              <w:jc w:val="center"/>
              <w:rPr>
                <w:rFonts w:eastAsia="仿宋_GB2312"/>
                <w:color w:val="000000" w:themeColor="text1"/>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980"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3</w:t>
            </w:r>
          </w:p>
        </w:tc>
        <w:tc>
          <w:tcPr>
            <w:tcW w:w="980"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密目网</w:t>
            </w:r>
          </w:p>
        </w:tc>
        <w:tc>
          <w:tcPr>
            <w:tcW w:w="980"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m</w:t>
            </w:r>
            <w:r>
              <w:rPr>
                <w:rFonts w:eastAsia="仿宋_GB2312"/>
                <w:color w:val="000000" w:themeColor="text1"/>
                <w:sz w:val="21"/>
                <w:szCs w:val="21"/>
                <w:vertAlign w:val="superscript"/>
              </w:rPr>
              <w:t>2</w:t>
            </w:r>
          </w:p>
        </w:tc>
        <w:tc>
          <w:tcPr>
            <w:tcW w:w="981"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1.50</w:t>
            </w:r>
          </w:p>
        </w:tc>
        <w:tc>
          <w:tcPr>
            <w:tcW w:w="981"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1.50</w:t>
            </w:r>
          </w:p>
        </w:tc>
        <w:tc>
          <w:tcPr>
            <w:tcW w:w="981" w:type="dxa"/>
            <w:tcBorders>
              <w:tl2br w:val="nil"/>
              <w:tr2bl w:val="nil"/>
            </w:tcBorders>
            <w:vAlign w:val="center"/>
          </w:tcPr>
          <w:p>
            <w:pPr>
              <w:spacing w:line="240" w:lineRule="auto"/>
              <w:jc w:val="center"/>
              <w:rPr>
                <w:rFonts w:eastAsia="仿宋_GB2312"/>
                <w:color w:val="000000" w:themeColor="text1"/>
                <w:sz w:val="21"/>
                <w:szCs w:val="21"/>
              </w:rPr>
            </w:pPr>
          </w:p>
        </w:tc>
        <w:tc>
          <w:tcPr>
            <w:tcW w:w="1327" w:type="dxa"/>
            <w:tcBorders>
              <w:tl2br w:val="nil"/>
              <w:tr2bl w:val="nil"/>
            </w:tcBorders>
            <w:vAlign w:val="center"/>
          </w:tcPr>
          <w:p>
            <w:pPr>
              <w:spacing w:line="240" w:lineRule="auto"/>
              <w:jc w:val="center"/>
              <w:rPr>
                <w:rFonts w:eastAsia="仿宋_GB2312"/>
                <w:color w:val="000000" w:themeColor="text1"/>
                <w:sz w:val="21"/>
                <w:szCs w:val="21"/>
              </w:rPr>
            </w:pPr>
          </w:p>
        </w:tc>
        <w:tc>
          <w:tcPr>
            <w:tcW w:w="1314" w:type="dxa"/>
            <w:tcBorders>
              <w:tl2br w:val="nil"/>
              <w:tr2bl w:val="nil"/>
            </w:tcBorders>
            <w:vAlign w:val="center"/>
          </w:tcPr>
          <w:p>
            <w:pPr>
              <w:spacing w:line="240" w:lineRule="auto"/>
              <w:jc w:val="center"/>
              <w:rPr>
                <w:rFonts w:eastAsia="仿宋_GB2312"/>
                <w:color w:val="000000" w:themeColor="text1"/>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980"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4</w:t>
            </w:r>
          </w:p>
        </w:tc>
        <w:tc>
          <w:tcPr>
            <w:tcW w:w="980"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柴油</w:t>
            </w:r>
          </w:p>
        </w:tc>
        <w:tc>
          <w:tcPr>
            <w:tcW w:w="980"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kg</w:t>
            </w:r>
          </w:p>
        </w:tc>
        <w:tc>
          <w:tcPr>
            <w:tcW w:w="981"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6.18</w:t>
            </w:r>
          </w:p>
        </w:tc>
        <w:tc>
          <w:tcPr>
            <w:tcW w:w="981"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3.18</w:t>
            </w:r>
          </w:p>
        </w:tc>
        <w:tc>
          <w:tcPr>
            <w:tcW w:w="981" w:type="dxa"/>
            <w:tcBorders>
              <w:tl2br w:val="nil"/>
              <w:tr2bl w:val="nil"/>
            </w:tcBorders>
            <w:vAlign w:val="center"/>
          </w:tcPr>
          <w:p>
            <w:pPr>
              <w:spacing w:line="240" w:lineRule="auto"/>
              <w:jc w:val="center"/>
              <w:rPr>
                <w:rFonts w:eastAsia="仿宋_GB2312"/>
                <w:color w:val="000000" w:themeColor="text1"/>
                <w:sz w:val="21"/>
                <w:szCs w:val="21"/>
              </w:rPr>
            </w:pPr>
          </w:p>
        </w:tc>
        <w:tc>
          <w:tcPr>
            <w:tcW w:w="1327" w:type="dxa"/>
            <w:tcBorders>
              <w:tl2br w:val="nil"/>
              <w:tr2bl w:val="nil"/>
            </w:tcBorders>
            <w:vAlign w:val="center"/>
          </w:tcPr>
          <w:p>
            <w:pPr>
              <w:spacing w:line="240" w:lineRule="auto"/>
              <w:jc w:val="center"/>
              <w:rPr>
                <w:rFonts w:eastAsia="仿宋_GB2312"/>
                <w:color w:val="000000" w:themeColor="text1"/>
                <w:sz w:val="21"/>
                <w:szCs w:val="21"/>
              </w:rPr>
            </w:pPr>
          </w:p>
        </w:tc>
        <w:tc>
          <w:tcPr>
            <w:tcW w:w="1314"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3.00</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980"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5</w:t>
            </w:r>
          </w:p>
        </w:tc>
        <w:tc>
          <w:tcPr>
            <w:tcW w:w="980"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农家土杂肥</w:t>
            </w:r>
          </w:p>
        </w:tc>
        <w:tc>
          <w:tcPr>
            <w:tcW w:w="980"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m</w:t>
            </w:r>
            <w:r>
              <w:rPr>
                <w:rFonts w:eastAsia="仿宋_GB2312"/>
                <w:color w:val="000000" w:themeColor="text1"/>
                <w:sz w:val="21"/>
                <w:szCs w:val="21"/>
                <w:vertAlign w:val="superscript"/>
              </w:rPr>
              <w:t>3</w:t>
            </w:r>
          </w:p>
        </w:tc>
        <w:tc>
          <w:tcPr>
            <w:tcW w:w="981"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55.28</w:t>
            </w:r>
          </w:p>
        </w:tc>
        <w:tc>
          <w:tcPr>
            <w:tcW w:w="981"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55.28</w:t>
            </w:r>
          </w:p>
        </w:tc>
        <w:tc>
          <w:tcPr>
            <w:tcW w:w="981" w:type="dxa"/>
            <w:tcBorders>
              <w:tl2br w:val="nil"/>
              <w:tr2bl w:val="nil"/>
            </w:tcBorders>
            <w:vAlign w:val="center"/>
          </w:tcPr>
          <w:p>
            <w:pPr>
              <w:spacing w:line="240" w:lineRule="auto"/>
              <w:jc w:val="center"/>
              <w:rPr>
                <w:rFonts w:eastAsia="仿宋_GB2312"/>
                <w:color w:val="000000" w:themeColor="text1"/>
                <w:sz w:val="21"/>
                <w:szCs w:val="21"/>
              </w:rPr>
            </w:pPr>
          </w:p>
        </w:tc>
        <w:tc>
          <w:tcPr>
            <w:tcW w:w="1327" w:type="dxa"/>
            <w:tcBorders>
              <w:tl2br w:val="nil"/>
              <w:tr2bl w:val="nil"/>
            </w:tcBorders>
            <w:vAlign w:val="center"/>
          </w:tcPr>
          <w:p>
            <w:pPr>
              <w:spacing w:line="240" w:lineRule="auto"/>
              <w:jc w:val="center"/>
              <w:rPr>
                <w:rFonts w:eastAsia="仿宋_GB2312"/>
                <w:color w:val="000000" w:themeColor="text1"/>
                <w:sz w:val="21"/>
                <w:szCs w:val="21"/>
              </w:rPr>
            </w:pPr>
          </w:p>
        </w:tc>
        <w:tc>
          <w:tcPr>
            <w:tcW w:w="1314" w:type="dxa"/>
            <w:tcBorders>
              <w:tl2br w:val="nil"/>
              <w:tr2bl w:val="nil"/>
            </w:tcBorders>
            <w:vAlign w:val="center"/>
          </w:tcPr>
          <w:p>
            <w:pPr>
              <w:spacing w:line="240" w:lineRule="auto"/>
              <w:jc w:val="center"/>
              <w:rPr>
                <w:rFonts w:eastAsia="仿宋_GB2312"/>
                <w:color w:val="000000" w:themeColor="text1"/>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980"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6</w:t>
            </w:r>
          </w:p>
        </w:tc>
        <w:tc>
          <w:tcPr>
            <w:tcW w:w="980"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编织袋</w:t>
            </w:r>
          </w:p>
        </w:tc>
        <w:tc>
          <w:tcPr>
            <w:tcW w:w="980"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个</w:t>
            </w:r>
          </w:p>
        </w:tc>
        <w:tc>
          <w:tcPr>
            <w:tcW w:w="981"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1.00</w:t>
            </w:r>
          </w:p>
        </w:tc>
        <w:tc>
          <w:tcPr>
            <w:tcW w:w="981"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1.00</w:t>
            </w:r>
          </w:p>
        </w:tc>
        <w:tc>
          <w:tcPr>
            <w:tcW w:w="981" w:type="dxa"/>
            <w:tcBorders>
              <w:tl2br w:val="nil"/>
              <w:tr2bl w:val="nil"/>
            </w:tcBorders>
            <w:vAlign w:val="center"/>
          </w:tcPr>
          <w:p>
            <w:pPr>
              <w:spacing w:line="240" w:lineRule="auto"/>
              <w:jc w:val="center"/>
              <w:rPr>
                <w:rFonts w:eastAsia="仿宋_GB2312"/>
                <w:color w:val="000000" w:themeColor="text1"/>
                <w:sz w:val="21"/>
                <w:szCs w:val="21"/>
              </w:rPr>
            </w:pPr>
          </w:p>
        </w:tc>
        <w:tc>
          <w:tcPr>
            <w:tcW w:w="1327" w:type="dxa"/>
            <w:tcBorders>
              <w:tl2br w:val="nil"/>
              <w:tr2bl w:val="nil"/>
            </w:tcBorders>
            <w:vAlign w:val="center"/>
          </w:tcPr>
          <w:p>
            <w:pPr>
              <w:spacing w:line="240" w:lineRule="auto"/>
              <w:jc w:val="center"/>
              <w:rPr>
                <w:rFonts w:eastAsia="仿宋_GB2312"/>
                <w:color w:val="000000" w:themeColor="text1"/>
                <w:sz w:val="21"/>
                <w:szCs w:val="21"/>
              </w:rPr>
            </w:pPr>
          </w:p>
        </w:tc>
        <w:tc>
          <w:tcPr>
            <w:tcW w:w="1314" w:type="dxa"/>
            <w:tcBorders>
              <w:tl2br w:val="nil"/>
              <w:tr2bl w:val="nil"/>
            </w:tcBorders>
            <w:vAlign w:val="center"/>
          </w:tcPr>
          <w:p>
            <w:pPr>
              <w:spacing w:line="240" w:lineRule="auto"/>
              <w:jc w:val="center"/>
              <w:rPr>
                <w:rFonts w:eastAsia="仿宋_GB2312"/>
                <w:color w:val="000000" w:themeColor="text1"/>
                <w:sz w:val="21"/>
                <w:szCs w:val="21"/>
              </w:rPr>
            </w:pPr>
          </w:p>
        </w:tc>
      </w:tr>
    </w:tbl>
    <w:p>
      <w:pPr>
        <w:spacing w:before="120" w:beforeLines="50" w:line="360" w:lineRule="auto"/>
        <w:jc w:val="center"/>
        <w:rPr>
          <w:rFonts w:eastAsia="仿宋_GB2312"/>
          <w:b/>
          <w:bCs/>
          <w:color w:val="000000" w:themeColor="text1"/>
          <w:szCs w:val="24"/>
        </w:rPr>
      </w:pPr>
      <w:r>
        <w:rPr>
          <w:rFonts w:eastAsia="仿宋_GB2312"/>
          <w:b/>
          <w:bCs/>
          <w:color w:val="000000" w:themeColor="text1"/>
          <w:szCs w:val="24"/>
        </w:rPr>
        <w:t>表7-9    施工机械台时费汇总表     单位：元</w:t>
      </w:r>
    </w:p>
    <w:tbl>
      <w:tblPr>
        <w:tblStyle w:val="23"/>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975"/>
        <w:gridCol w:w="1622"/>
        <w:gridCol w:w="974"/>
        <w:gridCol w:w="976"/>
        <w:gridCol w:w="976"/>
        <w:gridCol w:w="976"/>
        <w:gridCol w:w="976"/>
        <w:gridCol w:w="12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3" w:hRule="atLeast"/>
          <w:jc w:val="center"/>
        </w:trPr>
        <w:tc>
          <w:tcPr>
            <w:tcW w:w="975" w:type="dxa"/>
            <w:vMerge w:val="restart"/>
            <w:tcBorders>
              <w:tl2br w:val="nil"/>
              <w:tr2bl w:val="nil"/>
            </w:tcBorders>
            <w:vAlign w:val="center"/>
          </w:tcPr>
          <w:p>
            <w:pPr>
              <w:widowControl/>
              <w:jc w:val="center"/>
              <w:textAlignment w:val="center"/>
              <w:rPr>
                <w:rFonts w:eastAsia="仿宋_GB2312"/>
                <w:b/>
                <w:color w:val="000000" w:themeColor="text1"/>
                <w:sz w:val="21"/>
                <w:szCs w:val="21"/>
              </w:rPr>
            </w:pPr>
            <w:r>
              <w:rPr>
                <w:rFonts w:eastAsia="仿宋_GB2312"/>
                <w:color w:val="000000" w:themeColor="text1"/>
                <w:sz w:val="21"/>
                <w:szCs w:val="21"/>
              </w:rPr>
              <w:t>序号</w:t>
            </w:r>
          </w:p>
        </w:tc>
        <w:tc>
          <w:tcPr>
            <w:tcW w:w="1622" w:type="dxa"/>
            <w:vMerge w:val="restart"/>
            <w:tcBorders>
              <w:tl2br w:val="nil"/>
              <w:tr2bl w:val="nil"/>
            </w:tcBorders>
            <w:vAlign w:val="center"/>
          </w:tcPr>
          <w:p>
            <w:pPr>
              <w:widowControl/>
              <w:jc w:val="center"/>
              <w:textAlignment w:val="center"/>
              <w:rPr>
                <w:rFonts w:eastAsia="仿宋_GB2312"/>
                <w:b/>
                <w:color w:val="000000" w:themeColor="text1"/>
                <w:sz w:val="21"/>
                <w:szCs w:val="21"/>
              </w:rPr>
            </w:pPr>
            <w:r>
              <w:rPr>
                <w:rFonts w:eastAsia="仿宋_GB2312"/>
                <w:color w:val="000000" w:themeColor="text1"/>
                <w:sz w:val="21"/>
                <w:szCs w:val="21"/>
              </w:rPr>
              <w:t>名称及规格</w:t>
            </w:r>
          </w:p>
        </w:tc>
        <w:tc>
          <w:tcPr>
            <w:tcW w:w="974" w:type="dxa"/>
            <w:vMerge w:val="restart"/>
            <w:tcBorders>
              <w:tl2br w:val="nil"/>
              <w:tr2bl w:val="nil"/>
            </w:tcBorders>
            <w:vAlign w:val="center"/>
          </w:tcPr>
          <w:p>
            <w:pPr>
              <w:widowControl/>
              <w:jc w:val="center"/>
              <w:textAlignment w:val="center"/>
              <w:rPr>
                <w:rFonts w:eastAsia="仿宋_GB2312"/>
                <w:b/>
                <w:color w:val="000000" w:themeColor="text1"/>
                <w:sz w:val="21"/>
                <w:szCs w:val="21"/>
              </w:rPr>
            </w:pPr>
            <w:r>
              <w:rPr>
                <w:rFonts w:eastAsia="仿宋_GB2312"/>
                <w:color w:val="000000" w:themeColor="text1"/>
                <w:sz w:val="21"/>
                <w:szCs w:val="21"/>
              </w:rPr>
              <w:t>台时费</w:t>
            </w:r>
          </w:p>
        </w:tc>
        <w:tc>
          <w:tcPr>
            <w:tcW w:w="5161" w:type="dxa"/>
            <w:gridSpan w:val="5"/>
            <w:tcBorders>
              <w:tl2br w:val="nil"/>
              <w:tr2bl w:val="nil"/>
            </w:tcBorders>
            <w:vAlign w:val="center"/>
          </w:tcPr>
          <w:p>
            <w:pPr>
              <w:widowControl/>
              <w:jc w:val="center"/>
              <w:textAlignment w:val="center"/>
              <w:rPr>
                <w:rFonts w:eastAsia="仿宋_GB2312"/>
                <w:b/>
                <w:color w:val="000000" w:themeColor="text1"/>
                <w:sz w:val="21"/>
                <w:szCs w:val="21"/>
              </w:rPr>
            </w:pPr>
            <w:r>
              <w:rPr>
                <w:rFonts w:eastAsia="仿宋_GB2312"/>
                <w:color w:val="000000" w:themeColor="text1"/>
                <w:sz w:val="21"/>
                <w:szCs w:val="21"/>
              </w:rPr>
              <w:t>其中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3" w:hRule="atLeast"/>
          <w:jc w:val="center"/>
        </w:trPr>
        <w:tc>
          <w:tcPr>
            <w:tcW w:w="975" w:type="dxa"/>
            <w:vMerge w:val="continue"/>
            <w:tcBorders>
              <w:tl2br w:val="nil"/>
              <w:tr2bl w:val="nil"/>
            </w:tcBorders>
            <w:vAlign w:val="center"/>
          </w:tcPr>
          <w:p>
            <w:pPr>
              <w:jc w:val="center"/>
              <w:rPr>
                <w:rFonts w:eastAsia="仿宋_GB2312"/>
                <w:b/>
                <w:color w:val="000000" w:themeColor="text1"/>
                <w:sz w:val="21"/>
                <w:szCs w:val="21"/>
              </w:rPr>
            </w:pPr>
          </w:p>
        </w:tc>
        <w:tc>
          <w:tcPr>
            <w:tcW w:w="1622" w:type="dxa"/>
            <w:vMerge w:val="continue"/>
            <w:tcBorders>
              <w:tl2br w:val="nil"/>
              <w:tr2bl w:val="nil"/>
            </w:tcBorders>
            <w:vAlign w:val="center"/>
          </w:tcPr>
          <w:p>
            <w:pPr>
              <w:jc w:val="center"/>
              <w:rPr>
                <w:rFonts w:eastAsia="仿宋_GB2312"/>
                <w:b/>
                <w:color w:val="000000" w:themeColor="text1"/>
                <w:sz w:val="21"/>
                <w:szCs w:val="21"/>
              </w:rPr>
            </w:pPr>
          </w:p>
        </w:tc>
        <w:tc>
          <w:tcPr>
            <w:tcW w:w="974" w:type="dxa"/>
            <w:vMerge w:val="continue"/>
            <w:tcBorders>
              <w:tl2br w:val="nil"/>
              <w:tr2bl w:val="nil"/>
            </w:tcBorders>
            <w:vAlign w:val="center"/>
          </w:tcPr>
          <w:p>
            <w:pPr>
              <w:jc w:val="center"/>
              <w:rPr>
                <w:rFonts w:eastAsia="仿宋_GB2312"/>
                <w:b/>
                <w:color w:val="000000" w:themeColor="text1"/>
                <w:sz w:val="21"/>
                <w:szCs w:val="21"/>
              </w:rPr>
            </w:pPr>
          </w:p>
        </w:tc>
        <w:tc>
          <w:tcPr>
            <w:tcW w:w="976" w:type="dxa"/>
            <w:tcBorders>
              <w:tl2br w:val="nil"/>
              <w:tr2bl w:val="nil"/>
            </w:tcBorders>
            <w:vAlign w:val="center"/>
          </w:tcPr>
          <w:p>
            <w:pPr>
              <w:widowControl/>
              <w:jc w:val="center"/>
              <w:textAlignment w:val="center"/>
              <w:rPr>
                <w:rFonts w:eastAsia="仿宋_GB2312"/>
                <w:b/>
                <w:color w:val="000000" w:themeColor="text1"/>
                <w:sz w:val="21"/>
                <w:szCs w:val="21"/>
              </w:rPr>
            </w:pPr>
            <w:r>
              <w:rPr>
                <w:rFonts w:eastAsia="仿宋_GB2312"/>
                <w:color w:val="000000" w:themeColor="text1"/>
                <w:sz w:val="21"/>
                <w:szCs w:val="21"/>
              </w:rPr>
              <w:t>折旧费</w:t>
            </w:r>
          </w:p>
        </w:tc>
        <w:tc>
          <w:tcPr>
            <w:tcW w:w="976" w:type="dxa"/>
            <w:tcBorders>
              <w:tl2br w:val="nil"/>
              <w:tr2bl w:val="nil"/>
            </w:tcBorders>
            <w:vAlign w:val="center"/>
          </w:tcPr>
          <w:p>
            <w:pPr>
              <w:widowControl/>
              <w:jc w:val="center"/>
              <w:textAlignment w:val="center"/>
              <w:rPr>
                <w:rFonts w:eastAsia="仿宋_GB2312"/>
                <w:b/>
                <w:color w:val="000000" w:themeColor="text1"/>
                <w:sz w:val="21"/>
                <w:szCs w:val="21"/>
              </w:rPr>
            </w:pPr>
            <w:r>
              <w:rPr>
                <w:rFonts w:eastAsia="仿宋_GB2312"/>
                <w:color w:val="000000" w:themeColor="text1"/>
                <w:sz w:val="21"/>
                <w:szCs w:val="21"/>
              </w:rPr>
              <w:t>修理费</w:t>
            </w:r>
          </w:p>
        </w:tc>
        <w:tc>
          <w:tcPr>
            <w:tcW w:w="976" w:type="dxa"/>
            <w:tcBorders>
              <w:tl2br w:val="nil"/>
              <w:tr2bl w:val="nil"/>
            </w:tcBorders>
            <w:vAlign w:val="center"/>
          </w:tcPr>
          <w:p>
            <w:pPr>
              <w:widowControl/>
              <w:jc w:val="center"/>
              <w:textAlignment w:val="center"/>
              <w:rPr>
                <w:rFonts w:eastAsia="仿宋_GB2312"/>
                <w:b/>
                <w:color w:val="000000" w:themeColor="text1"/>
                <w:sz w:val="21"/>
                <w:szCs w:val="21"/>
              </w:rPr>
            </w:pPr>
            <w:r>
              <w:rPr>
                <w:rFonts w:eastAsia="仿宋_GB2312"/>
                <w:color w:val="000000" w:themeColor="text1"/>
                <w:sz w:val="21"/>
                <w:szCs w:val="21"/>
              </w:rPr>
              <w:t>安拆费</w:t>
            </w:r>
          </w:p>
        </w:tc>
        <w:tc>
          <w:tcPr>
            <w:tcW w:w="976" w:type="dxa"/>
            <w:tcBorders>
              <w:tl2br w:val="nil"/>
              <w:tr2bl w:val="nil"/>
            </w:tcBorders>
            <w:vAlign w:val="center"/>
          </w:tcPr>
          <w:p>
            <w:pPr>
              <w:widowControl/>
              <w:jc w:val="center"/>
              <w:textAlignment w:val="center"/>
              <w:rPr>
                <w:rFonts w:eastAsia="仿宋_GB2312"/>
                <w:b/>
                <w:color w:val="000000" w:themeColor="text1"/>
                <w:sz w:val="21"/>
                <w:szCs w:val="21"/>
              </w:rPr>
            </w:pPr>
            <w:r>
              <w:rPr>
                <w:rFonts w:eastAsia="仿宋_GB2312"/>
                <w:color w:val="000000" w:themeColor="text1"/>
                <w:sz w:val="21"/>
                <w:szCs w:val="21"/>
              </w:rPr>
              <w:t>人工费</w:t>
            </w:r>
          </w:p>
        </w:tc>
        <w:tc>
          <w:tcPr>
            <w:tcW w:w="1257" w:type="dxa"/>
            <w:tcBorders>
              <w:tl2br w:val="nil"/>
              <w:tr2bl w:val="nil"/>
            </w:tcBorders>
            <w:vAlign w:val="center"/>
          </w:tcPr>
          <w:p>
            <w:pPr>
              <w:widowControl/>
              <w:jc w:val="center"/>
              <w:textAlignment w:val="center"/>
              <w:rPr>
                <w:rFonts w:eastAsia="仿宋_GB2312"/>
                <w:b/>
                <w:color w:val="000000" w:themeColor="text1"/>
                <w:sz w:val="21"/>
                <w:szCs w:val="21"/>
              </w:rPr>
            </w:pPr>
            <w:r>
              <w:rPr>
                <w:rFonts w:eastAsia="仿宋_GB2312"/>
                <w:color w:val="000000" w:themeColor="text1"/>
                <w:sz w:val="21"/>
                <w:szCs w:val="21"/>
              </w:rPr>
              <w:t>动力燃料费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83" w:hRule="atLeast"/>
          <w:jc w:val="center"/>
        </w:trPr>
        <w:tc>
          <w:tcPr>
            <w:tcW w:w="975" w:type="dxa"/>
            <w:tcBorders>
              <w:tl2br w:val="nil"/>
              <w:tr2bl w:val="nil"/>
            </w:tcBorders>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1</w:t>
            </w:r>
          </w:p>
        </w:tc>
        <w:tc>
          <w:tcPr>
            <w:tcW w:w="1622" w:type="dxa"/>
            <w:tcBorders>
              <w:tl2br w:val="nil"/>
              <w:tr2bl w:val="nil"/>
            </w:tcBorders>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推土机74kW</w:t>
            </w:r>
          </w:p>
        </w:tc>
        <w:tc>
          <w:tcPr>
            <w:tcW w:w="974" w:type="dxa"/>
            <w:tcBorders>
              <w:tl2br w:val="nil"/>
              <w:tr2bl w:val="nil"/>
            </w:tcBorders>
            <w:vAlign w:val="center"/>
          </w:tcPr>
          <w:p>
            <w:pPr>
              <w:widowControl/>
              <w:spacing w:line="240" w:lineRule="auto"/>
              <w:jc w:val="center"/>
              <w:rPr>
                <w:color w:val="000000" w:themeColor="text1"/>
                <w:sz w:val="21"/>
                <w:szCs w:val="21"/>
              </w:rPr>
            </w:pPr>
            <w:r>
              <w:rPr>
                <w:rFonts w:eastAsia="仿宋_GB2312"/>
                <w:color w:val="000000" w:themeColor="text1"/>
                <w:sz w:val="21"/>
                <w:szCs w:val="21"/>
              </w:rPr>
              <w:t>113.20</w:t>
            </w:r>
          </w:p>
        </w:tc>
        <w:tc>
          <w:tcPr>
            <w:tcW w:w="976" w:type="dxa"/>
            <w:tcBorders>
              <w:tl2br w:val="nil"/>
              <w:tr2bl w:val="nil"/>
            </w:tcBorders>
            <w:vAlign w:val="center"/>
          </w:tcPr>
          <w:p>
            <w:pPr>
              <w:widowControl/>
              <w:spacing w:line="240" w:lineRule="auto"/>
              <w:jc w:val="center"/>
              <w:rPr>
                <w:color w:val="000000" w:themeColor="text1"/>
                <w:sz w:val="21"/>
                <w:szCs w:val="21"/>
              </w:rPr>
            </w:pPr>
            <w:r>
              <w:rPr>
                <w:rFonts w:eastAsia="仿宋_GB2312"/>
                <w:color w:val="000000" w:themeColor="text1"/>
                <w:sz w:val="21"/>
                <w:szCs w:val="21"/>
              </w:rPr>
              <w:t>16.81</w:t>
            </w:r>
          </w:p>
        </w:tc>
        <w:tc>
          <w:tcPr>
            <w:tcW w:w="976" w:type="dxa"/>
            <w:tcBorders>
              <w:tl2br w:val="nil"/>
              <w:tr2bl w:val="nil"/>
            </w:tcBorders>
            <w:vAlign w:val="center"/>
          </w:tcPr>
          <w:p>
            <w:pPr>
              <w:widowControl/>
              <w:spacing w:line="240" w:lineRule="auto"/>
              <w:jc w:val="center"/>
              <w:rPr>
                <w:color w:val="000000" w:themeColor="text1"/>
                <w:sz w:val="21"/>
                <w:szCs w:val="21"/>
              </w:rPr>
            </w:pPr>
            <w:r>
              <w:rPr>
                <w:rFonts w:eastAsia="仿宋_GB2312"/>
                <w:color w:val="000000" w:themeColor="text1"/>
                <w:sz w:val="21"/>
                <w:szCs w:val="21"/>
              </w:rPr>
              <w:t>20.93</w:t>
            </w:r>
          </w:p>
        </w:tc>
        <w:tc>
          <w:tcPr>
            <w:tcW w:w="976" w:type="dxa"/>
            <w:tcBorders>
              <w:tl2br w:val="nil"/>
              <w:tr2bl w:val="nil"/>
            </w:tcBorders>
            <w:vAlign w:val="center"/>
          </w:tcPr>
          <w:p>
            <w:pPr>
              <w:widowControl/>
              <w:spacing w:line="240" w:lineRule="auto"/>
              <w:jc w:val="center"/>
              <w:rPr>
                <w:color w:val="000000" w:themeColor="text1"/>
                <w:sz w:val="21"/>
                <w:szCs w:val="21"/>
              </w:rPr>
            </w:pPr>
            <w:r>
              <w:rPr>
                <w:rFonts w:eastAsia="仿宋_GB2312"/>
                <w:color w:val="000000" w:themeColor="text1"/>
                <w:sz w:val="21"/>
                <w:szCs w:val="21"/>
              </w:rPr>
              <w:t>0.86</w:t>
            </w:r>
          </w:p>
        </w:tc>
        <w:tc>
          <w:tcPr>
            <w:tcW w:w="976" w:type="dxa"/>
            <w:tcBorders>
              <w:tl2br w:val="nil"/>
              <w:tr2bl w:val="nil"/>
            </w:tcBorders>
            <w:vAlign w:val="center"/>
          </w:tcPr>
          <w:p>
            <w:pPr>
              <w:widowControl/>
              <w:spacing w:line="240" w:lineRule="auto"/>
              <w:jc w:val="center"/>
              <w:rPr>
                <w:color w:val="000000" w:themeColor="text1"/>
                <w:sz w:val="21"/>
                <w:szCs w:val="21"/>
              </w:rPr>
            </w:pPr>
            <w:r>
              <w:rPr>
                <w:rFonts w:eastAsia="仿宋_GB2312"/>
                <w:color w:val="000000" w:themeColor="text1"/>
                <w:sz w:val="21"/>
                <w:szCs w:val="21"/>
              </w:rPr>
              <w:t>42.91</w:t>
            </w:r>
          </w:p>
        </w:tc>
        <w:tc>
          <w:tcPr>
            <w:tcW w:w="1257" w:type="dxa"/>
            <w:tcBorders>
              <w:tl2br w:val="nil"/>
              <w:tr2bl w:val="nil"/>
            </w:tcBorders>
            <w:vAlign w:val="center"/>
          </w:tcPr>
          <w:p>
            <w:pPr>
              <w:widowControl/>
              <w:spacing w:line="240" w:lineRule="auto"/>
              <w:jc w:val="center"/>
              <w:rPr>
                <w:color w:val="000000" w:themeColor="text1"/>
                <w:sz w:val="21"/>
                <w:szCs w:val="21"/>
              </w:rPr>
            </w:pPr>
            <w:r>
              <w:rPr>
                <w:rFonts w:eastAsia="仿宋_GB2312"/>
                <w:color w:val="000000" w:themeColor="text1"/>
                <w:sz w:val="21"/>
                <w:szCs w:val="21"/>
              </w:rPr>
              <w:t>31.69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83" w:hRule="atLeast"/>
          <w:jc w:val="center"/>
        </w:trPr>
        <w:tc>
          <w:tcPr>
            <w:tcW w:w="975" w:type="dxa"/>
            <w:tcBorders>
              <w:tl2br w:val="nil"/>
              <w:tr2bl w:val="nil"/>
            </w:tcBorders>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2</w:t>
            </w:r>
          </w:p>
        </w:tc>
        <w:tc>
          <w:tcPr>
            <w:tcW w:w="1622" w:type="dxa"/>
            <w:tcBorders>
              <w:tl2br w:val="nil"/>
              <w:tr2bl w:val="nil"/>
            </w:tcBorders>
            <w:vAlign w:val="center"/>
          </w:tcPr>
          <w:p>
            <w:pPr>
              <w:widowControl/>
              <w:spacing w:line="240" w:lineRule="auto"/>
              <w:jc w:val="center"/>
              <w:rPr>
                <w:rFonts w:eastAsia="仿宋_GB2312"/>
                <w:color w:val="000000" w:themeColor="text1"/>
                <w:sz w:val="21"/>
                <w:szCs w:val="21"/>
              </w:rPr>
            </w:pPr>
            <w:r>
              <w:rPr>
                <w:rFonts w:eastAsia="仿宋_GB2312"/>
                <w:color w:val="000000" w:themeColor="text1"/>
                <w:sz w:val="21"/>
                <w:szCs w:val="21"/>
              </w:rPr>
              <w:t>37kw拖拉机</w:t>
            </w:r>
          </w:p>
        </w:tc>
        <w:tc>
          <w:tcPr>
            <w:tcW w:w="974" w:type="dxa"/>
            <w:tcBorders>
              <w:tl2br w:val="nil"/>
              <w:tr2bl w:val="nil"/>
            </w:tcBorders>
            <w:vAlign w:val="center"/>
          </w:tcPr>
          <w:p>
            <w:pPr>
              <w:widowControl/>
              <w:spacing w:line="240" w:lineRule="auto"/>
              <w:jc w:val="center"/>
              <w:rPr>
                <w:color w:val="000000" w:themeColor="text1"/>
                <w:sz w:val="21"/>
                <w:szCs w:val="21"/>
              </w:rPr>
            </w:pPr>
            <w:r>
              <w:rPr>
                <w:rFonts w:eastAsia="仿宋_GB2312"/>
                <w:color w:val="000000" w:themeColor="text1"/>
                <w:sz w:val="21"/>
                <w:szCs w:val="21"/>
              </w:rPr>
              <w:t>44.40</w:t>
            </w:r>
          </w:p>
        </w:tc>
        <w:tc>
          <w:tcPr>
            <w:tcW w:w="976" w:type="dxa"/>
            <w:tcBorders>
              <w:tl2br w:val="nil"/>
              <w:tr2bl w:val="nil"/>
            </w:tcBorders>
            <w:vAlign w:val="center"/>
          </w:tcPr>
          <w:p>
            <w:pPr>
              <w:widowControl/>
              <w:spacing w:line="240" w:lineRule="auto"/>
              <w:jc w:val="center"/>
              <w:rPr>
                <w:color w:val="000000" w:themeColor="text1"/>
                <w:sz w:val="21"/>
                <w:szCs w:val="21"/>
              </w:rPr>
            </w:pPr>
            <w:r>
              <w:rPr>
                <w:rFonts w:eastAsia="仿宋_GB2312"/>
                <w:color w:val="000000" w:themeColor="text1"/>
                <w:sz w:val="21"/>
                <w:szCs w:val="21"/>
              </w:rPr>
              <w:t>2.69</w:t>
            </w:r>
          </w:p>
        </w:tc>
        <w:tc>
          <w:tcPr>
            <w:tcW w:w="976" w:type="dxa"/>
            <w:tcBorders>
              <w:tl2br w:val="nil"/>
              <w:tr2bl w:val="nil"/>
            </w:tcBorders>
            <w:vAlign w:val="center"/>
          </w:tcPr>
          <w:p>
            <w:pPr>
              <w:widowControl/>
              <w:spacing w:line="240" w:lineRule="auto"/>
              <w:jc w:val="center"/>
              <w:rPr>
                <w:color w:val="000000" w:themeColor="text1"/>
                <w:sz w:val="21"/>
                <w:szCs w:val="21"/>
              </w:rPr>
            </w:pPr>
            <w:r>
              <w:rPr>
                <w:rFonts w:eastAsia="仿宋_GB2312"/>
                <w:color w:val="000000" w:themeColor="text1"/>
                <w:sz w:val="21"/>
                <w:szCs w:val="21"/>
              </w:rPr>
              <w:t>3.35</w:t>
            </w:r>
          </w:p>
        </w:tc>
        <w:tc>
          <w:tcPr>
            <w:tcW w:w="976" w:type="dxa"/>
            <w:tcBorders>
              <w:tl2br w:val="nil"/>
              <w:tr2bl w:val="nil"/>
            </w:tcBorders>
            <w:vAlign w:val="center"/>
          </w:tcPr>
          <w:p>
            <w:pPr>
              <w:widowControl/>
              <w:spacing w:line="240" w:lineRule="auto"/>
              <w:jc w:val="center"/>
              <w:rPr>
                <w:color w:val="000000" w:themeColor="text1"/>
                <w:sz w:val="21"/>
                <w:szCs w:val="21"/>
              </w:rPr>
            </w:pPr>
            <w:r>
              <w:rPr>
                <w:rFonts w:eastAsia="仿宋_GB2312"/>
                <w:color w:val="000000" w:themeColor="text1"/>
                <w:sz w:val="21"/>
                <w:szCs w:val="21"/>
              </w:rPr>
              <w:t>0.16</w:t>
            </w:r>
          </w:p>
        </w:tc>
        <w:tc>
          <w:tcPr>
            <w:tcW w:w="976" w:type="dxa"/>
            <w:tcBorders>
              <w:tl2br w:val="nil"/>
              <w:tr2bl w:val="nil"/>
            </w:tcBorders>
            <w:vAlign w:val="center"/>
          </w:tcPr>
          <w:p>
            <w:pPr>
              <w:widowControl/>
              <w:spacing w:line="240" w:lineRule="auto"/>
              <w:jc w:val="center"/>
              <w:rPr>
                <w:color w:val="000000" w:themeColor="text1"/>
                <w:sz w:val="21"/>
                <w:szCs w:val="21"/>
              </w:rPr>
            </w:pPr>
            <w:r>
              <w:rPr>
                <w:rFonts w:eastAsia="仿宋_GB2312"/>
                <w:color w:val="000000" w:themeColor="text1"/>
                <w:sz w:val="21"/>
                <w:szCs w:val="21"/>
              </w:rPr>
              <w:t>23.25</w:t>
            </w:r>
          </w:p>
        </w:tc>
        <w:tc>
          <w:tcPr>
            <w:tcW w:w="1257" w:type="dxa"/>
            <w:tcBorders>
              <w:tl2br w:val="nil"/>
              <w:tr2bl w:val="nil"/>
            </w:tcBorders>
            <w:vAlign w:val="center"/>
          </w:tcPr>
          <w:p>
            <w:pPr>
              <w:widowControl/>
              <w:spacing w:line="240" w:lineRule="auto"/>
              <w:jc w:val="center"/>
              <w:rPr>
                <w:color w:val="000000" w:themeColor="text1"/>
                <w:sz w:val="21"/>
                <w:szCs w:val="21"/>
              </w:rPr>
            </w:pPr>
            <w:r>
              <w:rPr>
                <w:rFonts w:eastAsia="仿宋_GB2312"/>
                <w:color w:val="000000" w:themeColor="text1"/>
                <w:sz w:val="21"/>
                <w:szCs w:val="21"/>
              </w:rPr>
              <w:t>14.95</w:t>
            </w:r>
          </w:p>
        </w:tc>
      </w:tr>
    </w:tbl>
    <w:p>
      <w:pPr>
        <w:spacing w:line="360" w:lineRule="auto"/>
        <w:jc w:val="center"/>
        <w:rPr>
          <w:rFonts w:eastAsia="仿宋_GB2312"/>
          <w:b/>
          <w:bCs/>
          <w:color w:val="000000" w:themeColor="text1"/>
          <w:szCs w:val="24"/>
          <w:highlight w:val="cyan"/>
        </w:rPr>
      </w:pPr>
    </w:p>
    <w:p>
      <w:pPr>
        <w:spacing w:line="360" w:lineRule="auto"/>
        <w:jc w:val="center"/>
        <w:rPr>
          <w:rFonts w:eastAsia="仿宋_GB2312"/>
          <w:b/>
          <w:bCs/>
          <w:color w:val="000000" w:themeColor="text1"/>
          <w:szCs w:val="24"/>
          <w:highlight w:val="cyan"/>
        </w:rPr>
      </w:pPr>
    </w:p>
    <w:p>
      <w:pPr>
        <w:spacing w:line="360" w:lineRule="auto"/>
        <w:rPr>
          <w:rFonts w:eastAsia="仿宋_GB2312"/>
          <w:b/>
          <w:color w:val="000000" w:themeColor="text1"/>
          <w:sz w:val="28"/>
          <w:highlight w:val="cyan"/>
        </w:rPr>
        <w:sectPr>
          <w:headerReference r:id="rId19" w:type="default"/>
          <w:footerReference r:id="rId20" w:type="default"/>
          <w:type w:val="continuous"/>
          <w:pgSz w:w="11906" w:h="16838"/>
          <w:pgMar w:top="1440" w:right="1588" w:bottom="1440" w:left="1588" w:header="851" w:footer="992" w:gutter="0"/>
          <w:cols w:space="720" w:num="1"/>
          <w:docGrid w:linePitch="312" w:charSpace="0"/>
        </w:sectPr>
      </w:pPr>
    </w:p>
    <w:p>
      <w:pPr>
        <w:spacing w:line="360" w:lineRule="auto"/>
        <w:jc w:val="center"/>
        <w:rPr>
          <w:rFonts w:eastAsia="仿宋_GB2312"/>
          <w:b/>
          <w:color w:val="000000" w:themeColor="text1"/>
          <w:sz w:val="28"/>
        </w:rPr>
      </w:pPr>
      <w:r>
        <w:rPr>
          <w:rFonts w:eastAsia="仿宋_GB2312"/>
          <w:b/>
          <w:bCs/>
          <w:color w:val="000000" w:themeColor="text1"/>
          <w:szCs w:val="24"/>
        </w:rPr>
        <w:t>表7-10    单价汇总表     单位：元</w:t>
      </w:r>
    </w:p>
    <w:tbl>
      <w:tblPr>
        <w:tblStyle w:val="23"/>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529"/>
        <w:gridCol w:w="1707"/>
        <w:gridCol w:w="862"/>
        <w:gridCol w:w="1057"/>
        <w:gridCol w:w="1004"/>
        <w:gridCol w:w="1004"/>
        <w:gridCol w:w="824"/>
        <w:gridCol w:w="1186"/>
        <w:gridCol w:w="1006"/>
        <w:gridCol w:w="1004"/>
        <w:gridCol w:w="1006"/>
        <w:gridCol w:w="1004"/>
        <w:gridCol w:w="1006"/>
        <w:gridCol w:w="975"/>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9"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编号</w:t>
            </w:r>
          </w:p>
        </w:tc>
        <w:tc>
          <w:tcPr>
            <w:tcW w:w="1707" w:type="dxa"/>
            <w:tcBorders>
              <w:tl2br w:val="nil"/>
              <w:tr2bl w:val="nil"/>
            </w:tcBorders>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工程名称</w:t>
            </w:r>
          </w:p>
        </w:tc>
        <w:tc>
          <w:tcPr>
            <w:tcW w:w="862" w:type="dxa"/>
            <w:tcBorders>
              <w:tl2br w:val="nil"/>
              <w:tr2bl w:val="nil"/>
            </w:tcBorders>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单位</w:t>
            </w:r>
          </w:p>
        </w:tc>
        <w:tc>
          <w:tcPr>
            <w:tcW w:w="1057" w:type="dxa"/>
            <w:tcBorders>
              <w:tl2br w:val="nil"/>
              <w:tr2bl w:val="nil"/>
            </w:tcBorders>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单价</w:t>
            </w:r>
          </w:p>
        </w:tc>
        <w:tc>
          <w:tcPr>
            <w:tcW w:w="1004" w:type="dxa"/>
            <w:tcBorders>
              <w:tl2br w:val="nil"/>
              <w:tr2bl w:val="nil"/>
            </w:tcBorders>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人工费</w:t>
            </w:r>
          </w:p>
        </w:tc>
        <w:tc>
          <w:tcPr>
            <w:tcW w:w="1004" w:type="dxa"/>
            <w:tcBorders>
              <w:tl2br w:val="nil"/>
              <w:tr2bl w:val="nil"/>
            </w:tcBorders>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材料费</w:t>
            </w:r>
          </w:p>
        </w:tc>
        <w:tc>
          <w:tcPr>
            <w:tcW w:w="824" w:type="dxa"/>
            <w:tcBorders>
              <w:tl2br w:val="nil"/>
              <w:tr2bl w:val="nil"/>
            </w:tcBorders>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机械费</w:t>
            </w:r>
          </w:p>
        </w:tc>
        <w:tc>
          <w:tcPr>
            <w:tcW w:w="1186" w:type="dxa"/>
            <w:tcBorders>
              <w:tl2br w:val="nil"/>
              <w:tr2bl w:val="nil"/>
            </w:tcBorders>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其他直接费</w:t>
            </w:r>
          </w:p>
        </w:tc>
        <w:tc>
          <w:tcPr>
            <w:tcW w:w="1006" w:type="dxa"/>
            <w:tcBorders>
              <w:tl2br w:val="nil"/>
              <w:tr2bl w:val="nil"/>
            </w:tcBorders>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现场经费</w:t>
            </w:r>
          </w:p>
        </w:tc>
        <w:tc>
          <w:tcPr>
            <w:tcW w:w="1004" w:type="dxa"/>
            <w:tcBorders>
              <w:tl2br w:val="nil"/>
              <w:tr2bl w:val="nil"/>
            </w:tcBorders>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间接费</w:t>
            </w:r>
          </w:p>
        </w:tc>
        <w:tc>
          <w:tcPr>
            <w:tcW w:w="1006" w:type="dxa"/>
            <w:tcBorders>
              <w:tl2br w:val="nil"/>
              <w:tr2bl w:val="nil"/>
            </w:tcBorders>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利润</w:t>
            </w:r>
          </w:p>
        </w:tc>
        <w:tc>
          <w:tcPr>
            <w:tcW w:w="1004" w:type="dxa"/>
            <w:tcBorders>
              <w:tl2br w:val="nil"/>
              <w:tr2bl w:val="nil"/>
            </w:tcBorders>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价差</w:t>
            </w:r>
          </w:p>
        </w:tc>
        <w:tc>
          <w:tcPr>
            <w:tcW w:w="1006" w:type="dxa"/>
            <w:tcBorders>
              <w:tl2br w:val="nil"/>
              <w:tr2bl w:val="nil"/>
            </w:tcBorders>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税金</w:t>
            </w:r>
          </w:p>
        </w:tc>
        <w:tc>
          <w:tcPr>
            <w:tcW w:w="975" w:type="dxa"/>
            <w:tcBorders>
              <w:tl2br w:val="nil"/>
              <w:tr2bl w:val="nil"/>
            </w:tcBorders>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扩大</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9"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1</w:t>
            </w:r>
          </w:p>
        </w:tc>
        <w:tc>
          <w:tcPr>
            <w:tcW w:w="1707"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全面整地</w:t>
            </w:r>
          </w:p>
        </w:tc>
        <w:tc>
          <w:tcPr>
            <w:tcW w:w="862"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hm²</w:t>
            </w:r>
          </w:p>
        </w:tc>
        <w:tc>
          <w:tcPr>
            <w:tcW w:w="1057"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1243.58</w:t>
            </w:r>
          </w:p>
        </w:tc>
        <w:tc>
          <w:tcPr>
            <w:tcW w:w="1004"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339.72</w:t>
            </w:r>
          </w:p>
        </w:tc>
        <w:tc>
          <w:tcPr>
            <w:tcW w:w="1004"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 xml:space="preserve">62.47 </w:t>
            </w:r>
          </w:p>
        </w:tc>
        <w:tc>
          <w:tcPr>
            <w:tcW w:w="824"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355.20</w:t>
            </w:r>
          </w:p>
        </w:tc>
        <w:tc>
          <w:tcPr>
            <w:tcW w:w="1186"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30.30</w:t>
            </w:r>
          </w:p>
        </w:tc>
        <w:tc>
          <w:tcPr>
            <w:tcW w:w="1006"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 xml:space="preserve">37.87 </w:t>
            </w:r>
          </w:p>
        </w:tc>
        <w:tc>
          <w:tcPr>
            <w:tcW w:w="1004"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36.32</w:t>
            </w:r>
          </w:p>
        </w:tc>
        <w:tc>
          <w:tcPr>
            <w:tcW w:w="1006"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 xml:space="preserve">60.33 </w:t>
            </w:r>
          </w:p>
        </w:tc>
        <w:tc>
          <w:tcPr>
            <w:tcW w:w="1004"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120.00</w:t>
            </w:r>
          </w:p>
        </w:tc>
        <w:tc>
          <w:tcPr>
            <w:tcW w:w="1006"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93.80</w:t>
            </w:r>
          </w:p>
        </w:tc>
        <w:tc>
          <w:tcPr>
            <w:tcW w:w="975"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107.57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9"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2</w:t>
            </w:r>
          </w:p>
        </w:tc>
        <w:tc>
          <w:tcPr>
            <w:tcW w:w="1707"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雨水排水管线</w:t>
            </w:r>
          </w:p>
        </w:tc>
        <w:tc>
          <w:tcPr>
            <w:tcW w:w="862"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m</w:t>
            </w:r>
          </w:p>
        </w:tc>
        <w:tc>
          <w:tcPr>
            <w:tcW w:w="1057" w:type="dxa"/>
            <w:tcBorders>
              <w:tl2br w:val="nil"/>
              <w:tr2bl w:val="nil"/>
            </w:tcBorders>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450</w:t>
            </w:r>
          </w:p>
        </w:tc>
        <w:tc>
          <w:tcPr>
            <w:tcW w:w="10019" w:type="dxa"/>
            <w:gridSpan w:val="10"/>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主体工程提供</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9"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3</w:t>
            </w:r>
          </w:p>
        </w:tc>
        <w:tc>
          <w:tcPr>
            <w:tcW w:w="1707"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雨水口</w:t>
            </w:r>
          </w:p>
        </w:tc>
        <w:tc>
          <w:tcPr>
            <w:tcW w:w="862"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个</w:t>
            </w:r>
          </w:p>
        </w:tc>
        <w:tc>
          <w:tcPr>
            <w:tcW w:w="1057" w:type="dxa"/>
            <w:tcBorders>
              <w:tl2br w:val="nil"/>
              <w:tr2bl w:val="nil"/>
            </w:tcBorders>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500</w:t>
            </w:r>
          </w:p>
        </w:tc>
        <w:tc>
          <w:tcPr>
            <w:tcW w:w="10019" w:type="dxa"/>
            <w:gridSpan w:val="10"/>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主体工程提供</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9"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4</w:t>
            </w:r>
          </w:p>
        </w:tc>
        <w:tc>
          <w:tcPr>
            <w:tcW w:w="1707"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绿化用土回覆</w:t>
            </w:r>
          </w:p>
        </w:tc>
        <w:tc>
          <w:tcPr>
            <w:tcW w:w="862"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100m</w:t>
            </w:r>
            <w:r>
              <w:rPr>
                <w:rFonts w:eastAsia="仿宋_GB2312"/>
                <w:color w:val="000000" w:themeColor="text1"/>
                <w:sz w:val="18"/>
                <w:szCs w:val="18"/>
                <w:vertAlign w:val="superscript"/>
              </w:rPr>
              <w:t>3</w:t>
            </w:r>
          </w:p>
        </w:tc>
        <w:tc>
          <w:tcPr>
            <w:tcW w:w="1057" w:type="dxa"/>
            <w:tcBorders>
              <w:tl2br w:val="nil"/>
              <w:tr2bl w:val="nil"/>
            </w:tcBorders>
            <w:vAlign w:val="center"/>
          </w:tcPr>
          <w:p>
            <w:pPr>
              <w:spacing w:line="240" w:lineRule="auto"/>
              <w:jc w:val="center"/>
              <w:rPr>
                <w:rFonts w:eastAsia="仿宋_GB2312"/>
                <w:color w:val="000000" w:themeColor="text1"/>
                <w:sz w:val="18"/>
                <w:szCs w:val="18"/>
              </w:rPr>
            </w:pPr>
            <w:r>
              <w:rPr>
                <w:rFonts w:eastAsia="仿宋_GB2312"/>
                <w:color w:val="000000" w:themeColor="text1"/>
                <w:sz w:val="18"/>
                <w:szCs w:val="18"/>
              </w:rPr>
              <w:t>555</w:t>
            </w:r>
          </w:p>
        </w:tc>
        <w:tc>
          <w:tcPr>
            <w:tcW w:w="10019" w:type="dxa"/>
            <w:gridSpan w:val="10"/>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主体工程提供</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9"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5</w:t>
            </w:r>
          </w:p>
        </w:tc>
        <w:tc>
          <w:tcPr>
            <w:tcW w:w="1707"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景观绿化</w:t>
            </w:r>
          </w:p>
        </w:tc>
        <w:tc>
          <w:tcPr>
            <w:tcW w:w="862"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m</w:t>
            </w:r>
            <w:r>
              <w:rPr>
                <w:rFonts w:eastAsia="仿宋_GB2312"/>
                <w:color w:val="000000" w:themeColor="text1"/>
                <w:sz w:val="18"/>
                <w:szCs w:val="18"/>
                <w:vertAlign w:val="superscript"/>
              </w:rPr>
              <w:t>2</w:t>
            </w:r>
          </w:p>
        </w:tc>
        <w:tc>
          <w:tcPr>
            <w:tcW w:w="1057"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80</w:t>
            </w:r>
          </w:p>
        </w:tc>
        <w:tc>
          <w:tcPr>
            <w:tcW w:w="10019" w:type="dxa"/>
            <w:gridSpan w:val="10"/>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主体工程提供</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9"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6</w:t>
            </w:r>
          </w:p>
        </w:tc>
        <w:tc>
          <w:tcPr>
            <w:tcW w:w="1707"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密目网覆盖</w:t>
            </w:r>
          </w:p>
        </w:tc>
        <w:tc>
          <w:tcPr>
            <w:tcW w:w="862"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100m</w:t>
            </w:r>
            <w:r>
              <w:rPr>
                <w:rFonts w:eastAsia="仿宋_GB2312"/>
                <w:color w:val="000000" w:themeColor="text1"/>
                <w:sz w:val="18"/>
                <w:szCs w:val="18"/>
                <w:vertAlign w:val="superscript"/>
              </w:rPr>
              <w:t>2</w:t>
            </w:r>
          </w:p>
        </w:tc>
        <w:tc>
          <w:tcPr>
            <w:tcW w:w="1057"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510.98</w:t>
            </w:r>
          </w:p>
        </w:tc>
        <w:tc>
          <w:tcPr>
            <w:tcW w:w="10019" w:type="dxa"/>
            <w:gridSpan w:val="10"/>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主体工程提供</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9"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7</w:t>
            </w:r>
          </w:p>
        </w:tc>
        <w:tc>
          <w:tcPr>
            <w:tcW w:w="1707"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编织袋装土填筑</w:t>
            </w:r>
          </w:p>
        </w:tc>
        <w:tc>
          <w:tcPr>
            <w:tcW w:w="862"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100m</w:t>
            </w:r>
            <w:r>
              <w:rPr>
                <w:rFonts w:eastAsia="仿宋_GB2312"/>
                <w:color w:val="000000" w:themeColor="text1"/>
                <w:sz w:val="18"/>
                <w:szCs w:val="18"/>
                <w:vertAlign w:val="superscript"/>
              </w:rPr>
              <w:t>3</w:t>
            </w:r>
          </w:p>
        </w:tc>
        <w:tc>
          <w:tcPr>
            <w:tcW w:w="1057"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35198.10</w:t>
            </w:r>
          </w:p>
        </w:tc>
        <w:tc>
          <w:tcPr>
            <w:tcW w:w="10019" w:type="dxa"/>
            <w:gridSpan w:val="10"/>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主体工程提供</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9"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8</w:t>
            </w:r>
          </w:p>
        </w:tc>
        <w:tc>
          <w:tcPr>
            <w:tcW w:w="1707"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编织袋土拆除</w:t>
            </w:r>
          </w:p>
        </w:tc>
        <w:tc>
          <w:tcPr>
            <w:tcW w:w="862"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100m</w:t>
            </w:r>
            <w:r>
              <w:rPr>
                <w:rFonts w:eastAsia="仿宋_GB2312"/>
                <w:color w:val="000000" w:themeColor="text1"/>
                <w:sz w:val="18"/>
                <w:szCs w:val="18"/>
                <w:vertAlign w:val="superscript"/>
              </w:rPr>
              <w:t>3</w:t>
            </w:r>
          </w:p>
        </w:tc>
        <w:tc>
          <w:tcPr>
            <w:tcW w:w="1057" w:type="dxa"/>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4516.95</w:t>
            </w:r>
          </w:p>
        </w:tc>
        <w:tc>
          <w:tcPr>
            <w:tcW w:w="10019" w:type="dxa"/>
            <w:gridSpan w:val="10"/>
            <w:tcBorders>
              <w:tl2br w:val="nil"/>
              <w:tr2bl w:val="nil"/>
            </w:tcBorders>
            <w:vAlign w:val="center"/>
          </w:tcPr>
          <w:p>
            <w:pPr>
              <w:widowControl/>
              <w:adjustRightInd/>
              <w:spacing w:line="240" w:lineRule="auto"/>
              <w:jc w:val="center"/>
              <w:textAlignment w:val="auto"/>
              <w:rPr>
                <w:rFonts w:eastAsia="仿宋_GB2312"/>
                <w:color w:val="000000" w:themeColor="text1"/>
                <w:sz w:val="18"/>
                <w:szCs w:val="18"/>
              </w:rPr>
            </w:pPr>
            <w:r>
              <w:rPr>
                <w:rFonts w:eastAsia="仿宋_GB2312"/>
                <w:color w:val="000000" w:themeColor="text1"/>
                <w:sz w:val="18"/>
                <w:szCs w:val="18"/>
              </w:rPr>
              <w:t>主体工程提供</w:t>
            </w:r>
          </w:p>
        </w:tc>
      </w:tr>
    </w:tbl>
    <w:p>
      <w:pPr>
        <w:pStyle w:val="2"/>
        <w:ind w:left="480"/>
        <w:rPr>
          <w:color w:val="000000" w:themeColor="text1"/>
          <w:highlight w:val="cyan"/>
        </w:rPr>
        <w:sectPr>
          <w:headerReference r:id="rId21" w:type="default"/>
          <w:footerReference r:id="rId22" w:type="even"/>
          <w:pgSz w:w="16840" w:h="11907" w:orient="landscape"/>
          <w:pgMar w:top="1588" w:right="1418" w:bottom="1588" w:left="1418" w:header="851" w:footer="851" w:gutter="0"/>
          <w:cols w:space="720" w:num="1"/>
          <w:docGrid w:linePitch="326" w:charSpace="0"/>
        </w:sectPr>
      </w:pPr>
    </w:p>
    <w:p>
      <w:pPr>
        <w:pStyle w:val="4"/>
        <w:spacing w:before="0" w:after="0" w:line="360" w:lineRule="auto"/>
        <w:rPr>
          <w:rFonts w:ascii="Times New Roman" w:hAnsi="Times New Roman" w:eastAsia="仿宋_GB2312"/>
          <w:color w:val="000000" w:themeColor="text1"/>
          <w:sz w:val="28"/>
          <w:szCs w:val="28"/>
        </w:rPr>
      </w:pPr>
      <w:bookmarkStart w:id="53" w:name="_Toc34234319"/>
      <w:bookmarkStart w:id="54" w:name="_Toc22619"/>
      <w:bookmarkStart w:id="55" w:name="_Toc9044"/>
      <w:r>
        <w:rPr>
          <w:rFonts w:ascii="Times New Roman" w:hAnsi="Times New Roman" w:eastAsia="仿宋_GB2312"/>
          <w:color w:val="000000" w:themeColor="text1"/>
          <w:sz w:val="28"/>
          <w:szCs w:val="28"/>
        </w:rPr>
        <w:t>7.2 效益分析</w:t>
      </w:r>
      <w:bookmarkEnd w:id="53"/>
      <w:bookmarkEnd w:id="54"/>
      <w:bookmarkEnd w:id="55"/>
    </w:p>
    <w:p>
      <w:pPr>
        <w:snapToGrid w:val="0"/>
        <w:spacing w:line="360" w:lineRule="auto"/>
        <w:ind w:firstLine="480"/>
        <w:rPr>
          <w:rFonts w:eastAsia="仿宋_GB2312"/>
          <w:color w:val="000000" w:themeColor="text1"/>
          <w:szCs w:val="24"/>
        </w:rPr>
      </w:pPr>
      <w:r>
        <w:rPr>
          <w:rFonts w:eastAsia="仿宋_GB2312"/>
          <w:color w:val="000000" w:themeColor="text1"/>
          <w:szCs w:val="24"/>
        </w:rPr>
        <w:t>在对主体工程设计中具有水土保持措施的工程分析评价的基础上，对产生水土流失的区域采取了工程、植物等防护措施，按照方案设计的目标和要求，各项措施实施后，因工程建设带来的水土流失将得到有效控制，同时工程完工后，裸露面得到有效的防护，施工破坏的植被将逐步恢复，植物种类得以改善，整个生态系统将更趋稳定，保水保土能力将有所提高，治理效果是显著的。</w:t>
      </w:r>
    </w:p>
    <w:p>
      <w:pPr>
        <w:snapToGrid w:val="0"/>
        <w:spacing w:line="360" w:lineRule="auto"/>
        <w:ind w:firstLine="480" w:firstLineChars="200"/>
        <w:rPr>
          <w:rFonts w:eastAsia="仿宋_GB2312"/>
          <w:color w:val="000000" w:themeColor="text1"/>
          <w:szCs w:val="24"/>
        </w:rPr>
      </w:pPr>
      <w:r>
        <w:rPr>
          <w:rFonts w:eastAsia="仿宋_GB2312"/>
          <w:color w:val="000000" w:themeColor="text1"/>
          <w:szCs w:val="24"/>
        </w:rPr>
        <w:t>设计水平年的防治指标可能实现情况为：水土流失治理度达到99％；土壤流失控制比达到1.0；渣土防护率达到98％，林草植被恢复率达到99％，林草覆盖率达到</w:t>
      </w:r>
      <w:r>
        <w:rPr>
          <w:rFonts w:hint="eastAsia" w:eastAsia="仿宋_GB2312"/>
          <w:color w:val="000000" w:themeColor="text1"/>
          <w:szCs w:val="24"/>
          <w:lang w:eastAsia="zh-CN"/>
        </w:rPr>
        <w:t>9.67</w:t>
      </w:r>
      <w:r>
        <w:rPr>
          <w:rFonts w:eastAsia="仿宋_GB2312"/>
          <w:color w:val="000000" w:themeColor="text1"/>
          <w:szCs w:val="24"/>
        </w:rPr>
        <w:t>%。</w:t>
      </w:r>
    </w:p>
    <w:p>
      <w:pPr>
        <w:spacing w:line="360" w:lineRule="auto"/>
        <w:jc w:val="center"/>
        <w:rPr>
          <w:rFonts w:eastAsia="仿宋_GB2312"/>
          <w:b/>
          <w:bCs/>
          <w:color w:val="000000" w:themeColor="text1"/>
          <w:szCs w:val="24"/>
        </w:rPr>
      </w:pPr>
      <w:r>
        <w:rPr>
          <w:rFonts w:eastAsia="仿宋_GB2312"/>
          <w:b/>
          <w:bCs/>
          <w:color w:val="000000" w:themeColor="text1"/>
          <w:szCs w:val="24"/>
        </w:rPr>
        <w:t>表7-11    设计水平年水土流失防治效果指标</w:t>
      </w:r>
    </w:p>
    <w:tbl>
      <w:tblPr>
        <w:tblStyle w:val="23"/>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852"/>
        <w:gridCol w:w="2656"/>
        <w:gridCol w:w="982"/>
        <w:gridCol w:w="1076"/>
        <w:gridCol w:w="867"/>
        <w:gridCol w:w="98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0" w:type="dxa"/>
            <w:tcBorders>
              <w:tl2br w:val="nil"/>
              <w:tr2bl w:val="nil"/>
            </w:tcBorders>
            <w:vAlign w:val="center"/>
          </w:tcPr>
          <w:p>
            <w:pPr>
              <w:widowControl/>
              <w:spacing w:line="240" w:lineRule="auto"/>
              <w:jc w:val="center"/>
              <w:rPr>
                <w:rFonts w:eastAsia="仿宋_GB2312"/>
                <w:bCs/>
                <w:color w:val="000000" w:themeColor="text1"/>
                <w:sz w:val="21"/>
                <w:szCs w:val="21"/>
              </w:rPr>
            </w:pPr>
            <w:r>
              <w:rPr>
                <w:rFonts w:eastAsia="仿宋_GB2312"/>
                <w:bCs/>
                <w:color w:val="000000" w:themeColor="text1"/>
                <w:sz w:val="21"/>
                <w:szCs w:val="21"/>
              </w:rPr>
              <w:t>项目</w:t>
            </w:r>
          </w:p>
        </w:tc>
        <w:tc>
          <w:tcPr>
            <w:tcW w:w="852" w:type="dxa"/>
            <w:tcBorders>
              <w:tl2br w:val="nil"/>
              <w:tr2bl w:val="nil"/>
            </w:tcBorders>
            <w:vAlign w:val="center"/>
          </w:tcPr>
          <w:p>
            <w:pPr>
              <w:widowControl/>
              <w:spacing w:line="240" w:lineRule="auto"/>
              <w:jc w:val="center"/>
              <w:rPr>
                <w:rFonts w:eastAsia="仿宋_GB2312"/>
                <w:bCs/>
                <w:color w:val="000000" w:themeColor="text1"/>
                <w:sz w:val="21"/>
                <w:szCs w:val="21"/>
              </w:rPr>
            </w:pPr>
            <w:r>
              <w:rPr>
                <w:rFonts w:eastAsia="仿宋_GB2312"/>
                <w:bCs/>
                <w:color w:val="000000" w:themeColor="text1"/>
                <w:sz w:val="21"/>
                <w:szCs w:val="21"/>
              </w:rPr>
              <w:t>目标值</w:t>
            </w:r>
          </w:p>
        </w:tc>
        <w:tc>
          <w:tcPr>
            <w:tcW w:w="2656" w:type="dxa"/>
            <w:tcBorders>
              <w:tl2br w:val="nil"/>
              <w:tr2bl w:val="nil"/>
            </w:tcBorders>
            <w:vAlign w:val="center"/>
          </w:tcPr>
          <w:p>
            <w:pPr>
              <w:widowControl/>
              <w:spacing w:line="240" w:lineRule="auto"/>
              <w:jc w:val="center"/>
              <w:rPr>
                <w:rFonts w:eastAsia="仿宋_GB2312"/>
                <w:bCs/>
                <w:color w:val="000000" w:themeColor="text1"/>
                <w:sz w:val="21"/>
                <w:szCs w:val="21"/>
              </w:rPr>
            </w:pPr>
            <w:r>
              <w:rPr>
                <w:rFonts w:eastAsia="仿宋_GB2312"/>
                <w:bCs/>
                <w:color w:val="000000" w:themeColor="text1"/>
                <w:sz w:val="21"/>
                <w:szCs w:val="21"/>
              </w:rPr>
              <w:t>评估依据</w:t>
            </w:r>
          </w:p>
        </w:tc>
        <w:tc>
          <w:tcPr>
            <w:tcW w:w="982" w:type="dxa"/>
            <w:tcBorders>
              <w:tl2br w:val="nil"/>
              <w:tr2bl w:val="nil"/>
            </w:tcBorders>
            <w:vAlign w:val="center"/>
          </w:tcPr>
          <w:p>
            <w:pPr>
              <w:widowControl/>
              <w:spacing w:line="240" w:lineRule="auto"/>
              <w:jc w:val="center"/>
              <w:rPr>
                <w:rFonts w:eastAsia="仿宋_GB2312"/>
                <w:bCs/>
                <w:color w:val="000000" w:themeColor="text1"/>
                <w:sz w:val="21"/>
                <w:szCs w:val="21"/>
              </w:rPr>
            </w:pPr>
            <w:r>
              <w:rPr>
                <w:rFonts w:eastAsia="仿宋_GB2312"/>
                <w:bCs/>
                <w:color w:val="000000" w:themeColor="text1"/>
                <w:sz w:val="21"/>
                <w:szCs w:val="21"/>
              </w:rPr>
              <w:t>单位</w:t>
            </w:r>
          </w:p>
        </w:tc>
        <w:tc>
          <w:tcPr>
            <w:tcW w:w="1076" w:type="dxa"/>
            <w:tcBorders>
              <w:tl2br w:val="nil"/>
              <w:tr2bl w:val="nil"/>
            </w:tcBorders>
            <w:vAlign w:val="center"/>
          </w:tcPr>
          <w:p>
            <w:pPr>
              <w:widowControl/>
              <w:spacing w:line="240" w:lineRule="auto"/>
              <w:jc w:val="center"/>
              <w:rPr>
                <w:rFonts w:eastAsia="仿宋_GB2312"/>
                <w:bCs/>
                <w:color w:val="000000" w:themeColor="text1"/>
                <w:sz w:val="21"/>
                <w:szCs w:val="21"/>
              </w:rPr>
            </w:pPr>
            <w:r>
              <w:rPr>
                <w:rFonts w:eastAsia="仿宋_GB2312"/>
                <w:bCs/>
                <w:color w:val="000000" w:themeColor="text1"/>
                <w:sz w:val="21"/>
                <w:szCs w:val="21"/>
              </w:rPr>
              <w:t>数量</w:t>
            </w:r>
          </w:p>
        </w:tc>
        <w:tc>
          <w:tcPr>
            <w:tcW w:w="867" w:type="dxa"/>
            <w:tcBorders>
              <w:tl2br w:val="nil"/>
              <w:tr2bl w:val="nil"/>
            </w:tcBorders>
            <w:vAlign w:val="center"/>
          </w:tcPr>
          <w:p>
            <w:pPr>
              <w:widowControl/>
              <w:spacing w:line="240" w:lineRule="auto"/>
              <w:jc w:val="center"/>
              <w:rPr>
                <w:rFonts w:eastAsia="仿宋_GB2312"/>
                <w:bCs/>
                <w:color w:val="000000" w:themeColor="text1"/>
                <w:sz w:val="21"/>
                <w:szCs w:val="21"/>
              </w:rPr>
            </w:pPr>
            <w:r>
              <w:rPr>
                <w:rFonts w:eastAsia="仿宋_GB2312"/>
                <w:bCs/>
                <w:color w:val="000000" w:themeColor="text1"/>
                <w:sz w:val="21"/>
                <w:szCs w:val="21"/>
              </w:rPr>
              <w:t>设计</w:t>
            </w:r>
          </w:p>
          <w:p>
            <w:pPr>
              <w:widowControl/>
              <w:spacing w:line="240" w:lineRule="auto"/>
              <w:jc w:val="center"/>
              <w:rPr>
                <w:rFonts w:eastAsia="仿宋_GB2312"/>
                <w:bCs/>
                <w:color w:val="000000" w:themeColor="text1"/>
                <w:sz w:val="21"/>
                <w:szCs w:val="21"/>
              </w:rPr>
            </w:pPr>
            <w:r>
              <w:rPr>
                <w:rFonts w:eastAsia="仿宋_GB2312"/>
                <w:bCs/>
                <w:color w:val="000000" w:themeColor="text1"/>
                <w:sz w:val="21"/>
                <w:szCs w:val="21"/>
              </w:rPr>
              <w:t>实现值</w:t>
            </w:r>
          </w:p>
        </w:tc>
        <w:tc>
          <w:tcPr>
            <w:tcW w:w="983" w:type="dxa"/>
            <w:tcBorders>
              <w:tl2br w:val="nil"/>
              <w:tr2bl w:val="nil"/>
            </w:tcBorders>
            <w:vAlign w:val="center"/>
          </w:tcPr>
          <w:p>
            <w:pPr>
              <w:widowControl/>
              <w:spacing w:line="240" w:lineRule="auto"/>
              <w:jc w:val="center"/>
              <w:rPr>
                <w:rFonts w:eastAsia="仿宋_GB2312"/>
                <w:bCs/>
                <w:color w:val="000000" w:themeColor="text1"/>
                <w:sz w:val="21"/>
                <w:szCs w:val="21"/>
              </w:rPr>
            </w:pPr>
            <w:r>
              <w:rPr>
                <w:rFonts w:eastAsia="仿宋_GB2312"/>
                <w:bCs/>
                <w:color w:val="000000" w:themeColor="text1"/>
                <w:sz w:val="21"/>
                <w:szCs w:val="21"/>
              </w:rPr>
              <w:t>评估</w:t>
            </w:r>
          </w:p>
          <w:p>
            <w:pPr>
              <w:widowControl/>
              <w:spacing w:line="240" w:lineRule="auto"/>
              <w:jc w:val="center"/>
              <w:rPr>
                <w:rFonts w:eastAsia="仿宋_GB2312"/>
                <w:bCs/>
                <w:color w:val="000000" w:themeColor="text1"/>
                <w:sz w:val="21"/>
                <w:szCs w:val="21"/>
              </w:rPr>
            </w:pPr>
            <w:r>
              <w:rPr>
                <w:rFonts w:eastAsia="仿宋_GB2312"/>
                <w:bCs/>
                <w:color w:val="000000" w:themeColor="text1"/>
                <w:sz w:val="21"/>
                <w:szCs w:val="21"/>
              </w:rPr>
              <w:t>结果</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0" w:type="dxa"/>
            <w:vMerge w:val="restart"/>
            <w:tcBorders>
              <w:tl2br w:val="nil"/>
              <w:tr2bl w:val="nil"/>
            </w:tcBorders>
            <w:vAlign w:val="center"/>
          </w:tcPr>
          <w:p>
            <w:pPr>
              <w:widowControl/>
              <w:spacing w:line="240" w:lineRule="auto"/>
              <w:jc w:val="center"/>
              <w:rPr>
                <w:rFonts w:eastAsia="仿宋_GB2312"/>
                <w:bCs/>
                <w:color w:val="000000" w:themeColor="text1"/>
                <w:sz w:val="21"/>
                <w:szCs w:val="21"/>
              </w:rPr>
            </w:pPr>
            <w:r>
              <w:rPr>
                <w:rFonts w:eastAsia="仿宋_GB2312"/>
                <w:bCs/>
                <w:color w:val="000000" w:themeColor="text1"/>
                <w:sz w:val="21"/>
                <w:szCs w:val="21"/>
              </w:rPr>
              <w:t>水土流失治理度（%）</w:t>
            </w:r>
          </w:p>
        </w:tc>
        <w:tc>
          <w:tcPr>
            <w:tcW w:w="852" w:type="dxa"/>
            <w:vMerge w:val="restart"/>
            <w:tcBorders>
              <w:tl2br w:val="nil"/>
              <w:tr2bl w:val="nil"/>
            </w:tcBorders>
            <w:vAlign w:val="center"/>
          </w:tcPr>
          <w:p>
            <w:pPr>
              <w:pStyle w:val="77"/>
              <w:rPr>
                <w:rFonts w:ascii="Times New Roman" w:hAnsi="Times New Roman" w:eastAsia="仿宋_GB2312"/>
                <w:bCs/>
                <w:color w:val="000000" w:themeColor="text1"/>
              </w:rPr>
            </w:pPr>
            <w:r>
              <w:rPr>
                <w:rFonts w:ascii="Times New Roman" w:hAnsi="Times New Roman" w:eastAsia="仿宋_GB2312"/>
                <w:color w:val="000000" w:themeColor="text1"/>
              </w:rPr>
              <w:t xml:space="preserve">97 </w:t>
            </w:r>
          </w:p>
        </w:tc>
        <w:tc>
          <w:tcPr>
            <w:tcW w:w="2656" w:type="dxa"/>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水土流失治理达标面积</w:t>
            </w:r>
          </w:p>
        </w:tc>
        <w:tc>
          <w:tcPr>
            <w:tcW w:w="982" w:type="dxa"/>
            <w:tcBorders>
              <w:tl2br w:val="nil"/>
              <w:tr2bl w:val="nil"/>
            </w:tcBorders>
            <w:vAlign w:val="center"/>
          </w:tcPr>
          <w:p>
            <w:pPr>
              <w:widowControl/>
              <w:spacing w:line="240" w:lineRule="auto"/>
              <w:jc w:val="center"/>
              <w:rPr>
                <w:rFonts w:eastAsia="仿宋_GB2312"/>
                <w:bCs/>
                <w:color w:val="000000" w:themeColor="text1"/>
                <w:sz w:val="21"/>
                <w:szCs w:val="21"/>
              </w:rPr>
            </w:pPr>
            <w:r>
              <w:rPr>
                <w:rFonts w:eastAsia="仿宋_GB2312"/>
                <w:bCs/>
                <w:color w:val="000000" w:themeColor="text1"/>
                <w:sz w:val="21"/>
                <w:szCs w:val="21"/>
              </w:rPr>
              <w:t>hm</w:t>
            </w:r>
            <w:r>
              <w:rPr>
                <w:rFonts w:eastAsia="仿宋_GB2312"/>
                <w:bCs/>
                <w:color w:val="000000" w:themeColor="text1"/>
                <w:sz w:val="21"/>
                <w:szCs w:val="21"/>
                <w:vertAlign w:val="superscript"/>
              </w:rPr>
              <w:t>2</w:t>
            </w:r>
          </w:p>
        </w:tc>
        <w:tc>
          <w:tcPr>
            <w:tcW w:w="1076" w:type="dxa"/>
            <w:tcBorders>
              <w:tl2br w:val="nil"/>
              <w:tr2bl w:val="nil"/>
            </w:tcBorders>
            <w:vAlign w:val="center"/>
          </w:tcPr>
          <w:p>
            <w:pPr>
              <w:spacing w:line="240" w:lineRule="auto"/>
              <w:jc w:val="center"/>
              <w:rPr>
                <w:rFonts w:hint="default" w:eastAsia="仿宋_GB2312"/>
                <w:bCs/>
                <w:color w:val="000000" w:themeColor="text1"/>
                <w:sz w:val="21"/>
                <w:szCs w:val="21"/>
                <w:lang w:val="en-US" w:eastAsia="zh-CN"/>
              </w:rPr>
            </w:pPr>
            <w:r>
              <w:rPr>
                <w:rFonts w:hint="eastAsia" w:eastAsia="仿宋_GB2312"/>
                <w:bCs/>
                <w:color w:val="000000" w:themeColor="text1"/>
                <w:sz w:val="21"/>
                <w:szCs w:val="21"/>
              </w:rPr>
              <w:t>1.</w:t>
            </w:r>
            <w:r>
              <w:rPr>
                <w:rFonts w:hint="eastAsia" w:eastAsia="仿宋_GB2312"/>
                <w:bCs/>
                <w:color w:val="000000" w:themeColor="text1"/>
                <w:sz w:val="21"/>
                <w:szCs w:val="21"/>
                <w:lang w:val="en-US" w:eastAsia="zh-CN"/>
              </w:rPr>
              <w:t>29</w:t>
            </w:r>
          </w:p>
        </w:tc>
        <w:tc>
          <w:tcPr>
            <w:tcW w:w="867" w:type="dxa"/>
            <w:vMerge w:val="restar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99</w:t>
            </w:r>
          </w:p>
        </w:tc>
        <w:tc>
          <w:tcPr>
            <w:tcW w:w="983" w:type="dxa"/>
            <w:vMerge w:val="restart"/>
            <w:tcBorders>
              <w:tl2br w:val="nil"/>
              <w:tr2bl w:val="nil"/>
            </w:tcBorders>
            <w:vAlign w:val="center"/>
          </w:tcPr>
          <w:p>
            <w:pPr>
              <w:widowControl/>
              <w:spacing w:line="240" w:lineRule="auto"/>
              <w:jc w:val="center"/>
              <w:rPr>
                <w:rFonts w:eastAsia="仿宋_GB2312"/>
                <w:bCs/>
                <w:color w:val="000000" w:themeColor="text1"/>
                <w:sz w:val="21"/>
                <w:szCs w:val="21"/>
              </w:rPr>
            </w:pPr>
            <w:r>
              <w:rPr>
                <w:rFonts w:eastAsia="仿宋_GB2312"/>
                <w:bCs/>
                <w:color w:val="000000" w:themeColor="text1"/>
                <w:sz w:val="21"/>
                <w:szCs w:val="21"/>
              </w:rPr>
              <w:t>达到</w:t>
            </w:r>
          </w:p>
          <w:p>
            <w:pPr>
              <w:spacing w:line="240" w:lineRule="auto"/>
              <w:jc w:val="center"/>
              <w:rPr>
                <w:rFonts w:eastAsia="仿宋_GB2312"/>
                <w:bCs/>
                <w:color w:val="000000" w:themeColor="text1"/>
                <w:sz w:val="21"/>
                <w:szCs w:val="21"/>
              </w:rPr>
            </w:pPr>
            <w:r>
              <w:rPr>
                <w:rFonts w:eastAsia="仿宋_GB2312"/>
                <w:bCs/>
                <w:color w:val="000000" w:themeColor="text1"/>
                <w:sz w:val="21"/>
                <w:szCs w:val="21"/>
              </w:rPr>
              <w:t>标准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0" w:type="dxa"/>
            <w:vMerge w:val="continue"/>
            <w:tcBorders>
              <w:tl2br w:val="nil"/>
              <w:tr2bl w:val="nil"/>
            </w:tcBorders>
            <w:vAlign w:val="center"/>
          </w:tcPr>
          <w:p>
            <w:pPr>
              <w:widowControl/>
              <w:spacing w:line="240" w:lineRule="auto"/>
              <w:jc w:val="center"/>
              <w:rPr>
                <w:rFonts w:eastAsia="仿宋_GB2312"/>
                <w:bCs/>
                <w:color w:val="000000" w:themeColor="text1"/>
                <w:sz w:val="21"/>
                <w:szCs w:val="21"/>
              </w:rPr>
            </w:pPr>
          </w:p>
        </w:tc>
        <w:tc>
          <w:tcPr>
            <w:tcW w:w="852" w:type="dxa"/>
            <w:vMerge w:val="continue"/>
            <w:tcBorders>
              <w:tl2br w:val="nil"/>
              <w:tr2bl w:val="nil"/>
            </w:tcBorders>
            <w:vAlign w:val="center"/>
          </w:tcPr>
          <w:p>
            <w:pPr>
              <w:widowControl/>
              <w:spacing w:line="240" w:lineRule="auto"/>
              <w:jc w:val="center"/>
              <w:rPr>
                <w:rFonts w:eastAsia="仿宋_GB2312"/>
                <w:bCs/>
                <w:color w:val="000000" w:themeColor="text1"/>
                <w:sz w:val="21"/>
                <w:szCs w:val="21"/>
              </w:rPr>
            </w:pPr>
          </w:p>
        </w:tc>
        <w:tc>
          <w:tcPr>
            <w:tcW w:w="2656" w:type="dxa"/>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水土流失总面积</w:t>
            </w:r>
          </w:p>
        </w:tc>
        <w:tc>
          <w:tcPr>
            <w:tcW w:w="982" w:type="dxa"/>
            <w:tcBorders>
              <w:tl2br w:val="nil"/>
              <w:tr2bl w:val="nil"/>
            </w:tcBorders>
            <w:vAlign w:val="center"/>
          </w:tcPr>
          <w:p>
            <w:pPr>
              <w:widowControl/>
              <w:spacing w:line="240" w:lineRule="auto"/>
              <w:jc w:val="center"/>
              <w:rPr>
                <w:rFonts w:eastAsia="仿宋_GB2312"/>
                <w:bCs/>
                <w:color w:val="000000" w:themeColor="text1"/>
                <w:sz w:val="21"/>
                <w:szCs w:val="21"/>
              </w:rPr>
            </w:pPr>
            <w:r>
              <w:rPr>
                <w:rFonts w:eastAsia="仿宋_GB2312"/>
                <w:bCs/>
                <w:color w:val="000000" w:themeColor="text1"/>
                <w:sz w:val="21"/>
                <w:szCs w:val="21"/>
              </w:rPr>
              <w:t>hm</w:t>
            </w:r>
            <w:r>
              <w:rPr>
                <w:rFonts w:eastAsia="仿宋_GB2312"/>
                <w:bCs/>
                <w:color w:val="000000" w:themeColor="text1"/>
                <w:sz w:val="21"/>
                <w:szCs w:val="21"/>
                <w:vertAlign w:val="superscript"/>
              </w:rPr>
              <w:t>2</w:t>
            </w:r>
          </w:p>
        </w:tc>
        <w:tc>
          <w:tcPr>
            <w:tcW w:w="1076" w:type="dxa"/>
            <w:tcBorders>
              <w:tl2br w:val="nil"/>
              <w:tr2bl w:val="nil"/>
            </w:tcBorders>
            <w:vAlign w:val="center"/>
          </w:tcPr>
          <w:p>
            <w:pPr>
              <w:spacing w:line="240" w:lineRule="auto"/>
              <w:jc w:val="center"/>
              <w:rPr>
                <w:rFonts w:hint="default" w:eastAsia="仿宋_GB2312"/>
                <w:bCs/>
                <w:color w:val="000000" w:themeColor="text1"/>
                <w:sz w:val="21"/>
                <w:szCs w:val="21"/>
                <w:lang w:val="en-US" w:eastAsia="zh-CN"/>
              </w:rPr>
            </w:pPr>
            <w:r>
              <w:rPr>
                <w:rFonts w:hint="eastAsia" w:eastAsia="仿宋_GB2312"/>
                <w:bCs/>
                <w:color w:val="000000" w:themeColor="text1"/>
                <w:sz w:val="21"/>
                <w:szCs w:val="21"/>
                <w:lang w:val="en-US" w:eastAsia="zh-CN"/>
              </w:rPr>
              <w:t>1.30</w:t>
            </w:r>
          </w:p>
        </w:tc>
        <w:tc>
          <w:tcPr>
            <w:tcW w:w="867" w:type="dxa"/>
            <w:vMerge w:val="continue"/>
            <w:tcBorders>
              <w:tl2br w:val="nil"/>
              <w:tr2bl w:val="nil"/>
            </w:tcBorders>
            <w:vAlign w:val="center"/>
          </w:tcPr>
          <w:p>
            <w:pPr>
              <w:widowControl/>
              <w:spacing w:line="240" w:lineRule="auto"/>
              <w:jc w:val="center"/>
              <w:rPr>
                <w:rFonts w:eastAsia="仿宋_GB2312"/>
                <w:bCs/>
                <w:color w:val="000000" w:themeColor="text1"/>
                <w:sz w:val="21"/>
                <w:szCs w:val="21"/>
              </w:rPr>
            </w:pPr>
          </w:p>
        </w:tc>
        <w:tc>
          <w:tcPr>
            <w:tcW w:w="983" w:type="dxa"/>
            <w:vMerge w:val="continue"/>
            <w:tcBorders>
              <w:tl2br w:val="nil"/>
              <w:tr2bl w:val="nil"/>
            </w:tcBorders>
            <w:vAlign w:val="center"/>
          </w:tcPr>
          <w:p>
            <w:pPr>
              <w:widowControl/>
              <w:spacing w:line="240" w:lineRule="auto"/>
              <w:jc w:val="center"/>
              <w:rPr>
                <w:rFonts w:eastAsia="仿宋_GB2312"/>
                <w:bCs/>
                <w:color w:val="000000" w:themeColor="text1"/>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0" w:type="dxa"/>
            <w:vMerge w:val="restart"/>
            <w:tcBorders>
              <w:tl2br w:val="nil"/>
              <w:tr2bl w:val="nil"/>
            </w:tcBorders>
            <w:vAlign w:val="center"/>
          </w:tcPr>
          <w:p>
            <w:pPr>
              <w:widowControl/>
              <w:spacing w:line="240" w:lineRule="auto"/>
              <w:jc w:val="center"/>
              <w:rPr>
                <w:rFonts w:eastAsia="仿宋_GB2312"/>
                <w:bCs/>
                <w:color w:val="000000" w:themeColor="text1"/>
                <w:sz w:val="21"/>
                <w:szCs w:val="21"/>
              </w:rPr>
            </w:pPr>
            <w:r>
              <w:rPr>
                <w:rFonts w:eastAsia="仿宋_GB2312"/>
                <w:bCs/>
                <w:color w:val="000000" w:themeColor="text1"/>
                <w:sz w:val="21"/>
                <w:szCs w:val="21"/>
              </w:rPr>
              <w:t>土壤流失控制比</w:t>
            </w:r>
          </w:p>
        </w:tc>
        <w:tc>
          <w:tcPr>
            <w:tcW w:w="852" w:type="dxa"/>
            <w:vMerge w:val="restart"/>
            <w:tcBorders>
              <w:tl2br w:val="nil"/>
              <w:tr2bl w:val="nil"/>
            </w:tcBorders>
            <w:vAlign w:val="center"/>
          </w:tcPr>
          <w:p>
            <w:pPr>
              <w:pStyle w:val="77"/>
              <w:rPr>
                <w:rFonts w:ascii="Times New Roman" w:hAnsi="Times New Roman" w:eastAsia="仿宋_GB2312"/>
                <w:bCs/>
                <w:color w:val="000000" w:themeColor="text1"/>
              </w:rPr>
            </w:pPr>
            <w:r>
              <w:rPr>
                <w:rFonts w:ascii="Times New Roman" w:hAnsi="Times New Roman" w:eastAsia="仿宋_GB2312"/>
                <w:color w:val="000000" w:themeColor="text1"/>
              </w:rPr>
              <w:t>1.0</w:t>
            </w:r>
          </w:p>
        </w:tc>
        <w:tc>
          <w:tcPr>
            <w:tcW w:w="2656" w:type="dxa"/>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土壤侵蚀模数容许值</w:t>
            </w:r>
          </w:p>
        </w:tc>
        <w:tc>
          <w:tcPr>
            <w:tcW w:w="982" w:type="dxa"/>
            <w:tcBorders>
              <w:tl2br w:val="nil"/>
              <w:tr2bl w:val="nil"/>
            </w:tcBorders>
            <w:vAlign w:val="center"/>
          </w:tcPr>
          <w:p>
            <w:pPr>
              <w:widowControl/>
              <w:spacing w:line="240" w:lineRule="auto"/>
              <w:jc w:val="center"/>
              <w:rPr>
                <w:rFonts w:eastAsia="仿宋_GB2312"/>
                <w:bCs/>
                <w:color w:val="000000" w:themeColor="text1"/>
                <w:sz w:val="21"/>
                <w:szCs w:val="21"/>
              </w:rPr>
            </w:pPr>
            <w:r>
              <w:rPr>
                <w:rFonts w:eastAsia="仿宋_GB2312"/>
                <w:bCs/>
                <w:color w:val="000000" w:themeColor="text1"/>
                <w:sz w:val="21"/>
                <w:szCs w:val="21"/>
              </w:rPr>
              <w:t>t/km</w:t>
            </w:r>
            <w:r>
              <w:rPr>
                <w:rFonts w:eastAsia="仿宋_GB2312"/>
                <w:bCs/>
                <w:color w:val="000000" w:themeColor="text1"/>
                <w:sz w:val="21"/>
                <w:szCs w:val="21"/>
                <w:vertAlign w:val="superscript"/>
              </w:rPr>
              <w:t>2</w:t>
            </w:r>
            <w:r>
              <w:rPr>
                <w:rFonts w:eastAsia="仿宋_GB2312"/>
                <w:bCs/>
                <w:color w:val="000000" w:themeColor="text1"/>
                <w:sz w:val="21"/>
                <w:szCs w:val="21"/>
              </w:rPr>
              <w:t>·a</w:t>
            </w:r>
          </w:p>
        </w:tc>
        <w:tc>
          <w:tcPr>
            <w:tcW w:w="1076" w:type="dxa"/>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200</w:t>
            </w:r>
          </w:p>
        </w:tc>
        <w:tc>
          <w:tcPr>
            <w:tcW w:w="867" w:type="dxa"/>
            <w:vMerge w:val="restar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1.0</w:t>
            </w:r>
          </w:p>
        </w:tc>
        <w:tc>
          <w:tcPr>
            <w:tcW w:w="983" w:type="dxa"/>
            <w:vMerge w:val="restart"/>
            <w:tcBorders>
              <w:tl2br w:val="nil"/>
              <w:tr2bl w:val="nil"/>
            </w:tcBorders>
            <w:vAlign w:val="center"/>
          </w:tcPr>
          <w:p>
            <w:pPr>
              <w:widowControl/>
              <w:spacing w:line="240" w:lineRule="auto"/>
              <w:jc w:val="center"/>
              <w:rPr>
                <w:rFonts w:eastAsia="仿宋_GB2312"/>
                <w:bCs/>
                <w:color w:val="000000" w:themeColor="text1"/>
                <w:sz w:val="21"/>
                <w:szCs w:val="21"/>
              </w:rPr>
            </w:pPr>
            <w:r>
              <w:rPr>
                <w:rFonts w:eastAsia="仿宋_GB2312"/>
                <w:bCs/>
                <w:color w:val="000000" w:themeColor="text1"/>
                <w:sz w:val="21"/>
                <w:szCs w:val="21"/>
              </w:rPr>
              <w:t>达到</w:t>
            </w:r>
          </w:p>
          <w:p>
            <w:pPr>
              <w:spacing w:line="240" w:lineRule="auto"/>
              <w:jc w:val="center"/>
              <w:rPr>
                <w:rFonts w:eastAsia="仿宋_GB2312"/>
                <w:bCs/>
                <w:color w:val="000000" w:themeColor="text1"/>
                <w:sz w:val="21"/>
                <w:szCs w:val="21"/>
              </w:rPr>
            </w:pPr>
            <w:r>
              <w:rPr>
                <w:rFonts w:eastAsia="仿宋_GB2312"/>
                <w:bCs/>
                <w:color w:val="000000" w:themeColor="text1"/>
                <w:sz w:val="21"/>
                <w:szCs w:val="21"/>
              </w:rPr>
              <w:t>标准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0" w:type="dxa"/>
            <w:vMerge w:val="continue"/>
            <w:tcBorders>
              <w:tl2br w:val="nil"/>
              <w:tr2bl w:val="nil"/>
            </w:tcBorders>
            <w:vAlign w:val="center"/>
          </w:tcPr>
          <w:p>
            <w:pPr>
              <w:widowControl/>
              <w:spacing w:line="240" w:lineRule="auto"/>
              <w:jc w:val="center"/>
              <w:rPr>
                <w:rFonts w:eastAsia="仿宋_GB2312"/>
                <w:bCs/>
                <w:color w:val="000000" w:themeColor="text1"/>
                <w:sz w:val="21"/>
                <w:szCs w:val="21"/>
                <w:highlight w:val="cyan"/>
              </w:rPr>
            </w:pPr>
          </w:p>
        </w:tc>
        <w:tc>
          <w:tcPr>
            <w:tcW w:w="852" w:type="dxa"/>
            <w:vMerge w:val="continue"/>
            <w:tcBorders>
              <w:tl2br w:val="nil"/>
              <w:tr2bl w:val="nil"/>
            </w:tcBorders>
            <w:vAlign w:val="center"/>
          </w:tcPr>
          <w:p>
            <w:pPr>
              <w:widowControl/>
              <w:spacing w:line="240" w:lineRule="auto"/>
              <w:jc w:val="center"/>
              <w:rPr>
                <w:rFonts w:eastAsia="仿宋_GB2312"/>
                <w:bCs/>
                <w:color w:val="000000" w:themeColor="text1"/>
                <w:sz w:val="21"/>
                <w:szCs w:val="21"/>
                <w:highlight w:val="cyan"/>
              </w:rPr>
            </w:pPr>
          </w:p>
        </w:tc>
        <w:tc>
          <w:tcPr>
            <w:tcW w:w="2656" w:type="dxa"/>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土壤侵蚀模数控制值</w:t>
            </w:r>
          </w:p>
        </w:tc>
        <w:tc>
          <w:tcPr>
            <w:tcW w:w="982" w:type="dxa"/>
            <w:tcBorders>
              <w:tl2br w:val="nil"/>
              <w:tr2bl w:val="nil"/>
            </w:tcBorders>
            <w:vAlign w:val="center"/>
          </w:tcPr>
          <w:p>
            <w:pPr>
              <w:widowControl/>
              <w:spacing w:line="240" w:lineRule="auto"/>
              <w:jc w:val="center"/>
              <w:rPr>
                <w:rFonts w:eastAsia="仿宋_GB2312"/>
                <w:bCs/>
                <w:color w:val="000000" w:themeColor="text1"/>
                <w:sz w:val="21"/>
                <w:szCs w:val="21"/>
              </w:rPr>
            </w:pPr>
            <w:r>
              <w:rPr>
                <w:rFonts w:eastAsia="仿宋_GB2312"/>
                <w:bCs/>
                <w:color w:val="000000" w:themeColor="text1"/>
                <w:sz w:val="21"/>
                <w:szCs w:val="21"/>
              </w:rPr>
              <w:t>t/km</w:t>
            </w:r>
            <w:r>
              <w:rPr>
                <w:rFonts w:eastAsia="仿宋_GB2312"/>
                <w:bCs/>
                <w:color w:val="000000" w:themeColor="text1"/>
                <w:sz w:val="21"/>
                <w:szCs w:val="21"/>
                <w:vertAlign w:val="superscript"/>
              </w:rPr>
              <w:t>2</w:t>
            </w:r>
            <w:r>
              <w:rPr>
                <w:rFonts w:eastAsia="仿宋_GB2312"/>
                <w:bCs/>
                <w:color w:val="000000" w:themeColor="text1"/>
                <w:sz w:val="21"/>
                <w:szCs w:val="21"/>
              </w:rPr>
              <w:t>·a</w:t>
            </w:r>
          </w:p>
        </w:tc>
        <w:tc>
          <w:tcPr>
            <w:tcW w:w="1076" w:type="dxa"/>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200</w:t>
            </w:r>
          </w:p>
        </w:tc>
        <w:tc>
          <w:tcPr>
            <w:tcW w:w="867" w:type="dxa"/>
            <w:vMerge w:val="continue"/>
            <w:tcBorders>
              <w:tl2br w:val="nil"/>
              <w:tr2bl w:val="nil"/>
            </w:tcBorders>
            <w:vAlign w:val="center"/>
          </w:tcPr>
          <w:p>
            <w:pPr>
              <w:widowControl/>
              <w:spacing w:line="240" w:lineRule="auto"/>
              <w:jc w:val="center"/>
              <w:rPr>
                <w:rFonts w:eastAsia="仿宋_GB2312"/>
                <w:bCs/>
                <w:color w:val="000000" w:themeColor="text1"/>
                <w:sz w:val="21"/>
                <w:szCs w:val="21"/>
                <w:highlight w:val="cyan"/>
              </w:rPr>
            </w:pPr>
          </w:p>
        </w:tc>
        <w:tc>
          <w:tcPr>
            <w:tcW w:w="983" w:type="dxa"/>
            <w:vMerge w:val="continue"/>
            <w:tcBorders>
              <w:tl2br w:val="nil"/>
              <w:tr2bl w:val="nil"/>
            </w:tcBorders>
            <w:vAlign w:val="center"/>
          </w:tcPr>
          <w:p>
            <w:pPr>
              <w:widowControl/>
              <w:spacing w:line="240" w:lineRule="auto"/>
              <w:jc w:val="center"/>
              <w:rPr>
                <w:rFonts w:eastAsia="仿宋_GB2312"/>
                <w:bCs/>
                <w:color w:val="000000" w:themeColor="text1"/>
                <w:sz w:val="21"/>
                <w:szCs w:val="21"/>
                <w:highlight w:val="cya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0" w:type="dxa"/>
            <w:vMerge w:val="restart"/>
            <w:tcBorders>
              <w:tl2br w:val="nil"/>
              <w:tr2bl w:val="nil"/>
            </w:tcBorders>
            <w:vAlign w:val="center"/>
          </w:tcPr>
          <w:p>
            <w:pPr>
              <w:widowControl/>
              <w:spacing w:line="240" w:lineRule="auto"/>
              <w:jc w:val="center"/>
              <w:rPr>
                <w:rFonts w:eastAsia="仿宋_GB2312"/>
                <w:bCs/>
                <w:color w:val="000000" w:themeColor="text1"/>
                <w:sz w:val="21"/>
                <w:szCs w:val="21"/>
              </w:rPr>
            </w:pPr>
            <w:r>
              <w:rPr>
                <w:rFonts w:eastAsia="仿宋_GB2312"/>
                <w:bCs/>
                <w:color w:val="000000" w:themeColor="text1"/>
                <w:sz w:val="21"/>
                <w:szCs w:val="21"/>
              </w:rPr>
              <w:t>渣土防护率（%）</w:t>
            </w:r>
          </w:p>
        </w:tc>
        <w:tc>
          <w:tcPr>
            <w:tcW w:w="852" w:type="dxa"/>
            <w:vMerge w:val="restart"/>
            <w:tcBorders>
              <w:tl2br w:val="nil"/>
              <w:tr2bl w:val="nil"/>
            </w:tcBorders>
            <w:vAlign w:val="center"/>
          </w:tcPr>
          <w:p>
            <w:pPr>
              <w:pStyle w:val="77"/>
              <w:rPr>
                <w:rFonts w:ascii="Times New Roman" w:hAnsi="Times New Roman" w:eastAsia="仿宋_GB2312"/>
                <w:bCs/>
                <w:color w:val="000000" w:themeColor="text1"/>
              </w:rPr>
            </w:pPr>
            <w:r>
              <w:rPr>
                <w:rFonts w:ascii="Times New Roman" w:hAnsi="Times New Roman" w:eastAsia="仿宋_GB2312"/>
                <w:color w:val="000000" w:themeColor="text1"/>
              </w:rPr>
              <w:t>98</w:t>
            </w:r>
          </w:p>
        </w:tc>
        <w:tc>
          <w:tcPr>
            <w:tcW w:w="2656" w:type="dxa"/>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采取措施防护的临时堆土</w:t>
            </w:r>
          </w:p>
        </w:tc>
        <w:tc>
          <w:tcPr>
            <w:tcW w:w="982" w:type="dxa"/>
            <w:tcBorders>
              <w:tl2br w:val="nil"/>
              <w:tr2bl w:val="nil"/>
            </w:tcBorders>
            <w:vAlign w:val="center"/>
          </w:tcPr>
          <w:p>
            <w:pPr>
              <w:widowControl/>
              <w:spacing w:line="240" w:lineRule="auto"/>
              <w:jc w:val="center"/>
              <w:rPr>
                <w:rFonts w:eastAsia="仿宋_GB2312"/>
                <w:bCs/>
                <w:color w:val="000000" w:themeColor="text1"/>
                <w:sz w:val="21"/>
                <w:szCs w:val="21"/>
              </w:rPr>
            </w:pPr>
            <w:r>
              <w:rPr>
                <w:rFonts w:eastAsia="仿宋_GB2312"/>
                <w:bCs/>
                <w:color w:val="000000" w:themeColor="text1"/>
                <w:sz w:val="21"/>
                <w:szCs w:val="21"/>
              </w:rPr>
              <w:t>万m</w:t>
            </w:r>
            <w:r>
              <w:rPr>
                <w:rFonts w:eastAsia="仿宋_GB2312"/>
                <w:bCs/>
                <w:color w:val="000000" w:themeColor="text1"/>
                <w:sz w:val="21"/>
                <w:szCs w:val="21"/>
                <w:vertAlign w:val="superscript"/>
              </w:rPr>
              <w:t>3</w:t>
            </w:r>
          </w:p>
        </w:tc>
        <w:tc>
          <w:tcPr>
            <w:tcW w:w="1076" w:type="dxa"/>
            <w:tcBorders>
              <w:tl2br w:val="nil"/>
              <w:tr2bl w:val="nil"/>
            </w:tcBorders>
            <w:vAlign w:val="center"/>
          </w:tcPr>
          <w:p>
            <w:pPr>
              <w:spacing w:line="240" w:lineRule="auto"/>
              <w:jc w:val="center"/>
              <w:rPr>
                <w:rFonts w:hint="default" w:eastAsia="仿宋_GB2312"/>
                <w:bCs/>
                <w:color w:val="000000" w:themeColor="text1"/>
                <w:sz w:val="21"/>
                <w:szCs w:val="21"/>
                <w:lang w:val="en-US" w:eastAsia="zh-CN"/>
              </w:rPr>
            </w:pPr>
            <w:r>
              <w:rPr>
                <w:rFonts w:hint="eastAsia" w:eastAsia="仿宋_GB2312"/>
                <w:bCs/>
                <w:color w:val="000000" w:themeColor="text1"/>
                <w:sz w:val="21"/>
                <w:szCs w:val="21"/>
              </w:rPr>
              <w:t>0.</w:t>
            </w:r>
            <w:r>
              <w:rPr>
                <w:rFonts w:hint="eastAsia" w:eastAsia="仿宋_GB2312"/>
                <w:bCs/>
                <w:color w:val="000000" w:themeColor="text1"/>
                <w:sz w:val="21"/>
                <w:szCs w:val="21"/>
                <w:lang w:val="en-US" w:eastAsia="zh-CN"/>
              </w:rPr>
              <w:t>30</w:t>
            </w:r>
          </w:p>
        </w:tc>
        <w:tc>
          <w:tcPr>
            <w:tcW w:w="867" w:type="dxa"/>
            <w:vMerge w:val="restar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98</w:t>
            </w:r>
          </w:p>
        </w:tc>
        <w:tc>
          <w:tcPr>
            <w:tcW w:w="983" w:type="dxa"/>
            <w:vMerge w:val="restart"/>
            <w:tcBorders>
              <w:tl2br w:val="nil"/>
              <w:tr2bl w:val="nil"/>
            </w:tcBorders>
            <w:vAlign w:val="center"/>
          </w:tcPr>
          <w:p>
            <w:pPr>
              <w:widowControl/>
              <w:spacing w:line="240" w:lineRule="auto"/>
              <w:jc w:val="center"/>
              <w:rPr>
                <w:rFonts w:eastAsia="仿宋_GB2312"/>
                <w:bCs/>
                <w:color w:val="000000" w:themeColor="text1"/>
                <w:sz w:val="21"/>
                <w:szCs w:val="21"/>
              </w:rPr>
            </w:pPr>
            <w:r>
              <w:rPr>
                <w:rFonts w:eastAsia="仿宋_GB2312"/>
                <w:bCs/>
                <w:color w:val="000000" w:themeColor="text1"/>
                <w:sz w:val="21"/>
                <w:szCs w:val="21"/>
              </w:rPr>
              <w:t>达到</w:t>
            </w:r>
          </w:p>
          <w:p>
            <w:pPr>
              <w:spacing w:line="240" w:lineRule="auto"/>
              <w:jc w:val="center"/>
              <w:rPr>
                <w:rFonts w:eastAsia="仿宋_GB2312"/>
                <w:bCs/>
                <w:color w:val="000000" w:themeColor="text1"/>
                <w:sz w:val="21"/>
                <w:szCs w:val="21"/>
              </w:rPr>
            </w:pPr>
            <w:r>
              <w:rPr>
                <w:rFonts w:eastAsia="仿宋_GB2312"/>
                <w:bCs/>
                <w:color w:val="000000" w:themeColor="text1"/>
                <w:sz w:val="21"/>
                <w:szCs w:val="21"/>
              </w:rPr>
              <w:t>标准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0" w:type="dxa"/>
            <w:vMerge w:val="continue"/>
            <w:tcBorders>
              <w:tl2br w:val="nil"/>
              <w:tr2bl w:val="nil"/>
            </w:tcBorders>
            <w:vAlign w:val="center"/>
          </w:tcPr>
          <w:p>
            <w:pPr>
              <w:widowControl/>
              <w:spacing w:line="240" w:lineRule="auto"/>
              <w:jc w:val="center"/>
              <w:rPr>
                <w:rFonts w:eastAsia="仿宋_GB2312"/>
                <w:bCs/>
                <w:color w:val="000000" w:themeColor="text1"/>
                <w:sz w:val="21"/>
                <w:szCs w:val="21"/>
              </w:rPr>
            </w:pPr>
          </w:p>
        </w:tc>
        <w:tc>
          <w:tcPr>
            <w:tcW w:w="852" w:type="dxa"/>
            <w:vMerge w:val="continue"/>
            <w:tcBorders>
              <w:tl2br w:val="nil"/>
              <w:tr2bl w:val="nil"/>
            </w:tcBorders>
            <w:vAlign w:val="center"/>
          </w:tcPr>
          <w:p>
            <w:pPr>
              <w:widowControl/>
              <w:spacing w:line="240" w:lineRule="auto"/>
              <w:jc w:val="center"/>
              <w:rPr>
                <w:rFonts w:eastAsia="仿宋_GB2312"/>
                <w:bCs/>
                <w:color w:val="000000" w:themeColor="text1"/>
                <w:sz w:val="21"/>
                <w:szCs w:val="21"/>
              </w:rPr>
            </w:pPr>
          </w:p>
        </w:tc>
        <w:tc>
          <w:tcPr>
            <w:tcW w:w="2656" w:type="dxa"/>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临时堆土总量</w:t>
            </w:r>
          </w:p>
        </w:tc>
        <w:tc>
          <w:tcPr>
            <w:tcW w:w="982" w:type="dxa"/>
            <w:tcBorders>
              <w:tl2br w:val="nil"/>
              <w:tr2bl w:val="nil"/>
            </w:tcBorders>
            <w:vAlign w:val="center"/>
          </w:tcPr>
          <w:p>
            <w:pPr>
              <w:widowControl/>
              <w:spacing w:line="240" w:lineRule="auto"/>
              <w:jc w:val="center"/>
              <w:rPr>
                <w:rFonts w:eastAsia="仿宋_GB2312"/>
                <w:bCs/>
                <w:color w:val="000000" w:themeColor="text1"/>
                <w:sz w:val="21"/>
                <w:szCs w:val="21"/>
              </w:rPr>
            </w:pPr>
            <w:r>
              <w:rPr>
                <w:rFonts w:eastAsia="仿宋_GB2312"/>
                <w:bCs/>
                <w:color w:val="000000" w:themeColor="text1"/>
                <w:sz w:val="21"/>
                <w:szCs w:val="21"/>
              </w:rPr>
              <w:t>万m</w:t>
            </w:r>
            <w:r>
              <w:rPr>
                <w:rFonts w:eastAsia="仿宋_GB2312"/>
                <w:bCs/>
                <w:color w:val="000000" w:themeColor="text1"/>
                <w:sz w:val="21"/>
                <w:szCs w:val="21"/>
                <w:vertAlign w:val="superscript"/>
              </w:rPr>
              <w:t>3</w:t>
            </w:r>
          </w:p>
        </w:tc>
        <w:tc>
          <w:tcPr>
            <w:tcW w:w="1076" w:type="dxa"/>
            <w:tcBorders>
              <w:tl2br w:val="nil"/>
              <w:tr2bl w:val="nil"/>
            </w:tcBorders>
            <w:vAlign w:val="center"/>
          </w:tcPr>
          <w:p>
            <w:pPr>
              <w:spacing w:line="240" w:lineRule="auto"/>
              <w:jc w:val="center"/>
              <w:rPr>
                <w:rFonts w:hint="default" w:eastAsia="仿宋_GB2312"/>
                <w:bCs/>
                <w:color w:val="000000" w:themeColor="text1"/>
                <w:sz w:val="21"/>
                <w:szCs w:val="21"/>
                <w:lang w:val="en-US" w:eastAsia="zh-CN"/>
              </w:rPr>
            </w:pPr>
            <w:r>
              <w:rPr>
                <w:rFonts w:hint="eastAsia" w:eastAsia="仿宋_GB2312"/>
                <w:bCs/>
                <w:color w:val="000000" w:themeColor="text1"/>
                <w:sz w:val="21"/>
                <w:szCs w:val="21"/>
              </w:rPr>
              <w:t>0.</w:t>
            </w:r>
            <w:r>
              <w:rPr>
                <w:rFonts w:hint="eastAsia" w:eastAsia="仿宋_GB2312"/>
                <w:bCs/>
                <w:color w:val="000000" w:themeColor="text1"/>
                <w:sz w:val="21"/>
                <w:szCs w:val="21"/>
                <w:lang w:val="en-US" w:eastAsia="zh-CN"/>
              </w:rPr>
              <w:t>30</w:t>
            </w:r>
          </w:p>
        </w:tc>
        <w:tc>
          <w:tcPr>
            <w:tcW w:w="867" w:type="dxa"/>
            <w:vMerge w:val="continue"/>
            <w:tcBorders>
              <w:tl2br w:val="nil"/>
              <w:tr2bl w:val="nil"/>
            </w:tcBorders>
            <w:vAlign w:val="center"/>
          </w:tcPr>
          <w:p>
            <w:pPr>
              <w:widowControl/>
              <w:spacing w:line="240" w:lineRule="auto"/>
              <w:jc w:val="center"/>
              <w:rPr>
                <w:rFonts w:eastAsia="仿宋_GB2312"/>
                <w:bCs/>
                <w:color w:val="000000" w:themeColor="text1"/>
                <w:sz w:val="21"/>
                <w:szCs w:val="21"/>
              </w:rPr>
            </w:pPr>
          </w:p>
        </w:tc>
        <w:tc>
          <w:tcPr>
            <w:tcW w:w="983" w:type="dxa"/>
            <w:vMerge w:val="continue"/>
            <w:tcBorders>
              <w:tl2br w:val="nil"/>
              <w:tr2bl w:val="nil"/>
            </w:tcBorders>
            <w:vAlign w:val="center"/>
          </w:tcPr>
          <w:p>
            <w:pPr>
              <w:widowControl/>
              <w:spacing w:line="240" w:lineRule="auto"/>
              <w:jc w:val="center"/>
              <w:rPr>
                <w:rFonts w:eastAsia="仿宋_GB2312"/>
                <w:bCs/>
                <w:color w:val="000000" w:themeColor="text1"/>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0" w:type="dxa"/>
            <w:vMerge w:val="restart"/>
            <w:tcBorders>
              <w:tl2br w:val="nil"/>
              <w:tr2bl w:val="nil"/>
            </w:tcBorders>
            <w:vAlign w:val="center"/>
          </w:tcPr>
          <w:p>
            <w:pPr>
              <w:widowControl/>
              <w:spacing w:line="240" w:lineRule="auto"/>
              <w:jc w:val="center"/>
              <w:rPr>
                <w:rFonts w:eastAsia="仿宋_GB2312"/>
                <w:bCs/>
                <w:color w:val="000000" w:themeColor="text1"/>
                <w:sz w:val="21"/>
                <w:szCs w:val="21"/>
              </w:rPr>
            </w:pPr>
            <w:r>
              <w:rPr>
                <w:rFonts w:eastAsia="仿宋_GB2312"/>
                <w:bCs/>
                <w:color w:val="000000" w:themeColor="text1"/>
                <w:sz w:val="21"/>
                <w:szCs w:val="21"/>
              </w:rPr>
              <w:t>林草植被恢复率（%）</w:t>
            </w:r>
          </w:p>
        </w:tc>
        <w:tc>
          <w:tcPr>
            <w:tcW w:w="852" w:type="dxa"/>
            <w:vMerge w:val="restart"/>
            <w:tcBorders>
              <w:tl2br w:val="nil"/>
              <w:tr2bl w:val="nil"/>
            </w:tcBorders>
            <w:vAlign w:val="center"/>
          </w:tcPr>
          <w:p>
            <w:pPr>
              <w:pStyle w:val="77"/>
              <w:rPr>
                <w:rFonts w:ascii="Times New Roman" w:hAnsi="Times New Roman" w:eastAsia="仿宋_GB2312"/>
                <w:bCs/>
                <w:color w:val="000000" w:themeColor="text1"/>
              </w:rPr>
            </w:pPr>
            <w:r>
              <w:rPr>
                <w:rFonts w:ascii="Times New Roman" w:hAnsi="Times New Roman" w:eastAsia="仿宋_GB2312"/>
                <w:color w:val="000000" w:themeColor="text1"/>
              </w:rPr>
              <w:t>97</w:t>
            </w:r>
          </w:p>
        </w:tc>
        <w:tc>
          <w:tcPr>
            <w:tcW w:w="2656" w:type="dxa"/>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林草植被面积</w:t>
            </w:r>
          </w:p>
        </w:tc>
        <w:tc>
          <w:tcPr>
            <w:tcW w:w="982" w:type="dxa"/>
            <w:tcBorders>
              <w:tl2br w:val="nil"/>
              <w:tr2bl w:val="nil"/>
            </w:tcBorders>
            <w:vAlign w:val="center"/>
          </w:tcPr>
          <w:p>
            <w:pPr>
              <w:widowControl/>
              <w:spacing w:line="240" w:lineRule="auto"/>
              <w:jc w:val="center"/>
              <w:rPr>
                <w:rFonts w:eastAsia="仿宋_GB2312"/>
                <w:bCs/>
                <w:color w:val="000000" w:themeColor="text1"/>
                <w:sz w:val="21"/>
                <w:szCs w:val="21"/>
              </w:rPr>
            </w:pPr>
            <w:r>
              <w:rPr>
                <w:rFonts w:eastAsia="仿宋_GB2312"/>
                <w:bCs/>
                <w:color w:val="000000" w:themeColor="text1"/>
                <w:sz w:val="21"/>
                <w:szCs w:val="21"/>
              </w:rPr>
              <w:t>hm</w:t>
            </w:r>
            <w:r>
              <w:rPr>
                <w:rFonts w:eastAsia="仿宋_GB2312"/>
                <w:bCs/>
                <w:color w:val="000000" w:themeColor="text1"/>
                <w:sz w:val="21"/>
                <w:szCs w:val="21"/>
                <w:vertAlign w:val="superscript"/>
              </w:rPr>
              <w:t>2</w:t>
            </w:r>
          </w:p>
        </w:tc>
        <w:tc>
          <w:tcPr>
            <w:tcW w:w="1076" w:type="dxa"/>
            <w:tcBorders>
              <w:tl2br w:val="nil"/>
              <w:tr2bl w:val="nil"/>
            </w:tcBorders>
            <w:vAlign w:val="center"/>
          </w:tcPr>
          <w:p>
            <w:pPr>
              <w:spacing w:line="240" w:lineRule="auto"/>
              <w:jc w:val="center"/>
              <w:rPr>
                <w:rFonts w:eastAsia="仿宋_GB2312"/>
                <w:bCs/>
                <w:color w:val="000000" w:themeColor="text1"/>
                <w:sz w:val="21"/>
                <w:szCs w:val="21"/>
              </w:rPr>
            </w:pPr>
            <w:r>
              <w:rPr>
                <w:rFonts w:hint="eastAsia" w:eastAsia="仿宋_GB2312"/>
                <w:bCs/>
                <w:color w:val="000000" w:themeColor="text1"/>
                <w:sz w:val="21"/>
                <w:szCs w:val="21"/>
              </w:rPr>
              <w:t>0.604</w:t>
            </w:r>
          </w:p>
        </w:tc>
        <w:tc>
          <w:tcPr>
            <w:tcW w:w="867" w:type="dxa"/>
            <w:vMerge w:val="restart"/>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99</w:t>
            </w:r>
          </w:p>
        </w:tc>
        <w:tc>
          <w:tcPr>
            <w:tcW w:w="983" w:type="dxa"/>
            <w:vMerge w:val="restart"/>
            <w:tcBorders>
              <w:tl2br w:val="nil"/>
              <w:tr2bl w:val="nil"/>
            </w:tcBorders>
            <w:vAlign w:val="center"/>
          </w:tcPr>
          <w:p>
            <w:pPr>
              <w:widowControl/>
              <w:spacing w:line="240" w:lineRule="auto"/>
              <w:jc w:val="center"/>
              <w:rPr>
                <w:rFonts w:eastAsia="仿宋_GB2312"/>
                <w:bCs/>
                <w:color w:val="000000" w:themeColor="text1"/>
                <w:sz w:val="21"/>
                <w:szCs w:val="21"/>
              </w:rPr>
            </w:pPr>
            <w:r>
              <w:rPr>
                <w:rFonts w:eastAsia="仿宋_GB2312"/>
                <w:bCs/>
                <w:color w:val="000000" w:themeColor="text1"/>
                <w:sz w:val="21"/>
                <w:szCs w:val="21"/>
              </w:rPr>
              <w:t>达到</w:t>
            </w:r>
          </w:p>
          <w:p>
            <w:pPr>
              <w:widowControl/>
              <w:spacing w:line="240" w:lineRule="auto"/>
              <w:jc w:val="center"/>
              <w:rPr>
                <w:rFonts w:eastAsia="仿宋_GB2312"/>
                <w:bCs/>
                <w:color w:val="000000" w:themeColor="text1"/>
                <w:sz w:val="21"/>
                <w:szCs w:val="21"/>
              </w:rPr>
            </w:pPr>
            <w:r>
              <w:rPr>
                <w:rFonts w:eastAsia="仿宋_GB2312"/>
                <w:bCs/>
                <w:color w:val="000000" w:themeColor="text1"/>
                <w:sz w:val="21"/>
                <w:szCs w:val="21"/>
              </w:rPr>
              <w:t>标准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0" w:type="dxa"/>
            <w:vMerge w:val="continue"/>
            <w:tcBorders>
              <w:tl2br w:val="nil"/>
              <w:tr2bl w:val="nil"/>
            </w:tcBorders>
            <w:vAlign w:val="center"/>
          </w:tcPr>
          <w:p>
            <w:pPr>
              <w:widowControl/>
              <w:spacing w:line="240" w:lineRule="auto"/>
              <w:jc w:val="center"/>
              <w:rPr>
                <w:rFonts w:eastAsia="仿宋_GB2312"/>
                <w:bCs/>
                <w:color w:val="000000" w:themeColor="text1"/>
                <w:sz w:val="21"/>
                <w:szCs w:val="21"/>
                <w:highlight w:val="cyan"/>
              </w:rPr>
            </w:pPr>
          </w:p>
        </w:tc>
        <w:tc>
          <w:tcPr>
            <w:tcW w:w="852" w:type="dxa"/>
            <w:vMerge w:val="continue"/>
            <w:tcBorders>
              <w:tl2br w:val="nil"/>
              <w:tr2bl w:val="nil"/>
            </w:tcBorders>
            <w:vAlign w:val="center"/>
          </w:tcPr>
          <w:p>
            <w:pPr>
              <w:widowControl/>
              <w:spacing w:line="240" w:lineRule="auto"/>
              <w:jc w:val="center"/>
              <w:rPr>
                <w:rFonts w:eastAsia="仿宋_GB2312"/>
                <w:bCs/>
                <w:color w:val="000000" w:themeColor="text1"/>
                <w:sz w:val="21"/>
                <w:szCs w:val="21"/>
                <w:highlight w:val="cyan"/>
              </w:rPr>
            </w:pPr>
          </w:p>
        </w:tc>
        <w:tc>
          <w:tcPr>
            <w:tcW w:w="2656" w:type="dxa"/>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可恢复林草植被面积</w:t>
            </w:r>
          </w:p>
        </w:tc>
        <w:tc>
          <w:tcPr>
            <w:tcW w:w="982" w:type="dxa"/>
            <w:tcBorders>
              <w:tl2br w:val="nil"/>
              <w:tr2bl w:val="nil"/>
            </w:tcBorders>
            <w:vAlign w:val="center"/>
          </w:tcPr>
          <w:p>
            <w:pPr>
              <w:widowControl/>
              <w:spacing w:line="240" w:lineRule="auto"/>
              <w:jc w:val="center"/>
              <w:rPr>
                <w:rFonts w:eastAsia="仿宋_GB2312"/>
                <w:bCs/>
                <w:color w:val="000000" w:themeColor="text1"/>
                <w:sz w:val="21"/>
                <w:szCs w:val="21"/>
              </w:rPr>
            </w:pPr>
            <w:r>
              <w:rPr>
                <w:rFonts w:eastAsia="仿宋_GB2312"/>
                <w:bCs/>
                <w:color w:val="000000" w:themeColor="text1"/>
                <w:sz w:val="21"/>
                <w:szCs w:val="21"/>
              </w:rPr>
              <w:t>hm</w:t>
            </w:r>
            <w:r>
              <w:rPr>
                <w:rFonts w:eastAsia="仿宋_GB2312"/>
                <w:bCs/>
                <w:color w:val="000000" w:themeColor="text1"/>
                <w:sz w:val="21"/>
                <w:szCs w:val="21"/>
                <w:vertAlign w:val="superscript"/>
              </w:rPr>
              <w:t>2</w:t>
            </w:r>
          </w:p>
        </w:tc>
        <w:tc>
          <w:tcPr>
            <w:tcW w:w="1076" w:type="dxa"/>
            <w:tcBorders>
              <w:tl2br w:val="nil"/>
              <w:tr2bl w:val="nil"/>
            </w:tcBorders>
            <w:vAlign w:val="center"/>
          </w:tcPr>
          <w:p>
            <w:pPr>
              <w:spacing w:line="240" w:lineRule="auto"/>
              <w:jc w:val="center"/>
              <w:rPr>
                <w:rFonts w:eastAsia="仿宋_GB2312"/>
                <w:bCs/>
                <w:color w:val="000000" w:themeColor="text1"/>
                <w:sz w:val="21"/>
                <w:szCs w:val="21"/>
              </w:rPr>
            </w:pPr>
            <w:r>
              <w:rPr>
                <w:rFonts w:hint="eastAsia" w:eastAsia="仿宋_GB2312"/>
                <w:bCs/>
                <w:color w:val="000000" w:themeColor="text1"/>
                <w:sz w:val="21"/>
                <w:szCs w:val="21"/>
              </w:rPr>
              <w:t>0.61</w:t>
            </w:r>
          </w:p>
        </w:tc>
        <w:tc>
          <w:tcPr>
            <w:tcW w:w="867" w:type="dxa"/>
            <w:vMerge w:val="continue"/>
            <w:tcBorders>
              <w:tl2br w:val="nil"/>
              <w:tr2bl w:val="nil"/>
            </w:tcBorders>
            <w:vAlign w:val="center"/>
          </w:tcPr>
          <w:p>
            <w:pPr>
              <w:widowControl/>
              <w:spacing w:line="240" w:lineRule="auto"/>
              <w:jc w:val="center"/>
              <w:rPr>
                <w:rFonts w:eastAsia="仿宋_GB2312"/>
                <w:bCs/>
                <w:color w:val="000000" w:themeColor="text1"/>
                <w:sz w:val="21"/>
                <w:szCs w:val="21"/>
                <w:highlight w:val="cyan"/>
              </w:rPr>
            </w:pPr>
          </w:p>
        </w:tc>
        <w:tc>
          <w:tcPr>
            <w:tcW w:w="983" w:type="dxa"/>
            <w:vMerge w:val="continue"/>
            <w:tcBorders>
              <w:tl2br w:val="nil"/>
              <w:tr2bl w:val="nil"/>
            </w:tcBorders>
            <w:vAlign w:val="center"/>
          </w:tcPr>
          <w:p>
            <w:pPr>
              <w:widowControl/>
              <w:spacing w:line="240" w:lineRule="auto"/>
              <w:jc w:val="center"/>
              <w:rPr>
                <w:rFonts w:eastAsia="仿宋_GB2312"/>
                <w:bCs/>
                <w:color w:val="000000" w:themeColor="text1"/>
                <w:sz w:val="21"/>
                <w:szCs w:val="21"/>
                <w:highlight w:val="cya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0" w:type="dxa"/>
            <w:vMerge w:val="restart"/>
            <w:tcBorders>
              <w:tl2br w:val="nil"/>
              <w:tr2bl w:val="nil"/>
            </w:tcBorders>
            <w:vAlign w:val="center"/>
          </w:tcPr>
          <w:p>
            <w:pPr>
              <w:widowControl/>
              <w:spacing w:line="240" w:lineRule="auto"/>
              <w:jc w:val="center"/>
              <w:rPr>
                <w:rFonts w:eastAsia="仿宋_GB2312"/>
                <w:bCs/>
                <w:color w:val="000000" w:themeColor="text1"/>
                <w:sz w:val="21"/>
                <w:szCs w:val="21"/>
              </w:rPr>
            </w:pPr>
            <w:r>
              <w:rPr>
                <w:rFonts w:eastAsia="仿宋_GB2312"/>
                <w:bCs/>
                <w:color w:val="000000" w:themeColor="text1"/>
                <w:sz w:val="21"/>
                <w:szCs w:val="21"/>
              </w:rPr>
              <w:t>林草覆盖率（%）</w:t>
            </w:r>
          </w:p>
        </w:tc>
        <w:tc>
          <w:tcPr>
            <w:tcW w:w="852" w:type="dxa"/>
            <w:vMerge w:val="restart"/>
            <w:tcBorders>
              <w:tl2br w:val="nil"/>
              <w:tr2bl w:val="nil"/>
            </w:tcBorders>
            <w:vAlign w:val="center"/>
          </w:tcPr>
          <w:p>
            <w:pPr>
              <w:pStyle w:val="77"/>
              <w:rPr>
                <w:rFonts w:ascii="Times New Roman" w:hAnsi="Times New Roman" w:eastAsia="仿宋_GB2312"/>
                <w:bCs/>
                <w:color w:val="000000" w:themeColor="text1"/>
              </w:rPr>
            </w:pPr>
            <w:r>
              <w:rPr>
                <w:rFonts w:hint="eastAsia" w:ascii="Times New Roman" w:hAnsi="Times New Roman" w:eastAsia="仿宋_GB2312"/>
                <w:bCs/>
                <w:color w:val="000000" w:themeColor="text1"/>
              </w:rPr>
              <w:t>26</w:t>
            </w:r>
          </w:p>
        </w:tc>
        <w:tc>
          <w:tcPr>
            <w:tcW w:w="2656" w:type="dxa"/>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林草植被面积</w:t>
            </w:r>
          </w:p>
        </w:tc>
        <w:tc>
          <w:tcPr>
            <w:tcW w:w="982" w:type="dxa"/>
            <w:tcBorders>
              <w:tl2br w:val="nil"/>
              <w:tr2bl w:val="nil"/>
            </w:tcBorders>
            <w:vAlign w:val="center"/>
          </w:tcPr>
          <w:p>
            <w:pPr>
              <w:widowControl/>
              <w:spacing w:line="240" w:lineRule="auto"/>
              <w:jc w:val="center"/>
              <w:rPr>
                <w:rFonts w:eastAsia="仿宋_GB2312"/>
                <w:bCs/>
                <w:color w:val="000000" w:themeColor="text1"/>
                <w:sz w:val="21"/>
                <w:szCs w:val="21"/>
              </w:rPr>
            </w:pPr>
            <w:r>
              <w:rPr>
                <w:rFonts w:eastAsia="仿宋_GB2312"/>
                <w:bCs/>
                <w:color w:val="000000" w:themeColor="text1"/>
                <w:sz w:val="21"/>
                <w:szCs w:val="21"/>
              </w:rPr>
              <w:t>hm</w:t>
            </w:r>
            <w:r>
              <w:rPr>
                <w:rFonts w:eastAsia="仿宋_GB2312"/>
                <w:bCs/>
                <w:color w:val="000000" w:themeColor="text1"/>
                <w:sz w:val="21"/>
                <w:szCs w:val="21"/>
                <w:vertAlign w:val="superscript"/>
              </w:rPr>
              <w:t>2</w:t>
            </w:r>
          </w:p>
        </w:tc>
        <w:tc>
          <w:tcPr>
            <w:tcW w:w="1076" w:type="dxa"/>
            <w:tcBorders>
              <w:tl2br w:val="nil"/>
              <w:tr2bl w:val="nil"/>
            </w:tcBorders>
            <w:vAlign w:val="center"/>
          </w:tcPr>
          <w:p>
            <w:pPr>
              <w:spacing w:line="240" w:lineRule="auto"/>
              <w:jc w:val="center"/>
              <w:rPr>
                <w:rFonts w:hint="default" w:eastAsia="仿宋_GB2312"/>
                <w:bCs/>
                <w:color w:val="000000" w:themeColor="text1"/>
                <w:sz w:val="21"/>
                <w:szCs w:val="21"/>
                <w:lang w:val="en-US" w:eastAsia="zh-CN"/>
              </w:rPr>
            </w:pPr>
            <w:r>
              <w:rPr>
                <w:rFonts w:hint="eastAsia" w:eastAsia="仿宋_GB2312"/>
                <w:bCs/>
                <w:color w:val="000000" w:themeColor="text1"/>
                <w:sz w:val="21"/>
                <w:szCs w:val="21"/>
              </w:rPr>
              <w:t>0.</w:t>
            </w:r>
            <w:r>
              <w:rPr>
                <w:rFonts w:hint="eastAsia" w:eastAsia="仿宋_GB2312"/>
                <w:bCs/>
                <w:color w:val="000000" w:themeColor="text1"/>
                <w:sz w:val="21"/>
                <w:szCs w:val="21"/>
                <w:lang w:val="en-US" w:eastAsia="zh-CN"/>
              </w:rPr>
              <w:t>126</w:t>
            </w:r>
          </w:p>
        </w:tc>
        <w:tc>
          <w:tcPr>
            <w:tcW w:w="867" w:type="dxa"/>
            <w:vMerge w:val="restart"/>
            <w:tcBorders>
              <w:tl2br w:val="nil"/>
              <w:tr2bl w:val="nil"/>
            </w:tcBorders>
            <w:vAlign w:val="center"/>
          </w:tcPr>
          <w:p>
            <w:pPr>
              <w:spacing w:line="240" w:lineRule="auto"/>
              <w:jc w:val="center"/>
              <w:rPr>
                <w:rFonts w:hint="eastAsia" w:eastAsia="仿宋_GB2312"/>
                <w:bCs/>
                <w:color w:val="000000" w:themeColor="text1"/>
                <w:sz w:val="21"/>
                <w:szCs w:val="21"/>
                <w:lang w:eastAsia="zh-CN"/>
              </w:rPr>
            </w:pPr>
            <w:r>
              <w:rPr>
                <w:rFonts w:hint="eastAsia" w:eastAsia="仿宋_GB2312"/>
                <w:bCs/>
                <w:color w:val="000000" w:themeColor="text1"/>
                <w:sz w:val="21"/>
                <w:szCs w:val="21"/>
                <w:lang w:eastAsia="zh-CN"/>
              </w:rPr>
              <w:t>9.67</w:t>
            </w:r>
          </w:p>
        </w:tc>
        <w:tc>
          <w:tcPr>
            <w:tcW w:w="983" w:type="dxa"/>
            <w:vMerge w:val="restart"/>
            <w:tcBorders>
              <w:tl2br w:val="nil"/>
              <w:tr2bl w:val="nil"/>
            </w:tcBorders>
            <w:vAlign w:val="center"/>
          </w:tcPr>
          <w:p>
            <w:pPr>
              <w:widowControl/>
              <w:spacing w:line="240" w:lineRule="auto"/>
              <w:jc w:val="center"/>
              <w:rPr>
                <w:rFonts w:eastAsia="仿宋_GB2312"/>
                <w:bCs/>
                <w:color w:val="000000" w:themeColor="text1"/>
                <w:sz w:val="21"/>
                <w:szCs w:val="21"/>
              </w:rPr>
            </w:pPr>
            <w:r>
              <w:rPr>
                <w:rFonts w:eastAsia="仿宋_GB2312"/>
                <w:bCs/>
                <w:color w:val="000000" w:themeColor="text1"/>
                <w:sz w:val="21"/>
                <w:szCs w:val="21"/>
              </w:rPr>
              <w:t>达到</w:t>
            </w:r>
          </w:p>
          <w:p>
            <w:pPr>
              <w:spacing w:line="240" w:lineRule="auto"/>
              <w:jc w:val="center"/>
              <w:rPr>
                <w:rFonts w:eastAsia="仿宋_GB2312"/>
                <w:bCs/>
                <w:color w:val="000000" w:themeColor="text1"/>
                <w:sz w:val="21"/>
                <w:szCs w:val="21"/>
              </w:rPr>
            </w:pPr>
            <w:r>
              <w:rPr>
                <w:rFonts w:eastAsia="仿宋_GB2312"/>
                <w:bCs/>
                <w:color w:val="000000" w:themeColor="text1"/>
                <w:sz w:val="21"/>
                <w:szCs w:val="21"/>
              </w:rPr>
              <w:t>标准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40" w:type="dxa"/>
            <w:vMerge w:val="continue"/>
            <w:tcBorders>
              <w:tl2br w:val="nil"/>
              <w:tr2bl w:val="nil"/>
            </w:tcBorders>
            <w:vAlign w:val="center"/>
          </w:tcPr>
          <w:p>
            <w:pPr>
              <w:widowControl/>
              <w:spacing w:line="240" w:lineRule="auto"/>
              <w:jc w:val="center"/>
              <w:rPr>
                <w:rFonts w:eastAsia="仿宋_GB2312"/>
                <w:bCs/>
                <w:color w:val="000000" w:themeColor="text1"/>
                <w:sz w:val="21"/>
                <w:szCs w:val="21"/>
              </w:rPr>
            </w:pPr>
          </w:p>
        </w:tc>
        <w:tc>
          <w:tcPr>
            <w:tcW w:w="852" w:type="dxa"/>
            <w:vMerge w:val="continue"/>
            <w:tcBorders>
              <w:tl2br w:val="nil"/>
              <w:tr2bl w:val="nil"/>
            </w:tcBorders>
            <w:vAlign w:val="center"/>
          </w:tcPr>
          <w:p>
            <w:pPr>
              <w:widowControl/>
              <w:spacing w:line="240" w:lineRule="auto"/>
              <w:jc w:val="center"/>
              <w:rPr>
                <w:rFonts w:eastAsia="仿宋_GB2312"/>
                <w:bCs/>
                <w:color w:val="000000" w:themeColor="text1"/>
                <w:sz w:val="21"/>
                <w:szCs w:val="21"/>
              </w:rPr>
            </w:pPr>
          </w:p>
        </w:tc>
        <w:tc>
          <w:tcPr>
            <w:tcW w:w="2656" w:type="dxa"/>
            <w:tcBorders>
              <w:tl2br w:val="nil"/>
              <w:tr2bl w:val="nil"/>
            </w:tcBorders>
            <w:vAlign w:val="center"/>
          </w:tcPr>
          <w:p>
            <w:pPr>
              <w:spacing w:line="240" w:lineRule="auto"/>
              <w:jc w:val="center"/>
              <w:rPr>
                <w:rFonts w:eastAsia="仿宋_GB2312"/>
                <w:bCs/>
                <w:color w:val="000000" w:themeColor="text1"/>
                <w:sz w:val="21"/>
                <w:szCs w:val="21"/>
              </w:rPr>
            </w:pPr>
            <w:r>
              <w:rPr>
                <w:rFonts w:eastAsia="仿宋_GB2312"/>
                <w:bCs/>
                <w:color w:val="000000" w:themeColor="text1"/>
                <w:sz w:val="21"/>
                <w:szCs w:val="21"/>
              </w:rPr>
              <w:t>总面积</w:t>
            </w:r>
          </w:p>
        </w:tc>
        <w:tc>
          <w:tcPr>
            <w:tcW w:w="982" w:type="dxa"/>
            <w:tcBorders>
              <w:tl2br w:val="nil"/>
              <w:tr2bl w:val="nil"/>
            </w:tcBorders>
            <w:vAlign w:val="center"/>
          </w:tcPr>
          <w:p>
            <w:pPr>
              <w:widowControl/>
              <w:spacing w:line="240" w:lineRule="auto"/>
              <w:jc w:val="center"/>
              <w:rPr>
                <w:rFonts w:eastAsia="仿宋_GB2312"/>
                <w:bCs/>
                <w:color w:val="000000" w:themeColor="text1"/>
                <w:sz w:val="21"/>
                <w:szCs w:val="21"/>
              </w:rPr>
            </w:pPr>
            <w:r>
              <w:rPr>
                <w:rFonts w:eastAsia="仿宋_GB2312"/>
                <w:bCs/>
                <w:color w:val="000000" w:themeColor="text1"/>
                <w:sz w:val="21"/>
                <w:szCs w:val="21"/>
              </w:rPr>
              <w:t>hm</w:t>
            </w:r>
            <w:r>
              <w:rPr>
                <w:rFonts w:eastAsia="仿宋_GB2312"/>
                <w:bCs/>
                <w:color w:val="000000" w:themeColor="text1"/>
                <w:sz w:val="21"/>
                <w:szCs w:val="21"/>
                <w:vertAlign w:val="superscript"/>
              </w:rPr>
              <w:t>2</w:t>
            </w:r>
          </w:p>
        </w:tc>
        <w:tc>
          <w:tcPr>
            <w:tcW w:w="1076" w:type="dxa"/>
            <w:tcBorders>
              <w:tl2br w:val="nil"/>
              <w:tr2bl w:val="nil"/>
            </w:tcBorders>
            <w:vAlign w:val="center"/>
          </w:tcPr>
          <w:p>
            <w:pPr>
              <w:spacing w:line="240" w:lineRule="auto"/>
              <w:jc w:val="center"/>
              <w:rPr>
                <w:rFonts w:hint="default" w:eastAsia="仿宋_GB2312"/>
                <w:bCs/>
                <w:color w:val="000000" w:themeColor="text1"/>
                <w:sz w:val="21"/>
                <w:szCs w:val="21"/>
                <w:lang w:val="en-US" w:eastAsia="zh-CN"/>
              </w:rPr>
            </w:pPr>
            <w:r>
              <w:rPr>
                <w:rFonts w:hint="eastAsia" w:eastAsia="仿宋_GB2312"/>
                <w:bCs/>
                <w:color w:val="000000" w:themeColor="text1"/>
                <w:sz w:val="21"/>
                <w:szCs w:val="21"/>
                <w:lang w:val="en-US" w:eastAsia="zh-CN"/>
              </w:rPr>
              <w:t>1.30</w:t>
            </w:r>
          </w:p>
        </w:tc>
        <w:tc>
          <w:tcPr>
            <w:tcW w:w="867" w:type="dxa"/>
            <w:vMerge w:val="continue"/>
            <w:tcBorders>
              <w:tl2br w:val="nil"/>
              <w:tr2bl w:val="nil"/>
            </w:tcBorders>
            <w:vAlign w:val="center"/>
          </w:tcPr>
          <w:p>
            <w:pPr>
              <w:widowControl/>
              <w:spacing w:line="240" w:lineRule="auto"/>
              <w:jc w:val="center"/>
              <w:rPr>
                <w:rFonts w:eastAsia="仿宋_GB2312"/>
                <w:bCs/>
                <w:color w:val="000000" w:themeColor="text1"/>
                <w:sz w:val="21"/>
                <w:szCs w:val="21"/>
              </w:rPr>
            </w:pPr>
          </w:p>
        </w:tc>
        <w:tc>
          <w:tcPr>
            <w:tcW w:w="983" w:type="dxa"/>
            <w:vMerge w:val="continue"/>
            <w:tcBorders>
              <w:tl2br w:val="nil"/>
              <w:tr2bl w:val="nil"/>
            </w:tcBorders>
            <w:vAlign w:val="center"/>
          </w:tcPr>
          <w:p>
            <w:pPr>
              <w:widowControl/>
              <w:spacing w:line="240" w:lineRule="auto"/>
              <w:jc w:val="center"/>
              <w:rPr>
                <w:rFonts w:eastAsia="仿宋_GB2312"/>
                <w:bCs/>
                <w:color w:val="000000" w:themeColor="text1"/>
                <w:sz w:val="21"/>
                <w:szCs w:val="21"/>
              </w:rPr>
            </w:pPr>
          </w:p>
        </w:tc>
      </w:tr>
    </w:tbl>
    <w:p>
      <w:pPr>
        <w:spacing w:line="360" w:lineRule="auto"/>
        <w:ind w:firstLine="480" w:firstLineChars="200"/>
        <w:rPr>
          <w:rFonts w:eastAsia="仿宋_GB2312"/>
          <w:bCs/>
          <w:iCs/>
          <w:color w:val="000000" w:themeColor="text1"/>
          <w:highlight w:val="cyan"/>
        </w:rPr>
      </w:pPr>
      <w:r>
        <w:rPr>
          <w:rFonts w:eastAsia="仿宋_GB2312"/>
          <w:color w:val="000000" w:themeColor="text1"/>
        </w:rPr>
        <w:t>本方案对工程建设过程中可能产生水土流失的区域布设了水土保持防护措施，使新增水土流失得到有效控制，原有水土流失得到治理。采取水土保持措施后可减少土壤流失量</w:t>
      </w:r>
      <w:r>
        <w:rPr>
          <w:rFonts w:hint="eastAsia" w:eastAsia="仿宋_GB2312"/>
          <w:color w:val="000000" w:themeColor="text1"/>
          <w:lang w:eastAsia="zh-CN"/>
        </w:rPr>
        <w:t>79.34</w:t>
      </w:r>
      <w:r>
        <w:rPr>
          <w:rFonts w:eastAsia="仿宋_GB2312"/>
          <w:color w:val="000000" w:themeColor="text1"/>
        </w:rPr>
        <w:t>t。</w:t>
      </w:r>
    </w:p>
    <w:p>
      <w:pPr>
        <w:spacing w:line="360" w:lineRule="auto"/>
        <w:jc w:val="center"/>
        <w:rPr>
          <w:rFonts w:eastAsia="仿宋_GB2312"/>
          <w:b/>
          <w:color w:val="000000" w:themeColor="text1"/>
        </w:rPr>
      </w:pPr>
      <w:r>
        <w:rPr>
          <w:rFonts w:eastAsia="仿宋_GB2312"/>
          <w:b/>
          <w:iCs/>
          <w:color w:val="000000" w:themeColor="text1"/>
        </w:rPr>
        <w:t>表7-12               减少土壤流失量计算表              单位：t</w:t>
      </w:r>
    </w:p>
    <w:tbl>
      <w:tblPr>
        <w:tblStyle w:val="23"/>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1295"/>
        <w:gridCol w:w="1279"/>
        <w:gridCol w:w="1683"/>
        <w:gridCol w:w="1472"/>
        <w:gridCol w:w="1472"/>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27" w:type="dxa"/>
            <w:tcBorders>
              <w:tl2br w:val="nil"/>
              <w:tr2bl w:val="nil"/>
            </w:tcBorders>
            <w:vAlign w:val="center"/>
          </w:tcPr>
          <w:p>
            <w:pPr>
              <w:widowControl/>
              <w:jc w:val="center"/>
              <w:rPr>
                <w:rFonts w:eastAsia="仿宋_GB2312"/>
                <w:bCs/>
                <w:color w:val="000000" w:themeColor="text1"/>
                <w:sz w:val="21"/>
                <w:szCs w:val="21"/>
              </w:rPr>
            </w:pPr>
            <w:r>
              <w:rPr>
                <w:rFonts w:eastAsia="仿宋_GB2312"/>
                <w:bCs/>
                <w:color w:val="000000" w:themeColor="text1"/>
                <w:sz w:val="21"/>
                <w:szCs w:val="21"/>
              </w:rPr>
              <w:t>项目</w:t>
            </w:r>
          </w:p>
        </w:tc>
        <w:tc>
          <w:tcPr>
            <w:tcW w:w="1295" w:type="dxa"/>
            <w:tcBorders>
              <w:tl2br w:val="nil"/>
              <w:tr2bl w:val="nil"/>
            </w:tcBorders>
            <w:vAlign w:val="center"/>
          </w:tcPr>
          <w:p>
            <w:pPr>
              <w:widowControl/>
              <w:jc w:val="center"/>
              <w:rPr>
                <w:rFonts w:eastAsia="仿宋_GB2312"/>
                <w:bCs/>
                <w:color w:val="000000" w:themeColor="text1"/>
                <w:sz w:val="21"/>
                <w:szCs w:val="21"/>
              </w:rPr>
            </w:pPr>
            <w:r>
              <w:rPr>
                <w:rFonts w:eastAsia="仿宋_GB2312"/>
                <w:bCs/>
                <w:color w:val="000000" w:themeColor="text1"/>
                <w:sz w:val="21"/>
                <w:szCs w:val="21"/>
              </w:rPr>
              <w:t>施工期面积（hm</w:t>
            </w:r>
            <w:r>
              <w:rPr>
                <w:rFonts w:eastAsia="仿宋_GB2312"/>
                <w:bCs/>
                <w:color w:val="000000" w:themeColor="text1"/>
                <w:sz w:val="21"/>
                <w:szCs w:val="21"/>
                <w:vertAlign w:val="superscript"/>
              </w:rPr>
              <w:t>2</w:t>
            </w:r>
            <w:r>
              <w:rPr>
                <w:rFonts w:eastAsia="仿宋_GB2312"/>
                <w:bCs/>
                <w:color w:val="000000" w:themeColor="text1"/>
                <w:sz w:val="21"/>
                <w:szCs w:val="21"/>
              </w:rPr>
              <w:t>）</w:t>
            </w:r>
          </w:p>
        </w:tc>
        <w:tc>
          <w:tcPr>
            <w:tcW w:w="1279" w:type="dxa"/>
            <w:tcBorders>
              <w:tl2br w:val="nil"/>
              <w:tr2bl w:val="nil"/>
            </w:tcBorders>
            <w:vAlign w:val="center"/>
          </w:tcPr>
          <w:p>
            <w:pPr>
              <w:widowControl/>
              <w:jc w:val="center"/>
              <w:rPr>
                <w:rFonts w:eastAsia="仿宋_GB2312"/>
                <w:bCs/>
                <w:color w:val="000000" w:themeColor="text1"/>
                <w:sz w:val="21"/>
                <w:szCs w:val="21"/>
              </w:rPr>
            </w:pPr>
            <w:r>
              <w:rPr>
                <w:rFonts w:eastAsia="仿宋_GB2312"/>
                <w:bCs/>
                <w:color w:val="000000" w:themeColor="text1"/>
                <w:sz w:val="21"/>
                <w:szCs w:val="21"/>
              </w:rPr>
              <w:t>恢复期面积（hm</w:t>
            </w:r>
            <w:r>
              <w:rPr>
                <w:rFonts w:eastAsia="仿宋_GB2312"/>
                <w:bCs/>
                <w:color w:val="000000" w:themeColor="text1"/>
                <w:sz w:val="21"/>
                <w:szCs w:val="21"/>
                <w:vertAlign w:val="superscript"/>
              </w:rPr>
              <w:t>2</w:t>
            </w:r>
            <w:r>
              <w:rPr>
                <w:rFonts w:eastAsia="仿宋_GB2312"/>
                <w:bCs/>
                <w:color w:val="000000" w:themeColor="text1"/>
                <w:sz w:val="21"/>
                <w:szCs w:val="21"/>
              </w:rPr>
              <w:t>）</w:t>
            </w:r>
          </w:p>
        </w:tc>
        <w:tc>
          <w:tcPr>
            <w:tcW w:w="1683" w:type="dxa"/>
            <w:tcBorders>
              <w:tl2br w:val="nil"/>
              <w:tr2bl w:val="nil"/>
            </w:tcBorders>
            <w:vAlign w:val="center"/>
          </w:tcPr>
          <w:p>
            <w:pPr>
              <w:widowControl/>
              <w:jc w:val="center"/>
              <w:rPr>
                <w:rFonts w:eastAsia="仿宋_GB2312"/>
                <w:bCs/>
                <w:color w:val="000000" w:themeColor="text1"/>
                <w:sz w:val="21"/>
                <w:szCs w:val="21"/>
              </w:rPr>
            </w:pPr>
            <w:r>
              <w:rPr>
                <w:rFonts w:eastAsia="仿宋_GB2312"/>
                <w:bCs/>
                <w:color w:val="000000" w:themeColor="text1"/>
                <w:sz w:val="21"/>
                <w:szCs w:val="21"/>
              </w:rPr>
              <w:t>预测土壤流失量（t）</w:t>
            </w:r>
          </w:p>
        </w:tc>
        <w:tc>
          <w:tcPr>
            <w:tcW w:w="1472" w:type="dxa"/>
            <w:tcBorders>
              <w:tl2br w:val="nil"/>
              <w:tr2bl w:val="nil"/>
            </w:tcBorders>
            <w:vAlign w:val="center"/>
          </w:tcPr>
          <w:p>
            <w:pPr>
              <w:widowControl/>
              <w:jc w:val="center"/>
              <w:rPr>
                <w:rFonts w:eastAsia="仿宋_GB2312"/>
                <w:bCs/>
                <w:color w:val="000000" w:themeColor="text1"/>
                <w:sz w:val="21"/>
                <w:szCs w:val="21"/>
              </w:rPr>
            </w:pPr>
            <w:r>
              <w:rPr>
                <w:rFonts w:eastAsia="仿宋_GB2312"/>
                <w:bCs/>
                <w:color w:val="000000" w:themeColor="text1"/>
                <w:sz w:val="21"/>
                <w:szCs w:val="21"/>
              </w:rPr>
              <w:t>设计水平年后土壤流失量（t）</w:t>
            </w:r>
          </w:p>
        </w:tc>
        <w:tc>
          <w:tcPr>
            <w:tcW w:w="1472" w:type="dxa"/>
            <w:tcBorders>
              <w:tl2br w:val="nil"/>
              <w:tr2bl w:val="nil"/>
            </w:tcBorders>
            <w:vAlign w:val="center"/>
          </w:tcPr>
          <w:p>
            <w:pPr>
              <w:widowControl/>
              <w:jc w:val="center"/>
              <w:rPr>
                <w:rFonts w:eastAsia="仿宋_GB2312"/>
                <w:bCs/>
                <w:color w:val="000000" w:themeColor="text1"/>
                <w:sz w:val="21"/>
                <w:szCs w:val="21"/>
              </w:rPr>
            </w:pPr>
            <w:r>
              <w:rPr>
                <w:rFonts w:eastAsia="仿宋_GB2312"/>
                <w:bCs/>
                <w:color w:val="000000" w:themeColor="text1"/>
                <w:sz w:val="21"/>
                <w:szCs w:val="21"/>
              </w:rPr>
              <w:t>减少土壤流失量（t）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27" w:type="dxa"/>
            <w:tcBorders>
              <w:tl2br w:val="nil"/>
              <w:tr2bl w:val="nil"/>
            </w:tcBorders>
            <w:vAlign w:val="center"/>
          </w:tcPr>
          <w:p>
            <w:pPr>
              <w:widowControl/>
              <w:jc w:val="center"/>
              <w:rPr>
                <w:rFonts w:eastAsia="仿宋_GB2312"/>
                <w:color w:val="000000" w:themeColor="text1"/>
                <w:sz w:val="21"/>
                <w:szCs w:val="21"/>
              </w:rPr>
            </w:pPr>
            <w:r>
              <w:rPr>
                <w:rFonts w:eastAsia="仿宋_GB2312"/>
                <w:color w:val="000000" w:themeColor="text1"/>
                <w:sz w:val="21"/>
                <w:szCs w:val="21"/>
              </w:rPr>
              <w:t>工程建设区</w:t>
            </w:r>
          </w:p>
        </w:tc>
        <w:tc>
          <w:tcPr>
            <w:tcW w:w="1295" w:type="dxa"/>
            <w:tcBorders>
              <w:tl2br w:val="nil"/>
              <w:tr2bl w:val="nil"/>
            </w:tcBorders>
            <w:vAlign w:val="center"/>
          </w:tcPr>
          <w:p>
            <w:pPr>
              <w:widowControl/>
              <w:jc w:val="center"/>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1.30</w:t>
            </w:r>
          </w:p>
        </w:tc>
        <w:tc>
          <w:tcPr>
            <w:tcW w:w="1279" w:type="dxa"/>
            <w:tcBorders>
              <w:tl2br w:val="nil"/>
              <w:tr2bl w:val="nil"/>
            </w:tcBorders>
            <w:vAlign w:val="center"/>
          </w:tcPr>
          <w:p>
            <w:pPr>
              <w:widowControl/>
              <w:jc w:val="center"/>
              <w:rPr>
                <w:rFonts w:hint="default" w:eastAsia="仿宋_GB2312"/>
                <w:color w:val="000000" w:themeColor="text1"/>
                <w:sz w:val="21"/>
                <w:szCs w:val="21"/>
                <w:lang w:val="en-US" w:eastAsia="zh-CN"/>
              </w:rPr>
            </w:pPr>
            <w:r>
              <w:rPr>
                <w:rFonts w:hint="eastAsia" w:eastAsia="仿宋_GB2312"/>
                <w:color w:val="000000" w:themeColor="text1"/>
                <w:sz w:val="21"/>
                <w:szCs w:val="21"/>
              </w:rPr>
              <w:t>0.</w:t>
            </w:r>
            <w:r>
              <w:rPr>
                <w:rFonts w:hint="eastAsia" w:eastAsia="仿宋_GB2312"/>
                <w:color w:val="000000" w:themeColor="text1"/>
                <w:sz w:val="21"/>
                <w:szCs w:val="21"/>
                <w:lang w:val="en-US" w:eastAsia="zh-CN"/>
              </w:rPr>
              <w:t>13</w:t>
            </w:r>
          </w:p>
        </w:tc>
        <w:tc>
          <w:tcPr>
            <w:tcW w:w="1683" w:type="dxa"/>
            <w:tcBorders>
              <w:tl2br w:val="nil"/>
              <w:tr2bl w:val="nil"/>
            </w:tcBorders>
            <w:vAlign w:val="center"/>
          </w:tcPr>
          <w:p>
            <w:pPr>
              <w:widowControl/>
              <w:jc w:val="center"/>
              <w:rPr>
                <w:rFonts w:hint="eastAsia" w:eastAsia="仿宋_GB2312"/>
                <w:color w:val="000000" w:themeColor="text1"/>
                <w:sz w:val="21"/>
                <w:szCs w:val="21"/>
                <w:lang w:eastAsia="zh-CN"/>
              </w:rPr>
            </w:pPr>
            <w:r>
              <w:rPr>
                <w:rFonts w:hint="eastAsia" w:eastAsia="仿宋_GB2312"/>
                <w:color w:val="000000" w:themeColor="text1"/>
                <w:sz w:val="21"/>
                <w:szCs w:val="21"/>
                <w:lang w:eastAsia="zh-CN"/>
              </w:rPr>
              <w:t>84.54</w:t>
            </w:r>
          </w:p>
        </w:tc>
        <w:tc>
          <w:tcPr>
            <w:tcW w:w="1472" w:type="dxa"/>
            <w:tcBorders>
              <w:tl2br w:val="nil"/>
              <w:tr2bl w:val="nil"/>
            </w:tcBorders>
            <w:vAlign w:val="center"/>
          </w:tcPr>
          <w:p>
            <w:pPr>
              <w:widowControl/>
              <w:jc w:val="center"/>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5.20</w:t>
            </w:r>
          </w:p>
        </w:tc>
        <w:tc>
          <w:tcPr>
            <w:tcW w:w="1472" w:type="dxa"/>
            <w:tcBorders>
              <w:tl2br w:val="nil"/>
              <w:tr2bl w:val="nil"/>
            </w:tcBorders>
            <w:vAlign w:val="center"/>
          </w:tcPr>
          <w:p>
            <w:pPr>
              <w:widowControl/>
              <w:jc w:val="center"/>
              <w:rPr>
                <w:rFonts w:hint="eastAsia" w:eastAsia="仿宋_GB2312"/>
                <w:color w:val="000000" w:themeColor="text1"/>
                <w:sz w:val="21"/>
                <w:szCs w:val="21"/>
                <w:lang w:eastAsia="zh-CN"/>
              </w:rPr>
            </w:pPr>
            <w:r>
              <w:rPr>
                <w:rFonts w:hint="eastAsia" w:eastAsia="仿宋_GB2312"/>
                <w:color w:val="000000" w:themeColor="text1"/>
                <w:sz w:val="21"/>
                <w:szCs w:val="21"/>
                <w:lang w:eastAsia="zh-CN"/>
              </w:rPr>
              <w:t>79.34</w:t>
            </w:r>
          </w:p>
        </w:tc>
      </w:tr>
    </w:tbl>
    <w:p>
      <w:pPr>
        <w:spacing w:line="360" w:lineRule="auto"/>
        <w:ind w:firstLine="480" w:firstLineChars="200"/>
        <w:jc w:val="both"/>
        <w:rPr>
          <w:rFonts w:eastAsia="仿宋_GB2312"/>
          <w:color w:val="000000" w:themeColor="text1"/>
          <w:highlight w:val="cyan"/>
        </w:rPr>
        <w:sectPr>
          <w:headerReference r:id="rId23" w:type="default"/>
          <w:footerReference r:id="rId24" w:type="default"/>
          <w:type w:val="continuous"/>
          <w:pgSz w:w="11906" w:h="16838"/>
          <w:pgMar w:top="1440" w:right="1797" w:bottom="1440" w:left="1797" w:header="851" w:footer="992" w:gutter="0"/>
          <w:cols w:space="720" w:num="1"/>
          <w:docGrid w:linePitch="312" w:charSpace="0"/>
        </w:sectPr>
      </w:pPr>
    </w:p>
    <w:p>
      <w:pPr>
        <w:pStyle w:val="3"/>
        <w:spacing w:before="0" w:after="0" w:line="360" w:lineRule="auto"/>
        <w:rPr>
          <w:rFonts w:eastAsia="仿宋_GB2312"/>
          <w:color w:val="000000" w:themeColor="text1"/>
          <w:sz w:val="28"/>
          <w:szCs w:val="28"/>
        </w:rPr>
      </w:pPr>
      <w:bookmarkStart w:id="56" w:name="_Toc26237"/>
      <w:r>
        <w:rPr>
          <w:rFonts w:eastAsia="仿宋_GB2312"/>
          <w:color w:val="000000" w:themeColor="text1"/>
          <w:sz w:val="28"/>
          <w:szCs w:val="28"/>
        </w:rPr>
        <w:t>8.水土保持管理</w:t>
      </w:r>
      <w:bookmarkEnd w:id="56"/>
    </w:p>
    <w:p>
      <w:pPr>
        <w:pStyle w:val="4"/>
        <w:spacing w:before="0" w:after="0" w:line="360" w:lineRule="auto"/>
        <w:rPr>
          <w:rFonts w:ascii="Times New Roman" w:hAnsi="Times New Roman" w:eastAsia="仿宋_GB2312"/>
          <w:color w:val="000000" w:themeColor="text1"/>
          <w:sz w:val="28"/>
          <w:szCs w:val="28"/>
        </w:rPr>
      </w:pPr>
      <w:bookmarkStart w:id="57" w:name="_Toc26339"/>
      <w:r>
        <w:rPr>
          <w:rFonts w:ascii="Times New Roman" w:hAnsi="Times New Roman" w:eastAsia="仿宋_GB2312"/>
          <w:color w:val="000000" w:themeColor="text1"/>
          <w:sz w:val="28"/>
          <w:szCs w:val="28"/>
        </w:rPr>
        <w:t>8.1组织管理</w:t>
      </w:r>
      <w:bookmarkEnd w:id="57"/>
    </w:p>
    <w:p>
      <w:pPr>
        <w:spacing w:line="360" w:lineRule="auto"/>
        <w:ind w:firstLine="480" w:firstLineChars="200"/>
        <w:rPr>
          <w:rFonts w:eastAsia="仿宋_GB2312"/>
          <w:color w:val="000000" w:themeColor="text1"/>
        </w:rPr>
      </w:pPr>
      <w:r>
        <w:rPr>
          <w:rFonts w:eastAsia="仿宋_GB2312"/>
          <w:color w:val="000000" w:themeColor="text1"/>
        </w:rPr>
        <w:t>本方案由项目建设单位组织施行，建设单位必须加强领导和组织管理，成立</w:t>
      </w:r>
      <w:r>
        <w:rPr>
          <w:rFonts w:hint="eastAsia" w:eastAsia="仿宋_GB2312"/>
          <w:color w:val="000000" w:themeColor="text1"/>
          <w:lang w:eastAsia="zh-CN"/>
        </w:rPr>
        <w:t>农安县东兴实业有限公司蒸压加气泥凝块年产40万立方项目</w:t>
      </w:r>
      <w:r>
        <w:rPr>
          <w:rFonts w:eastAsia="仿宋_GB2312"/>
          <w:color w:val="000000" w:themeColor="text1"/>
        </w:rPr>
        <w:t>水土保持方案施行组织机构，设置专人负责水土保持工作，落实“项目法人制、招投标制和施工监理制”，明确职责；制定方案施行的目标责任制和施行、检查、验收的具体办法和要求，建立健全水土保持管理的规章制度，建立水土保持工程档案；生产建设单位应当加强对施工单位的管理，在管理招投标文件和施工合同中明确施工单位的水土保持责任，强化奖惩制度，规范施工行为；严格控制施工扰动范围，禁止随意占压破坏地表植被；随时向水行政主管部门报告建设信息，工程开工时应向当地水行政主管部门备案，并与当地水行政主管部门保持密切联系，接受其监督检查，确保各年度水土保持工程按方案要求落到实处。</w:t>
      </w:r>
    </w:p>
    <w:p>
      <w:pPr>
        <w:spacing w:line="360" w:lineRule="auto"/>
        <w:ind w:firstLine="480" w:firstLineChars="200"/>
        <w:rPr>
          <w:rFonts w:eastAsia="仿宋_GB2312"/>
          <w:color w:val="000000" w:themeColor="text1"/>
        </w:rPr>
      </w:pPr>
      <w:r>
        <w:rPr>
          <w:rFonts w:eastAsia="仿宋_GB2312"/>
          <w:color w:val="000000" w:themeColor="text1"/>
        </w:rPr>
        <w:t>本项目各项水土保持措施投资纳入项目建设资金统一管理，并与主体工程建设资金同时调拨使用、同时施工、同时发挥效益，建设单位应积极开展工作，落实资金，保证方案施行。</w:t>
      </w:r>
    </w:p>
    <w:p>
      <w:pPr>
        <w:spacing w:line="360" w:lineRule="auto"/>
        <w:ind w:firstLine="480" w:firstLineChars="200"/>
        <w:rPr>
          <w:rFonts w:eastAsia="仿宋_GB2312"/>
          <w:color w:val="000000" w:themeColor="text1"/>
        </w:rPr>
      </w:pPr>
      <w:r>
        <w:rPr>
          <w:rFonts w:eastAsia="仿宋_GB2312"/>
          <w:color w:val="000000" w:themeColor="text1"/>
        </w:rPr>
        <w:t>建设单位要做好资金使用管理，建立水土保持资金档案，进行专项管理，保证建设资金及时足额到位，保障水土保持工作顺利进行。水土保持设施竣工验收时建设单位应就水土保持投资估算调整情况、分年度投资安排、资金到位情况和经费支出情况提出总结报告。</w:t>
      </w:r>
    </w:p>
    <w:p>
      <w:pPr>
        <w:spacing w:line="360" w:lineRule="auto"/>
        <w:ind w:firstLine="480" w:firstLineChars="200"/>
        <w:rPr>
          <w:rFonts w:eastAsia="仿宋_GB2312"/>
          <w:color w:val="000000" w:themeColor="text1"/>
        </w:rPr>
      </w:pPr>
      <w:r>
        <w:rPr>
          <w:rFonts w:eastAsia="仿宋_GB2312"/>
          <w:color w:val="000000" w:themeColor="text1"/>
        </w:rPr>
        <w:t>根据《水利部办公厅关于实施生产建设项目水土保持信用监管“两单”制度的通知》（办水保〔2020〕157号），生产建设单位如有：“未批先建”“未批先弃”“未验先投”的；作出不实承诺或者未履行承诺的；未按规定组织开展水土保持设计、监测、监理工作的；水土保持工程、植物、临时措施落实不足50%的；不满足验收标准和条件而通过自主验收的；应当列入水土保持“重点关注名单”。在“重点关注名单”公开期内再次发生应当列入“重点关注名单”情形的，或作出不实承诺被撤销准予许可决定的，或被实施水土保持行政强制的，或拒不执行水土保持行政处罚决定的，应当列入水土保持“黑名单”。</w:t>
      </w:r>
    </w:p>
    <w:p>
      <w:pPr>
        <w:pStyle w:val="4"/>
        <w:spacing w:before="0" w:after="0" w:line="360" w:lineRule="auto"/>
        <w:rPr>
          <w:rFonts w:ascii="Times New Roman" w:hAnsi="Times New Roman" w:eastAsia="仿宋_GB2312"/>
          <w:color w:val="000000" w:themeColor="text1"/>
          <w:sz w:val="28"/>
          <w:szCs w:val="28"/>
        </w:rPr>
      </w:pPr>
      <w:bookmarkStart w:id="58" w:name="_Toc10114"/>
      <w:r>
        <w:rPr>
          <w:rFonts w:ascii="Times New Roman" w:hAnsi="Times New Roman" w:eastAsia="仿宋_GB2312"/>
          <w:color w:val="000000" w:themeColor="text1"/>
          <w:sz w:val="28"/>
          <w:szCs w:val="28"/>
        </w:rPr>
        <w:t>8.2后续设计</w:t>
      </w:r>
      <w:bookmarkEnd w:id="58"/>
    </w:p>
    <w:p>
      <w:pPr>
        <w:spacing w:line="360" w:lineRule="auto"/>
        <w:ind w:firstLine="480" w:firstLineChars="200"/>
        <w:jc w:val="both"/>
        <w:rPr>
          <w:rFonts w:eastAsia="仿宋_GB2312"/>
          <w:color w:val="000000" w:themeColor="text1"/>
          <w:szCs w:val="24"/>
        </w:rPr>
      </w:pPr>
      <w:r>
        <w:rPr>
          <w:rFonts w:eastAsia="仿宋_GB2312"/>
          <w:color w:val="000000" w:themeColor="text1"/>
          <w:szCs w:val="24"/>
        </w:rPr>
        <w:t>根据《吉林省水利厅关于印发生产建设项目水土保持后续设计报备政务事项服务指南（试行）的通知》（吉水保函〔2020〕73号），随着主体工程设计深度的深入，工程布局和工程量更加细化和精确，本项目需编制水土保持后续设计，建设单位应委托水土保持后续设计编制单位，根据水土保持方案报告书及其批复意见的要求开展水土保持后续设计，落实方案确定的防治措施和投资，并向水行政主管部门报备。根据《水利部关于进一步深化“放管服”改革全面加强水土保持监管的意见》（水保〔2019〕160号），水土保持方案批复后，当生产建设项目的地点、规模发生重大变化的及水土保持方案实施过程中水土保持措施需要作出重大变更的，必须严格按照水利部办公厅印发的《水利部生产建设项目水土保持方案变更管理规定（试行）》（办水保〔2016〕65号）文件补充或者修改水土保持方案并报原审批机关批准。</w:t>
      </w:r>
    </w:p>
    <w:p>
      <w:pPr>
        <w:spacing w:line="360" w:lineRule="auto"/>
        <w:ind w:firstLine="480" w:firstLineChars="200"/>
        <w:jc w:val="both"/>
        <w:rPr>
          <w:rFonts w:eastAsia="仿宋_GB2312"/>
          <w:color w:val="000000" w:themeColor="text1"/>
          <w:szCs w:val="24"/>
        </w:rPr>
      </w:pPr>
      <w:r>
        <w:rPr>
          <w:rFonts w:eastAsia="仿宋_GB2312"/>
          <w:color w:val="000000" w:themeColor="text1"/>
          <w:szCs w:val="24"/>
        </w:rPr>
        <w:t>根据《水利部办公厅关于实施生产建设项目水土保持信用监管“两单”制度的通知》（办水保〔2020〕157号），设计单位如有：未按水土保持方案和设计规范开展设计，擅自降低防治标准等级的；应当列入水土保持“重点关注名单”。在“重点关注名单”公开期内再次发生应当列入“重点关注名单”情形的，或在设计工作及相关技术成果中弄虚作假、谋取不正当利益的，或被实施水土保持行政强制的，或拒不执行水土保持行政处罚决定的，应当列入水土保持“黑名单”。</w:t>
      </w:r>
    </w:p>
    <w:p>
      <w:pPr>
        <w:pStyle w:val="4"/>
        <w:spacing w:before="0" w:after="0" w:line="360" w:lineRule="auto"/>
        <w:rPr>
          <w:rFonts w:ascii="Times New Roman" w:hAnsi="Times New Roman" w:eastAsia="仿宋_GB2312"/>
          <w:color w:val="000000" w:themeColor="text1"/>
          <w:sz w:val="28"/>
          <w:szCs w:val="28"/>
        </w:rPr>
      </w:pPr>
      <w:bookmarkStart w:id="59" w:name="_Toc6566"/>
      <w:r>
        <w:rPr>
          <w:rFonts w:ascii="Times New Roman" w:hAnsi="Times New Roman" w:eastAsia="仿宋_GB2312"/>
          <w:color w:val="000000" w:themeColor="text1"/>
          <w:sz w:val="28"/>
          <w:szCs w:val="28"/>
        </w:rPr>
        <w:t>8.3水土保持监测</w:t>
      </w:r>
      <w:bookmarkEnd w:id="59"/>
    </w:p>
    <w:p>
      <w:pPr>
        <w:spacing w:line="360" w:lineRule="auto"/>
        <w:ind w:firstLine="480" w:firstLineChars="200"/>
        <w:jc w:val="both"/>
        <w:rPr>
          <w:rFonts w:eastAsia="仿宋_GB2312"/>
          <w:color w:val="000000" w:themeColor="text1"/>
        </w:rPr>
      </w:pPr>
      <w:r>
        <w:rPr>
          <w:rFonts w:eastAsia="仿宋_GB2312"/>
          <w:color w:val="000000" w:themeColor="text1"/>
        </w:rPr>
        <w:t>建设单位应在开工之前自行或委托具有相应监测能力的单位开展水土保持监测工作。监测人员须经专门技术培训，具有相应工作能力。承担水土保持工程监测工作的单位根据监测合同开展工作，应向有关水行政主管部门报送《生产建设项目水土保持监测实施方案》。</w:t>
      </w:r>
    </w:p>
    <w:p>
      <w:pPr>
        <w:spacing w:line="360" w:lineRule="auto"/>
        <w:ind w:firstLine="480" w:firstLineChars="200"/>
        <w:jc w:val="both"/>
        <w:rPr>
          <w:rFonts w:eastAsia="仿宋_GB2312"/>
          <w:color w:val="000000" w:themeColor="text1"/>
        </w:rPr>
      </w:pPr>
      <w:r>
        <w:rPr>
          <w:rFonts w:eastAsia="仿宋_GB2312"/>
          <w:color w:val="000000" w:themeColor="text1"/>
        </w:rPr>
        <w:t>监测单位应针对该项工程施工特点进行监测：项目区本底值情况、水土流失自然影响因素、水土流失状况、水土流失危害和水土保持措施等；同时建立施工过程中水土保持监测的影像、遥感、照片等档案资料；发生水土流失危害事件的，应现场通知建设单位，并展开监测，填写记录表。水土保持监测工作实行水土保持监测“绿黄红”三色评价，水土保持监测单位根据监测情况，监测季报和总结报告等监测成果中提出“绿、黄、红”三色评价结论，验证水土保持措施的合理性、科学性，水土保持设施竣工验收时提交水土保持监测报告。监测成果应当公开，生产建设单位应当在工程建设期间将水土保持监测季报在其官方网站公开，由于本工程部分信息不宜官方网站公开，但应当在业主项目部和施工项目部公开。生产建设项目水土保持设施自主验收完成到水行政主管部门报备时，建设单位应当提供水土保持监测总结报告及相关监测成果报告将作为验收的依据。</w:t>
      </w:r>
    </w:p>
    <w:p>
      <w:pPr>
        <w:spacing w:line="360" w:lineRule="auto"/>
        <w:ind w:firstLine="480" w:firstLineChars="200"/>
        <w:jc w:val="both"/>
        <w:rPr>
          <w:rFonts w:eastAsia="仿宋_GB2312"/>
          <w:color w:val="000000" w:themeColor="text1"/>
        </w:rPr>
      </w:pPr>
      <w:r>
        <w:rPr>
          <w:rFonts w:eastAsia="仿宋_GB2312"/>
          <w:color w:val="000000" w:themeColor="text1"/>
        </w:rPr>
        <w:t>根据《水利部办公厅关于实施生产建设项目水土保持信用监管“两单”制度的通知》（办水保〔2020〕157号），监测单位如有：迟于合同规定6个月以上未开展监测工作的；同一项目的监测季报2次未按时提交的；监测季报三色评价和总结报告结论与实际不符的；应当列入水土保持“重点关注名单”。在“重点关注名单”公开期内再次发生应当列入“重点关注名单”情形的，或在监测工作及相关技术成果中弄虚作假、谋取不正当利益的，或被实施水土保持行政强制的，或拒不执行水土保持行政处罚决定的，应当列入水土保持“黑名单”。</w:t>
      </w:r>
    </w:p>
    <w:p>
      <w:pPr>
        <w:pStyle w:val="4"/>
        <w:spacing w:before="0" w:after="0" w:line="360" w:lineRule="auto"/>
        <w:rPr>
          <w:rFonts w:ascii="Times New Roman" w:hAnsi="Times New Roman" w:eastAsia="仿宋_GB2312"/>
          <w:color w:val="000000" w:themeColor="text1"/>
          <w:sz w:val="28"/>
          <w:szCs w:val="28"/>
        </w:rPr>
      </w:pPr>
      <w:bookmarkStart w:id="60" w:name="_Toc31461"/>
      <w:r>
        <w:rPr>
          <w:rFonts w:ascii="Times New Roman" w:hAnsi="Times New Roman" w:eastAsia="仿宋_GB2312"/>
          <w:color w:val="000000" w:themeColor="text1"/>
          <w:sz w:val="28"/>
          <w:szCs w:val="28"/>
        </w:rPr>
        <w:t>8.4水土保持监理</w:t>
      </w:r>
      <w:bookmarkEnd w:id="60"/>
    </w:p>
    <w:p>
      <w:pPr>
        <w:spacing w:line="360" w:lineRule="auto"/>
        <w:ind w:firstLine="480" w:firstLineChars="200"/>
        <w:jc w:val="both"/>
        <w:rPr>
          <w:rFonts w:eastAsia="仿宋_GB2312"/>
          <w:color w:val="000000" w:themeColor="text1"/>
        </w:rPr>
      </w:pPr>
      <w:r>
        <w:rPr>
          <w:rFonts w:eastAsia="仿宋_GB2312"/>
          <w:color w:val="000000" w:themeColor="text1"/>
        </w:rPr>
        <w:t>根据水利工程建设监理规定，批复的水土保持方案在施行过程中，必须进行水土保持监理，其监理成果是生产建设项目水土保持设施验收的基础。建设单位需及时开展该项目水土保持工程的监理工作，建立施工过程中临时措施影像等档案资料。水土保持竣工验收时，需提交水土保持专项监理报告及临时措施的影像资料，作为水土保持工程竣工验收的依据。根据“水保〔2019〕160号”文件要求，凡主体工程开展监理工作的项目，应当按照水土保持监理标准和规范开展水土保持工程施工监理。</w:t>
      </w:r>
    </w:p>
    <w:p>
      <w:pPr>
        <w:spacing w:line="360" w:lineRule="auto"/>
        <w:ind w:firstLine="480" w:firstLineChars="200"/>
        <w:jc w:val="both"/>
        <w:rPr>
          <w:rFonts w:eastAsia="仿宋_GB2312"/>
          <w:color w:val="000000" w:themeColor="text1"/>
          <w:highlight w:val="cyan"/>
        </w:rPr>
      </w:pPr>
      <w:r>
        <w:rPr>
          <w:rFonts w:eastAsia="仿宋_GB2312"/>
          <w:color w:val="000000" w:themeColor="text1"/>
        </w:rPr>
        <w:t>根据《水利部办公厅关于实施生产建设项目水土保持信用监管“两单”制度的通知》（办水保〔2020〕157号），监理单位如有：对施工单位违反规定擅自作出重大变更未予制止和督促整改的；对未批先弃、乱弃乱倒、顺坡溜渣、随意开挖等未予制止和督促整改的；应当列入水土保持“重点关注名单”。在“重点关注名单”公开期内再次发生应当列入“重点关注名单”情形的，或在监理工作及相关技术成果中弄虚作假、谋取不正当利益的，或被实施水土保持行政强制的，或拒不执行水土保持行政处罚决定的，应当列入水土保持“黑名单”。</w:t>
      </w:r>
    </w:p>
    <w:p>
      <w:pPr>
        <w:pStyle w:val="4"/>
        <w:spacing w:before="0" w:after="0" w:line="360" w:lineRule="auto"/>
        <w:rPr>
          <w:rFonts w:ascii="Times New Roman" w:hAnsi="Times New Roman" w:eastAsia="仿宋_GB2312"/>
          <w:color w:val="000000" w:themeColor="text1"/>
          <w:sz w:val="28"/>
          <w:szCs w:val="28"/>
        </w:rPr>
      </w:pPr>
      <w:bookmarkStart w:id="61" w:name="_Toc29972"/>
      <w:r>
        <w:rPr>
          <w:rFonts w:ascii="Times New Roman" w:hAnsi="Times New Roman" w:eastAsia="仿宋_GB2312"/>
          <w:color w:val="000000" w:themeColor="text1"/>
          <w:sz w:val="28"/>
          <w:szCs w:val="28"/>
        </w:rPr>
        <w:t>8.5水土保持施工</w:t>
      </w:r>
      <w:bookmarkEnd w:id="61"/>
    </w:p>
    <w:p>
      <w:pPr>
        <w:spacing w:line="360" w:lineRule="auto"/>
        <w:ind w:firstLine="480" w:firstLineChars="200"/>
        <w:jc w:val="both"/>
        <w:rPr>
          <w:rFonts w:eastAsia="仿宋_GB2312"/>
          <w:color w:val="000000" w:themeColor="text1"/>
        </w:rPr>
      </w:pPr>
      <w:r>
        <w:rPr>
          <w:rFonts w:eastAsia="仿宋_GB2312"/>
          <w:color w:val="000000" w:themeColor="text1"/>
        </w:rPr>
        <w:t>建设单位在水土保持方案施行过程中应采取“三制”质量保证措施，即实行项目法人责任制、工程招投标制和工程监理制，以保证水土保持方案的顺利施行，并达到预期目标。</w:t>
      </w:r>
    </w:p>
    <w:p>
      <w:pPr>
        <w:spacing w:line="360" w:lineRule="auto"/>
        <w:ind w:firstLine="480" w:firstLineChars="200"/>
        <w:jc w:val="both"/>
        <w:rPr>
          <w:rFonts w:eastAsia="仿宋_GB2312"/>
          <w:color w:val="000000" w:themeColor="text1"/>
        </w:rPr>
      </w:pPr>
      <w:r>
        <w:rPr>
          <w:rFonts w:eastAsia="仿宋_GB2312"/>
          <w:color w:val="000000" w:themeColor="text1"/>
        </w:rPr>
        <w:t>建设单位在主体工程招投标文件中，要明确施工和监理单位的水土保持责任和具体要求；建设单位应按水土保持工程技术要求，把水土保持工程各项内容纳入招投标文件的正式条款中，中标后承包商与建设单位签订水土保持责任合同，以合同条款形式明确承包商应承担的防治水土流失的责任、义务和施行的惩罚措施。在主体工程施工中，必须按照水土保持方案要求实施水土保持措施，保证水土保持工程效益的充分发挥，中标单位在实施本方案时，对设计内容如有变更，应按有关规定实施报批程序。工程建设所需砂石料，在购买合同中应明确料场的水土流失防治责任由供货方负责。</w:t>
      </w:r>
    </w:p>
    <w:p>
      <w:pPr>
        <w:spacing w:line="360" w:lineRule="auto"/>
        <w:ind w:firstLine="480" w:firstLineChars="200"/>
        <w:jc w:val="both"/>
        <w:rPr>
          <w:rFonts w:eastAsia="仿宋_GB2312"/>
          <w:color w:val="000000" w:themeColor="text1"/>
        </w:rPr>
      </w:pPr>
      <w:r>
        <w:rPr>
          <w:rFonts w:eastAsia="仿宋_GB2312"/>
          <w:color w:val="000000" w:themeColor="text1"/>
        </w:rPr>
        <w:t>为了保证工程水土保持方案提出的各项水土保持防治措施的实施和落实，本方案采取业主治理的方式，派专人负责管理，负责工程建设中的水土保持管理和实施工作，按照水土保持方案的治理措施、进度安排、技术标准等，严格要求施工单位，保质保量地完成水土保持各项措施。同时对施工单位组织《中华人民共和国水土保持法》学习、宣传工作，提高工程建设者的水土保持自觉行动意识。同时应配备水土保持专业人员，以解决措施实施过程中的技术问题，接受水行政主管部门的监督检查。</w:t>
      </w:r>
    </w:p>
    <w:p>
      <w:pPr>
        <w:spacing w:line="360" w:lineRule="auto"/>
        <w:ind w:firstLine="480" w:firstLineChars="200"/>
        <w:jc w:val="both"/>
        <w:rPr>
          <w:rFonts w:eastAsia="仿宋_GB2312"/>
          <w:color w:val="000000" w:themeColor="text1"/>
          <w:highlight w:val="cyan"/>
        </w:rPr>
      </w:pPr>
      <w:r>
        <w:rPr>
          <w:rFonts w:eastAsia="仿宋_GB2312"/>
          <w:color w:val="000000" w:themeColor="text1"/>
        </w:rPr>
        <w:t>根据《水利部办公厅关于实施生产建设项目水土保持信用监管“两单”制度的通知》（办水保〔2020〕157号），施工单位如有：水土保持工程、植物、临时措施落实到位不足50%的；未按照监督检查、监测、监理意见要求对未批先弃、乱弃乱倒、顺坡溜渣、随意开挖等问题进行整改的；应当列入水土保持“重点关注名单”。在“重点关注名单”公开期内再次发生应当列入“重点关注名单”情形的，或在施工工作及相关技术成果中弄虚作假、谋取不正当利益的，或被实施水土保持行政强制的，或拒不执行水土保持行政处罚决定的，应当列入水土保持“黑名单”。</w:t>
      </w:r>
    </w:p>
    <w:p>
      <w:pPr>
        <w:pStyle w:val="4"/>
        <w:spacing w:before="0" w:after="0" w:line="360" w:lineRule="auto"/>
        <w:rPr>
          <w:rFonts w:ascii="Times New Roman" w:hAnsi="Times New Roman" w:eastAsia="仿宋_GB2312"/>
          <w:b w:val="0"/>
          <w:color w:val="000000" w:themeColor="text1"/>
          <w:szCs w:val="24"/>
        </w:rPr>
      </w:pPr>
      <w:bookmarkStart w:id="62" w:name="_Toc7671"/>
      <w:r>
        <w:rPr>
          <w:rFonts w:ascii="Times New Roman" w:hAnsi="Times New Roman" w:eastAsia="仿宋_GB2312"/>
          <w:color w:val="000000" w:themeColor="text1"/>
          <w:sz w:val="28"/>
          <w:szCs w:val="28"/>
        </w:rPr>
        <w:t>8.6水土保持设施验收</w:t>
      </w:r>
      <w:bookmarkEnd w:id="62"/>
    </w:p>
    <w:p>
      <w:pPr>
        <w:spacing w:line="360" w:lineRule="auto"/>
        <w:ind w:firstLine="480" w:firstLineChars="200"/>
        <w:rPr>
          <w:rFonts w:eastAsia="仿宋_GB2312"/>
          <w:color w:val="000000" w:themeColor="text1"/>
        </w:rPr>
      </w:pPr>
      <w:r>
        <w:rPr>
          <w:rFonts w:eastAsia="仿宋_GB2312"/>
          <w:color w:val="000000" w:themeColor="text1"/>
        </w:rPr>
        <w:t>按照《水利部关于加强事中事后监管规范生产建设项目水土保持设施自主验收的通知》（水保﹝2017﹞365号）、《生产建设项目水土保持设施自主验收规程(试行)》（办水保﹝2018﹞133号）和《水利部办公厅关于印发生产建设项目水土保持监督管理办法的通知》（水保﹝2019﹞172号）要求，项目投产使用前，生产建设单位应当根据水土保持方案及其审批决定，组织第三方机构编制该项工程水土保持设施验收报告。</w:t>
      </w:r>
    </w:p>
    <w:p>
      <w:pPr>
        <w:spacing w:line="360" w:lineRule="auto"/>
        <w:ind w:firstLine="480" w:firstLineChars="200"/>
        <w:rPr>
          <w:rFonts w:eastAsia="仿宋_GB2312"/>
          <w:color w:val="000000" w:themeColor="text1"/>
        </w:rPr>
      </w:pPr>
      <w:r>
        <w:rPr>
          <w:rFonts w:eastAsia="仿宋_GB2312"/>
          <w:color w:val="000000" w:themeColor="text1"/>
        </w:rPr>
        <w:t>水土保持设施验收报告编制完成后，生产建设单位应当按照水土保持法律法规、标准规范、水土保持方案及其审批决定、水土保持后续设计等，组织水土保持设施验收工作，形成验收鉴定书，明确水土保持设施验收合格的结论。水土保持设施验收合格后，生产建设项目方可通过竣工验收和投产使用。</w:t>
      </w:r>
    </w:p>
    <w:p>
      <w:pPr>
        <w:spacing w:line="360" w:lineRule="auto"/>
        <w:ind w:firstLine="480" w:firstLineChars="200"/>
        <w:rPr>
          <w:rFonts w:eastAsia="仿宋_GB2312"/>
          <w:color w:val="000000" w:themeColor="text1"/>
        </w:rPr>
      </w:pPr>
      <w:r>
        <w:rPr>
          <w:rFonts w:eastAsia="仿宋_GB2312"/>
          <w:color w:val="000000" w:themeColor="text1"/>
        </w:rPr>
        <w:t>根据《水利部办公厅关于实施生产建设项目水土保持信用监管“两单”制度的通知》（办水保〔2020〕157号），验收报告编制单位如有：不满足验收标准和条件而作出验收结论的；应当列入水土保持“重点关注名单”。在“重点关注名单”公开期内再次发生应当列入“重点关注名单”情形的，或在验收工作及相关技术成果中弄虚作假、谋取不正当利益的，或被实施水土保持行政强制的，或拒不执行水土保持行政处罚决定的，应当列入水土保持“黑名单”。</w:t>
      </w:r>
    </w:p>
    <w:p>
      <w:pPr>
        <w:spacing w:line="360" w:lineRule="auto"/>
        <w:ind w:firstLine="480" w:firstLineChars="200"/>
        <w:rPr>
          <w:rFonts w:eastAsia="仿宋_GB2312"/>
          <w:color w:val="000000" w:themeColor="text1"/>
        </w:rPr>
      </w:pPr>
      <w:r>
        <w:rPr>
          <w:rFonts w:eastAsia="仿宋_GB2312"/>
          <w:color w:val="000000" w:themeColor="text1"/>
        </w:rPr>
        <w:t>生产建设单位应当在水土保持设施验收合格后，及时在其官方网站或者其他公众知悉的网站公开水土保持设施验收材料，公开时间不得少于20个工作日。对于公众反映的主要问题和意见，生产建设单位应当及时给予处理或回应。</w:t>
      </w:r>
    </w:p>
    <w:p>
      <w:pPr>
        <w:spacing w:line="360" w:lineRule="auto"/>
        <w:ind w:firstLine="480" w:firstLineChars="200"/>
        <w:rPr>
          <w:rFonts w:eastAsia="仿宋_GB2312"/>
          <w:color w:val="000000" w:themeColor="text1"/>
          <w:highlight w:val="cyan"/>
        </w:rPr>
        <w:sectPr>
          <w:headerReference r:id="rId25" w:type="default"/>
          <w:footerReference r:id="rId26" w:type="default"/>
          <w:pgSz w:w="11906" w:h="16838"/>
          <w:pgMar w:top="1440" w:right="1797" w:bottom="1440" w:left="1797" w:header="851" w:footer="992" w:gutter="0"/>
          <w:cols w:space="720" w:num="1"/>
          <w:docGrid w:linePitch="312" w:charSpace="0"/>
        </w:sectPr>
      </w:pPr>
      <w:r>
        <w:rPr>
          <w:rFonts w:eastAsia="仿宋_GB2312"/>
          <w:color w:val="000000" w:themeColor="text1"/>
        </w:rPr>
        <w:t>生产建设单位应当在水土保持措施验收通过3个月内，向水土保持方案审批机关报备水土保持设施验收材料。报备材料包括水土保持设施验收鉴定书、水土保持设施验收报告和水土保持监测总结报告。建设单位、第三方机构和水土保持监测机构分别对水土保持设施验收鉴定书、水土保持设施验收报告和水土保持监测总结报告等材料的真实性负责。</w:t>
      </w:r>
    </w:p>
    <w:p>
      <w:pPr>
        <w:ind w:right="280"/>
        <w:rPr>
          <w:color w:val="000000" w:themeColor="text1"/>
          <w:szCs w:val="28"/>
          <w:highlight w:val="cyan"/>
        </w:rPr>
      </w:pPr>
    </w:p>
    <w:p>
      <w:pPr>
        <w:spacing w:after="156" w:afterLines="50"/>
        <w:ind w:right="-552" w:rightChars="-230"/>
        <w:jc w:val="both"/>
        <w:rPr>
          <w:b/>
          <w:bCs/>
          <w:color w:val="000000" w:themeColor="text1"/>
          <w:sz w:val="44"/>
          <w:szCs w:val="44"/>
          <w:highlight w:val="cyan"/>
        </w:rPr>
      </w:pPr>
    </w:p>
    <w:p>
      <w:pPr>
        <w:spacing w:after="156" w:afterLines="50"/>
        <w:ind w:right="-552" w:rightChars="-230"/>
        <w:jc w:val="center"/>
        <w:rPr>
          <w:rFonts w:hint="eastAsia" w:eastAsia="宋体"/>
          <w:b/>
          <w:bCs/>
          <w:color w:val="000000" w:themeColor="text1"/>
          <w:sz w:val="44"/>
          <w:szCs w:val="44"/>
          <w:lang w:eastAsia="zh-CN"/>
        </w:rPr>
      </w:pPr>
      <w:r>
        <w:rPr>
          <w:rFonts w:hint="eastAsia"/>
          <w:b/>
          <w:bCs/>
          <w:color w:val="000000" w:themeColor="text1"/>
          <w:sz w:val="44"/>
          <w:szCs w:val="44"/>
          <w:lang w:eastAsia="zh-CN"/>
        </w:rPr>
        <w:t>农安县东兴实业有限公司蒸压加气泥凝块年产40万立方项目</w:t>
      </w:r>
    </w:p>
    <w:p>
      <w:pPr>
        <w:spacing w:after="156" w:afterLines="50"/>
        <w:ind w:right="-552" w:rightChars="-230"/>
        <w:jc w:val="center"/>
        <w:rPr>
          <w:rFonts w:eastAsia="黑体"/>
          <w:color w:val="000000" w:themeColor="text1"/>
          <w:sz w:val="21"/>
          <w:szCs w:val="21"/>
        </w:rPr>
      </w:pPr>
      <w:r>
        <w:rPr>
          <w:rFonts w:eastAsia="黑体"/>
          <w:b/>
          <w:bCs/>
          <w:color w:val="000000" w:themeColor="text1"/>
          <w:sz w:val="84"/>
          <w:szCs w:val="84"/>
        </w:rPr>
        <w:t>水土保持方案报告</w:t>
      </w:r>
      <w:r>
        <w:rPr>
          <w:rFonts w:hint="eastAsia" w:eastAsia="黑体"/>
          <w:b/>
          <w:bCs/>
          <w:color w:val="000000" w:themeColor="text1"/>
          <w:sz w:val="84"/>
          <w:szCs w:val="84"/>
        </w:rPr>
        <w:t>表</w:t>
      </w:r>
    </w:p>
    <w:p>
      <w:pPr>
        <w:ind w:left="280" w:right="280"/>
        <w:jc w:val="center"/>
        <w:rPr>
          <w:color w:val="000000" w:themeColor="text1"/>
          <w:sz w:val="21"/>
          <w:szCs w:val="21"/>
        </w:rPr>
      </w:pPr>
    </w:p>
    <w:p>
      <w:pPr>
        <w:ind w:right="280"/>
        <w:jc w:val="both"/>
        <w:rPr>
          <w:color w:val="000000" w:themeColor="text1"/>
          <w:sz w:val="21"/>
          <w:szCs w:val="21"/>
        </w:rPr>
      </w:pPr>
    </w:p>
    <w:p>
      <w:pPr>
        <w:ind w:left="280" w:right="280"/>
        <w:jc w:val="center"/>
        <w:rPr>
          <w:color w:val="000000" w:themeColor="text1"/>
          <w:sz w:val="21"/>
          <w:szCs w:val="21"/>
        </w:rPr>
      </w:pPr>
    </w:p>
    <w:p>
      <w:pPr>
        <w:ind w:left="280" w:right="280"/>
        <w:jc w:val="center"/>
        <w:rPr>
          <w:color w:val="000000" w:themeColor="text1"/>
          <w:sz w:val="72"/>
          <w:szCs w:val="72"/>
        </w:rPr>
      </w:pPr>
      <w:r>
        <w:rPr>
          <w:b/>
          <w:color w:val="000000" w:themeColor="text1"/>
          <w:sz w:val="72"/>
          <w:szCs w:val="72"/>
        </w:rPr>
        <w:t>附 表</w:t>
      </w:r>
    </w:p>
    <w:p>
      <w:pPr>
        <w:ind w:left="280" w:right="280"/>
        <w:jc w:val="center"/>
        <w:rPr>
          <w:color w:val="000000" w:themeColor="text1"/>
          <w:sz w:val="32"/>
        </w:rPr>
      </w:pPr>
    </w:p>
    <w:p>
      <w:pPr>
        <w:ind w:left="280" w:right="280"/>
        <w:jc w:val="both"/>
        <w:rPr>
          <w:color w:val="000000" w:themeColor="text1"/>
          <w:sz w:val="32"/>
        </w:rPr>
      </w:pPr>
    </w:p>
    <w:p>
      <w:pPr>
        <w:ind w:left="280" w:right="280"/>
        <w:jc w:val="center"/>
        <w:rPr>
          <w:color w:val="000000" w:themeColor="text1"/>
          <w:sz w:val="32"/>
        </w:rPr>
      </w:pPr>
    </w:p>
    <w:p>
      <w:pPr>
        <w:ind w:right="280"/>
        <w:jc w:val="both"/>
        <w:rPr>
          <w:color w:val="000000" w:themeColor="text1"/>
          <w:sz w:val="32"/>
        </w:rPr>
      </w:pPr>
    </w:p>
    <w:p>
      <w:pPr>
        <w:ind w:right="280"/>
        <w:jc w:val="both"/>
        <w:rPr>
          <w:color w:val="000000" w:themeColor="text1"/>
          <w:sz w:val="32"/>
        </w:rPr>
      </w:pPr>
    </w:p>
    <w:p>
      <w:pPr>
        <w:pStyle w:val="2"/>
        <w:ind w:left="0" w:leftChars="0"/>
        <w:rPr>
          <w:color w:val="000000" w:themeColor="text1"/>
        </w:rPr>
      </w:pPr>
    </w:p>
    <w:p>
      <w:pPr>
        <w:rPr>
          <w:color w:val="000000" w:themeColor="text1"/>
        </w:rPr>
      </w:pPr>
    </w:p>
    <w:p>
      <w:pPr>
        <w:pStyle w:val="2"/>
        <w:ind w:left="480"/>
        <w:rPr>
          <w:color w:val="000000" w:themeColor="text1"/>
        </w:rPr>
      </w:pPr>
    </w:p>
    <w:p>
      <w:pPr>
        <w:pStyle w:val="86"/>
        <w:rPr>
          <w:rFonts w:ascii="Times New Roman" w:hAnsi="Times New Roman" w:cs="Times New Roman"/>
          <w:color w:val="000000" w:themeColor="text1"/>
        </w:rPr>
      </w:pPr>
    </w:p>
    <w:p>
      <w:pPr>
        <w:ind w:right="280"/>
        <w:jc w:val="both"/>
        <w:rPr>
          <w:color w:val="000000" w:themeColor="text1"/>
          <w:sz w:val="32"/>
        </w:rPr>
      </w:pPr>
    </w:p>
    <w:p>
      <w:pPr>
        <w:pStyle w:val="2"/>
        <w:ind w:left="480"/>
        <w:rPr>
          <w:color w:val="000000" w:themeColor="text1"/>
          <w:sz w:val="32"/>
        </w:rPr>
      </w:pPr>
    </w:p>
    <w:p>
      <w:pPr>
        <w:rPr>
          <w:color w:val="000000" w:themeColor="text1"/>
        </w:rPr>
      </w:pPr>
    </w:p>
    <w:tbl>
      <w:tblPr>
        <w:tblStyle w:val="23"/>
        <w:tblW w:w="0" w:type="auto"/>
        <w:jc w:val="center"/>
        <w:tblLayout w:type="fixed"/>
        <w:tblCellMar>
          <w:top w:w="0" w:type="dxa"/>
          <w:left w:w="108" w:type="dxa"/>
          <w:bottom w:w="0" w:type="dxa"/>
          <w:right w:w="0" w:type="dxa"/>
        </w:tblCellMar>
      </w:tblPr>
      <w:tblGrid>
        <w:gridCol w:w="2091"/>
        <w:gridCol w:w="6999"/>
      </w:tblGrid>
      <w:tr>
        <w:tblPrEx>
          <w:tblCellMar>
            <w:top w:w="0" w:type="dxa"/>
            <w:left w:w="108" w:type="dxa"/>
            <w:bottom w:w="0" w:type="dxa"/>
            <w:right w:w="0" w:type="dxa"/>
          </w:tblCellMar>
        </w:tblPrEx>
        <w:trPr>
          <w:trHeight w:val="558" w:hRule="atLeast"/>
          <w:jc w:val="center"/>
        </w:trPr>
        <w:tc>
          <w:tcPr>
            <w:tcW w:w="2091" w:type="dxa"/>
          </w:tcPr>
          <w:p>
            <w:pPr>
              <w:ind w:left="41" w:leftChars="-99" w:right="160" w:hanging="279" w:hangingChars="87"/>
              <w:jc w:val="right"/>
              <w:rPr>
                <w:b/>
                <w:color w:val="000000" w:themeColor="text1"/>
                <w:sz w:val="32"/>
                <w:szCs w:val="32"/>
              </w:rPr>
            </w:pPr>
            <w:r>
              <w:rPr>
                <w:b/>
                <w:color w:val="000000" w:themeColor="text1"/>
                <w:sz w:val="32"/>
                <w:szCs w:val="32"/>
              </w:rPr>
              <w:t>编制单位：</w:t>
            </w:r>
          </w:p>
        </w:tc>
        <w:tc>
          <w:tcPr>
            <w:tcW w:w="6999" w:type="dxa"/>
          </w:tcPr>
          <w:p>
            <w:pPr>
              <w:ind w:left="279" w:right="280" w:hanging="279" w:hangingChars="87"/>
              <w:jc w:val="distribute"/>
              <w:rPr>
                <w:b/>
                <w:color w:val="000000" w:themeColor="text1"/>
                <w:sz w:val="32"/>
                <w:szCs w:val="32"/>
              </w:rPr>
            </w:pPr>
            <w:r>
              <w:rPr>
                <w:b/>
                <w:color w:val="000000" w:themeColor="text1"/>
                <w:sz w:val="32"/>
                <w:szCs w:val="32"/>
              </w:rPr>
              <w:t>吉林省玖伏环境科技有限公司</w:t>
            </w:r>
          </w:p>
        </w:tc>
      </w:tr>
      <w:tr>
        <w:tblPrEx>
          <w:tblCellMar>
            <w:top w:w="0" w:type="dxa"/>
            <w:left w:w="108" w:type="dxa"/>
            <w:bottom w:w="0" w:type="dxa"/>
            <w:right w:w="0" w:type="dxa"/>
          </w:tblCellMar>
        </w:tblPrEx>
        <w:trPr>
          <w:trHeight w:val="557" w:hRule="atLeast"/>
          <w:jc w:val="center"/>
        </w:trPr>
        <w:tc>
          <w:tcPr>
            <w:tcW w:w="9090" w:type="dxa"/>
            <w:gridSpan w:val="2"/>
          </w:tcPr>
          <w:p>
            <w:pPr>
              <w:ind w:left="280" w:right="280"/>
              <w:jc w:val="center"/>
              <w:rPr>
                <w:color w:val="000000" w:themeColor="text1"/>
                <w:sz w:val="32"/>
                <w:szCs w:val="32"/>
              </w:rPr>
            </w:pPr>
            <w:r>
              <w:rPr>
                <w:b/>
                <w:bCs/>
                <w:color w:val="000000" w:themeColor="text1"/>
                <w:sz w:val="32"/>
                <w:szCs w:val="32"/>
              </w:rPr>
              <w:t>202</w:t>
            </w:r>
            <w:r>
              <w:rPr>
                <w:rFonts w:hint="eastAsia"/>
                <w:b/>
                <w:bCs/>
                <w:color w:val="000000" w:themeColor="text1"/>
                <w:sz w:val="32"/>
                <w:szCs w:val="32"/>
                <w:lang w:val="en-US" w:eastAsia="zh-CN"/>
              </w:rPr>
              <w:t>3</w:t>
            </w:r>
            <w:r>
              <w:rPr>
                <w:b/>
                <w:bCs/>
                <w:color w:val="000000" w:themeColor="text1"/>
                <w:sz w:val="32"/>
                <w:szCs w:val="32"/>
              </w:rPr>
              <w:t>年</w:t>
            </w:r>
            <w:r>
              <w:rPr>
                <w:rFonts w:hint="eastAsia"/>
                <w:b/>
                <w:bCs/>
                <w:color w:val="000000" w:themeColor="text1"/>
                <w:sz w:val="32"/>
                <w:szCs w:val="32"/>
                <w:lang w:val="en-US" w:eastAsia="zh-CN"/>
              </w:rPr>
              <w:t>1</w:t>
            </w:r>
            <w:r>
              <w:rPr>
                <w:b/>
                <w:bCs/>
                <w:color w:val="000000" w:themeColor="text1"/>
                <w:sz w:val="32"/>
                <w:szCs w:val="32"/>
              </w:rPr>
              <w:t>月</w:t>
            </w:r>
          </w:p>
        </w:tc>
      </w:tr>
    </w:tbl>
    <w:p>
      <w:pPr>
        <w:tabs>
          <w:tab w:val="left" w:pos="1440"/>
        </w:tabs>
        <w:spacing w:line="360" w:lineRule="auto"/>
        <w:jc w:val="both"/>
        <w:rPr>
          <w:rFonts w:eastAsia="仿宋_GB2312"/>
          <w:b/>
          <w:color w:val="000000" w:themeColor="text1"/>
          <w:sz w:val="28"/>
          <w:szCs w:val="28"/>
        </w:rPr>
      </w:pPr>
    </w:p>
    <w:p>
      <w:pPr>
        <w:tabs>
          <w:tab w:val="left" w:pos="1440"/>
        </w:tabs>
        <w:spacing w:line="360" w:lineRule="auto"/>
        <w:jc w:val="center"/>
        <w:rPr>
          <w:rFonts w:eastAsia="仿宋_GB2312"/>
          <w:b/>
          <w:color w:val="000000" w:themeColor="text1"/>
          <w:sz w:val="28"/>
          <w:szCs w:val="28"/>
        </w:rPr>
      </w:pPr>
      <w:r>
        <w:rPr>
          <w:rFonts w:eastAsia="仿宋_GB2312"/>
          <w:b/>
          <w:color w:val="000000" w:themeColor="text1"/>
          <w:sz w:val="28"/>
          <w:szCs w:val="28"/>
        </w:rPr>
        <w:t>附表1        防治责任范围表</w:t>
      </w:r>
    </w:p>
    <w:p>
      <w:pPr>
        <w:snapToGrid w:val="0"/>
        <w:spacing w:line="360" w:lineRule="auto"/>
        <w:ind w:firstLine="480" w:firstLineChars="200"/>
        <w:rPr>
          <w:rFonts w:eastAsia="仿宋_GB2312"/>
          <w:color w:val="000000" w:themeColor="text1"/>
        </w:rPr>
      </w:pPr>
      <w:r>
        <w:rPr>
          <w:rFonts w:eastAsia="仿宋_GB2312"/>
          <w:color w:val="000000" w:themeColor="text1"/>
          <w:szCs w:val="24"/>
        </w:rPr>
        <w:t>生产建设项目水土流失防治责任范围应包括项目永久征地、临时用地（含租赁土地）以及其他使用与管辖区域。根据本项目主体工程文件、野外实地考察和同类项目类比调查，经统计分析，确定本项目水土流失防治责任范围为</w:t>
      </w:r>
      <w:r>
        <w:rPr>
          <w:rFonts w:hint="eastAsia" w:eastAsia="仿宋_GB2312"/>
          <w:color w:val="000000" w:themeColor="text1"/>
          <w:szCs w:val="24"/>
          <w:lang w:val="en-US" w:eastAsia="zh-CN"/>
        </w:rPr>
        <w:t>1.30</w:t>
      </w:r>
      <w:r>
        <w:rPr>
          <w:rFonts w:eastAsia="仿宋_GB2312"/>
          <w:color w:val="000000" w:themeColor="text1"/>
          <w:szCs w:val="24"/>
        </w:rPr>
        <w:t>hm²。具体见下表：</w:t>
      </w:r>
    </w:p>
    <w:p>
      <w:pPr>
        <w:spacing w:line="360" w:lineRule="auto"/>
        <w:jc w:val="center"/>
        <w:rPr>
          <w:rFonts w:eastAsia="仿宋_GB2312"/>
          <w:b/>
          <w:color w:val="000000" w:themeColor="text1"/>
          <w:szCs w:val="24"/>
        </w:rPr>
      </w:pPr>
      <w:r>
        <w:rPr>
          <w:rFonts w:eastAsia="仿宋_GB2312"/>
          <w:b/>
          <w:color w:val="000000" w:themeColor="text1"/>
          <w:szCs w:val="24"/>
        </w:rPr>
        <w:t>水土流失防治责任范围表</w:t>
      </w:r>
    </w:p>
    <w:tbl>
      <w:tblPr>
        <w:tblStyle w:val="23"/>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891"/>
        <w:gridCol w:w="1950"/>
        <w:gridCol w:w="1648"/>
        <w:gridCol w:w="203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91" w:type="dxa"/>
            <w:tcBorders>
              <w:tl2br w:val="nil"/>
              <w:tr2bl w:val="nil"/>
            </w:tcBorders>
            <w:vAlign w:val="center"/>
          </w:tcPr>
          <w:p>
            <w:pPr>
              <w:widowControl/>
              <w:spacing w:line="240" w:lineRule="auto"/>
              <w:jc w:val="center"/>
              <w:rPr>
                <w:rFonts w:eastAsia="仿宋_GB2312"/>
                <w:color w:val="000000" w:themeColor="text1"/>
                <w:kern w:val="2"/>
                <w:sz w:val="21"/>
                <w:szCs w:val="21"/>
              </w:rPr>
            </w:pPr>
            <w:r>
              <w:rPr>
                <w:rFonts w:eastAsia="仿宋_GB2312"/>
                <w:color w:val="000000" w:themeColor="text1"/>
                <w:kern w:val="2"/>
                <w:sz w:val="21"/>
                <w:szCs w:val="21"/>
              </w:rPr>
              <w:t>项目分区</w:t>
            </w:r>
          </w:p>
        </w:tc>
        <w:tc>
          <w:tcPr>
            <w:tcW w:w="1950" w:type="dxa"/>
            <w:tcBorders>
              <w:tl2br w:val="nil"/>
              <w:tr2bl w:val="nil"/>
            </w:tcBorders>
            <w:vAlign w:val="center"/>
          </w:tcPr>
          <w:p>
            <w:pPr>
              <w:widowControl/>
              <w:spacing w:line="240" w:lineRule="auto"/>
              <w:jc w:val="center"/>
              <w:rPr>
                <w:rFonts w:eastAsia="仿宋_GB2312"/>
                <w:color w:val="000000" w:themeColor="text1"/>
                <w:kern w:val="2"/>
                <w:sz w:val="21"/>
                <w:szCs w:val="21"/>
              </w:rPr>
            </w:pPr>
            <w:r>
              <w:rPr>
                <w:rFonts w:eastAsia="仿宋_GB2312"/>
                <w:color w:val="000000" w:themeColor="text1"/>
                <w:kern w:val="2"/>
                <w:sz w:val="21"/>
                <w:szCs w:val="21"/>
              </w:rPr>
              <w:t>永久征地（hm²）</w:t>
            </w:r>
          </w:p>
        </w:tc>
        <w:tc>
          <w:tcPr>
            <w:tcW w:w="1648" w:type="dxa"/>
            <w:tcBorders>
              <w:tl2br w:val="nil"/>
              <w:tr2bl w:val="nil"/>
            </w:tcBorders>
            <w:vAlign w:val="center"/>
          </w:tcPr>
          <w:p>
            <w:pPr>
              <w:widowControl/>
              <w:spacing w:line="240" w:lineRule="auto"/>
              <w:jc w:val="center"/>
              <w:rPr>
                <w:rFonts w:eastAsia="仿宋_GB2312"/>
                <w:color w:val="000000" w:themeColor="text1"/>
                <w:kern w:val="2"/>
                <w:sz w:val="21"/>
                <w:szCs w:val="21"/>
              </w:rPr>
            </w:pPr>
            <w:r>
              <w:rPr>
                <w:rFonts w:eastAsia="仿宋_GB2312"/>
                <w:color w:val="000000" w:themeColor="text1"/>
                <w:kern w:val="2"/>
                <w:sz w:val="21"/>
                <w:szCs w:val="21"/>
              </w:rPr>
              <w:t>临时用地（hm²）</w:t>
            </w:r>
          </w:p>
        </w:tc>
        <w:tc>
          <w:tcPr>
            <w:tcW w:w="2033" w:type="dxa"/>
            <w:tcBorders>
              <w:tl2br w:val="nil"/>
              <w:tr2bl w:val="nil"/>
            </w:tcBorders>
            <w:vAlign w:val="center"/>
          </w:tcPr>
          <w:p>
            <w:pPr>
              <w:widowControl/>
              <w:spacing w:line="240" w:lineRule="auto"/>
              <w:jc w:val="center"/>
              <w:rPr>
                <w:rFonts w:eastAsia="仿宋_GB2312"/>
                <w:color w:val="000000" w:themeColor="text1"/>
                <w:kern w:val="2"/>
                <w:sz w:val="21"/>
                <w:szCs w:val="21"/>
              </w:rPr>
            </w:pPr>
            <w:r>
              <w:rPr>
                <w:rFonts w:eastAsia="仿宋_GB2312"/>
                <w:color w:val="000000" w:themeColor="text1"/>
                <w:kern w:val="2"/>
                <w:sz w:val="21"/>
                <w:szCs w:val="21"/>
              </w:rPr>
              <w:t>防治责任范围（hm²）</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91" w:type="dxa"/>
            <w:tcBorders>
              <w:tl2br w:val="nil"/>
              <w:tr2bl w:val="nil"/>
            </w:tcBorders>
            <w:vAlign w:val="center"/>
          </w:tcPr>
          <w:p>
            <w:pPr>
              <w:widowControl/>
              <w:adjustRightInd/>
              <w:spacing w:line="240" w:lineRule="auto"/>
              <w:jc w:val="center"/>
              <w:textAlignment w:val="auto"/>
              <w:rPr>
                <w:rFonts w:eastAsia="仿宋_GB2312"/>
                <w:color w:val="000000" w:themeColor="text1"/>
                <w:kern w:val="2"/>
                <w:sz w:val="21"/>
                <w:szCs w:val="21"/>
              </w:rPr>
            </w:pPr>
            <w:r>
              <w:rPr>
                <w:rFonts w:eastAsia="仿宋_GB2312"/>
                <w:color w:val="000000" w:themeColor="text1"/>
                <w:sz w:val="21"/>
                <w:szCs w:val="21"/>
              </w:rPr>
              <w:t>工程建设区</w:t>
            </w:r>
          </w:p>
        </w:tc>
        <w:tc>
          <w:tcPr>
            <w:tcW w:w="1950" w:type="dxa"/>
            <w:tcBorders>
              <w:tl2br w:val="nil"/>
              <w:tr2bl w:val="nil"/>
            </w:tcBorders>
            <w:vAlign w:val="center"/>
          </w:tcPr>
          <w:p>
            <w:pPr>
              <w:widowControl/>
              <w:adjustRightInd/>
              <w:spacing w:line="240" w:lineRule="auto"/>
              <w:jc w:val="center"/>
              <w:textAlignment w:val="auto"/>
              <w:rPr>
                <w:rFonts w:hint="default" w:eastAsia="仿宋_GB2312"/>
                <w:color w:val="000000" w:themeColor="text1"/>
                <w:kern w:val="2"/>
                <w:sz w:val="21"/>
                <w:szCs w:val="21"/>
                <w:lang w:val="en-US" w:eastAsia="zh-CN"/>
              </w:rPr>
            </w:pPr>
            <w:r>
              <w:rPr>
                <w:rFonts w:hint="eastAsia" w:eastAsia="仿宋_GB2312"/>
                <w:color w:val="000000" w:themeColor="text1"/>
                <w:kern w:val="2"/>
                <w:sz w:val="21"/>
                <w:szCs w:val="21"/>
                <w:lang w:val="en-US" w:eastAsia="zh-CN"/>
              </w:rPr>
              <w:t>1.30</w:t>
            </w:r>
          </w:p>
        </w:tc>
        <w:tc>
          <w:tcPr>
            <w:tcW w:w="1648" w:type="dxa"/>
            <w:tcBorders>
              <w:tl2br w:val="nil"/>
              <w:tr2bl w:val="nil"/>
            </w:tcBorders>
            <w:vAlign w:val="center"/>
          </w:tcPr>
          <w:p>
            <w:pPr>
              <w:widowControl/>
              <w:adjustRightInd/>
              <w:spacing w:line="240" w:lineRule="auto"/>
              <w:jc w:val="center"/>
              <w:textAlignment w:val="auto"/>
              <w:rPr>
                <w:rFonts w:eastAsia="仿宋_GB2312"/>
                <w:color w:val="000000" w:themeColor="text1"/>
                <w:kern w:val="2"/>
                <w:sz w:val="21"/>
                <w:szCs w:val="21"/>
              </w:rPr>
            </w:pPr>
            <w:r>
              <w:rPr>
                <w:rFonts w:hint="eastAsia" w:eastAsia="仿宋_GB2312"/>
                <w:color w:val="000000" w:themeColor="text1"/>
                <w:kern w:val="2"/>
                <w:sz w:val="21"/>
                <w:szCs w:val="21"/>
              </w:rPr>
              <w:t>0</w:t>
            </w:r>
          </w:p>
        </w:tc>
        <w:tc>
          <w:tcPr>
            <w:tcW w:w="2033" w:type="dxa"/>
            <w:tcBorders>
              <w:tl2br w:val="nil"/>
              <w:tr2bl w:val="nil"/>
            </w:tcBorders>
            <w:vAlign w:val="center"/>
          </w:tcPr>
          <w:p>
            <w:pPr>
              <w:widowControl/>
              <w:adjustRightInd/>
              <w:spacing w:line="240" w:lineRule="auto"/>
              <w:jc w:val="center"/>
              <w:textAlignment w:val="auto"/>
              <w:rPr>
                <w:rFonts w:hint="eastAsia" w:eastAsia="仿宋_GB2312"/>
                <w:color w:val="000000" w:themeColor="text1"/>
                <w:kern w:val="2"/>
                <w:sz w:val="21"/>
                <w:szCs w:val="21"/>
                <w:lang w:eastAsia="zh-CN"/>
              </w:rPr>
            </w:pPr>
            <w:r>
              <w:rPr>
                <w:rFonts w:hint="eastAsia" w:eastAsia="仿宋_GB2312"/>
                <w:color w:val="000000" w:themeColor="text1"/>
                <w:kern w:val="2"/>
                <w:sz w:val="21"/>
                <w:szCs w:val="21"/>
                <w:lang w:val="en-US" w:eastAsia="zh-CN"/>
              </w:rPr>
              <w:t>1.30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91" w:type="dxa"/>
            <w:tcBorders>
              <w:tl2br w:val="nil"/>
              <w:tr2bl w:val="nil"/>
            </w:tcBorders>
            <w:vAlign w:val="center"/>
          </w:tcPr>
          <w:p>
            <w:pPr>
              <w:widowControl/>
              <w:adjustRightInd/>
              <w:spacing w:line="240" w:lineRule="auto"/>
              <w:jc w:val="center"/>
              <w:textAlignment w:val="auto"/>
              <w:rPr>
                <w:rFonts w:eastAsia="仿宋_GB2312"/>
                <w:color w:val="000000" w:themeColor="text1"/>
                <w:kern w:val="2"/>
                <w:sz w:val="21"/>
                <w:szCs w:val="21"/>
              </w:rPr>
            </w:pPr>
            <w:r>
              <w:rPr>
                <w:rFonts w:eastAsia="仿宋_GB2312"/>
                <w:color w:val="000000" w:themeColor="text1"/>
                <w:sz w:val="21"/>
                <w:szCs w:val="21"/>
              </w:rPr>
              <w:t>合计</w:t>
            </w:r>
          </w:p>
        </w:tc>
        <w:tc>
          <w:tcPr>
            <w:tcW w:w="1950" w:type="dxa"/>
            <w:tcBorders>
              <w:tl2br w:val="nil"/>
              <w:tr2bl w:val="nil"/>
            </w:tcBorders>
            <w:vAlign w:val="center"/>
          </w:tcPr>
          <w:p>
            <w:pPr>
              <w:widowControl/>
              <w:adjustRightInd/>
              <w:spacing w:line="240" w:lineRule="auto"/>
              <w:jc w:val="center"/>
              <w:textAlignment w:val="auto"/>
              <w:rPr>
                <w:rFonts w:hint="eastAsia" w:eastAsia="仿宋_GB2312"/>
                <w:color w:val="000000" w:themeColor="text1"/>
                <w:sz w:val="21"/>
                <w:szCs w:val="21"/>
                <w:lang w:eastAsia="zh-CN"/>
              </w:rPr>
            </w:pPr>
            <w:r>
              <w:rPr>
                <w:rFonts w:hint="eastAsia" w:eastAsia="仿宋_GB2312"/>
                <w:color w:val="000000" w:themeColor="text1"/>
                <w:kern w:val="2"/>
                <w:sz w:val="21"/>
                <w:szCs w:val="21"/>
                <w:lang w:val="en-US" w:eastAsia="zh-CN"/>
              </w:rPr>
              <w:t>1.30</w:t>
            </w:r>
          </w:p>
        </w:tc>
        <w:tc>
          <w:tcPr>
            <w:tcW w:w="1648" w:type="dxa"/>
            <w:tcBorders>
              <w:tl2br w:val="nil"/>
              <w:tr2bl w:val="nil"/>
            </w:tcBorders>
            <w:vAlign w:val="center"/>
          </w:tcPr>
          <w:p>
            <w:pPr>
              <w:widowControl/>
              <w:adjustRightInd/>
              <w:spacing w:line="240" w:lineRule="auto"/>
              <w:jc w:val="center"/>
              <w:textAlignment w:val="auto"/>
              <w:rPr>
                <w:rFonts w:eastAsia="仿宋_GB2312"/>
                <w:color w:val="000000" w:themeColor="text1"/>
                <w:sz w:val="21"/>
                <w:szCs w:val="21"/>
              </w:rPr>
            </w:pPr>
            <w:r>
              <w:rPr>
                <w:rFonts w:hint="eastAsia" w:eastAsia="仿宋_GB2312"/>
                <w:color w:val="000000" w:themeColor="text1"/>
                <w:sz w:val="21"/>
                <w:szCs w:val="21"/>
              </w:rPr>
              <w:t>0</w:t>
            </w:r>
          </w:p>
        </w:tc>
        <w:tc>
          <w:tcPr>
            <w:tcW w:w="2033" w:type="dxa"/>
            <w:tcBorders>
              <w:tl2br w:val="nil"/>
              <w:tr2bl w:val="nil"/>
            </w:tcBorders>
            <w:vAlign w:val="center"/>
          </w:tcPr>
          <w:p>
            <w:pPr>
              <w:widowControl/>
              <w:adjustRightInd/>
              <w:spacing w:line="240" w:lineRule="auto"/>
              <w:jc w:val="center"/>
              <w:textAlignment w:val="auto"/>
              <w:rPr>
                <w:rFonts w:hint="eastAsia" w:eastAsia="仿宋_GB2312"/>
                <w:color w:val="000000" w:themeColor="text1"/>
                <w:sz w:val="21"/>
                <w:szCs w:val="21"/>
                <w:lang w:eastAsia="zh-CN"/>
              </w:rPr>
            </w:pPr>
            <w:r>
              <w:rPr>
                <w:rFonts w:hint="eastAsia" w:eastAsia="仿宋_GB2312"/>
                <w:color w:val="000000" w:themeColor="text1"/>
                <w:kern w:val="2"/>
                <w:sz w:val="21"/>
                <w:szCs w:val="21"/>
                <w:lang w:val="en-US" w:eastAsia="zh-CN"/>
              </w:rPr>
              <w:t>1.30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22" w:type="dxa"/>
            <w:gridSpan w:val="4"/>
            <w:tcBorders>
              <w:tl2br w:val="nil"/>
              <w:tr2bl w:val="nil"/>
            </w:tcBorders>
            <w:vAlign w:val="center"/>
          </w:tcPr>
          <w:p>
            <w:pPr>
              <w:widowControl/>
              <w:adjustRightInd/>
              <w:spacing w:line="240" w:lineRule="auto"/>
              <w:jc w:val="center"/>
              <w:textAlignment w:val="auto"/>
              <w:rPr>
                <w:rFonts w:hint="eastAsia" w:eastAsia="仿宋_GB2312"/>
                <w:color w:val="000000" w:themeColor="text1"/>
                <w:kern w:val="2"/>
                <w:sz w:val="21"/>
                <w:szCs w:val="21"/>
                <w:lang w:eastAsia="zh-CN"/>
              </w:rPr>
            </w:pPr>
            <w:r>
              <w:rPr>
                <w:rFonts w:eastAsia="仿宋_GB2312"/>
                <w:color w:val="000000" w:themeColor="text1"/>
                <w:kern w:val="2"/>
                <w:sz w:val="21"/>
                <w:szCs w:val="21"/>
              </w:rPr>
              <w:t>水土流失防治责任主体：</w:t>
            </w:r>
            <w:r>
              <w:rPr>
                <w:rFonts w:hint="eastAsia" w:eastAsia="仿宋_GB2312"/>
                <w:color w:val="000000" w:themeColor="text1"/>
                <w:kern w:val="2"/>
                <w:sz w:val="21"/>
                <w:szCs w:val="21"/>
                <w:lang w:eastAsia="zh-CN"/>
              </w:rPr>
              <w:t>农安县东兴实业有限公司</w:t>
            </w:r>
          </w:p>
        </w:tc>
      </w:tr>
    </w:tbl>
    <w:p>
      <w:pPr>
        <w:snapToGrid w:val="0"/>
        <w:jc w:val="both"/>
        <w:rPr>
          <w:rFonts w:eastAsia="仿宋_GB2312"/>
          <w:b/>
          <w:color w:val="000000" w:themeColor="text1"/>
          <w:szCs w:val="24"/>
        </w:rPr>
      </w:pPr>
    </w:p>
    <w:p>
      <w:pPr>
        <w:snapToGrid w:val="0"/>
        <w:jc w:val="center"/>
        <w:rPr>
          <w:rFonts w:eastAsia="仿宋_GB2312"/>
          <w:b/>
          <w:color w:val="000000" w:themeColor="text1"/>
          <w:szCs w:val="24"/>
        </w:rPr>
      </w:pPr>
      <w:r>
        <w:rPr>
          <w:rFonts w:eastAsia="仿宋_GB2312"/>
          <w:b/>
          <w:color w:val="000000" w:themeColor="text1"/>
          <w:szCs w:val="24"/>
        </w:rPr>
        <w:t>水土流失防治范围坐标表</w:t>
      </w:r>
    </w:p>
    <w:tbl>
      <w:tblPr>
        <w:tblStyle w:val="23"/>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3404"/>
        <w:gridCol w:w="359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5"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序号</w:t>
            </w:r>
          </w:p>
        </w:tc>
        <w:tc>
          <w:tcPr>
            <w:tcW w:w="3404"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经度（度）</w:t>
            </w:r>
          </w:p>
        </w:tc>
        <w:tc>
          <w:tcPr>
            <w:tcW w:w="3593"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纬度（度）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5"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1</w:t>
            </w:r>
          </w:p>
        </w:tc>
        <w:tc>
          <w:tcPr>
            <w:tcW w:w="3404" w:type="dxa"/>
            <w:tcBorders>
              <w:tl2br w:val="nil"/>
              <w:tr2bl w:val="nil"/>
            </w:tcBorders>
            <w:vAlign w:val="center"/>
          </w:tcPr>
          <w:p>
            <w:pPr>
              <w:spacing w:line="240" w:lineRule="auto"/>
              <w:jc w:val="center"/>
              <w:rPr>
                <w:rFonts w:eastAsia="仿宋_GB2312"/>
                <w:color w:val="000000" w:themeColor="text1"/>
                <w:sz w:val="21"/>
                <w:szCs w:val="21"/>
                <w:highlight w:val="none"/>
              </w:rPr>
            </w:pPr>
            <w:r>
              <w:rPr>
                <w:rFonts w:hint="eastAsia" w:eastAsia="仿宋_GB2312"/>
                <w:color w:val="000000" w:themeColor="text1"/>
                <w:sz w:val="21"/>
                <w:szCs w:val="21"/>
                <w:highlight w:val="none"/>
              </w:rPr>
              <w:t>125.043303</w:t>
            </w:r>
          </w:p>
        </w:tc>
        <w:tc>
          <w:tcPr>
            <w:tcW w:w="3593" w:type="dxa"/>
            <w:tcBorders>
              <w:tl2br w:val="nil"/>
              <w:tr2bl w:val="nil"/>
            </w:tcBorders>
            <w:vAlign w:val="center"/>
          </w:tcPr>
          <w:p>
            <w:pPr>
              <w:spacing w:line="240" w:lineRule="auto"/>
              <w:jc w:val="center"/>
              <w:rPr>
                <w:rFonts w:eastAsia="仿宋_GB2312"/>
                <w:color w:val="000000" w:themeColor="text1"/>
                <w:sz w:val="21"/>
                <w:szCs w:val="21"/>
                <w:highlight w:val="none"/>
              </w:rPr>
            </w:pPr>
            <w:r>
              <w:rPr>
                <w:rFonts w:hint="eastAsia" w:eastAsia="仿宋_GB2312"/>
                <w:color w:val="000000" w:themeColor="text1"/>
                <w:sz w:val="21"/>
                <w:szCs w:val="21"/>
                <w:highlight w:val="none"/>
              </w:rPr>
              <w:t>43.989948</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5"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2</w:t>
            </w:r>
          </w:p>
        </w:tc>
        <w:tc>
          <w:tcPr>
            <w:tcW w:w="3404" w:type="dxa"/>
            <w:tcBorders>
              <w:tl2br w:val="nil"/>
              <w:tr2bl w:val="nil"/>
            </w:tcBorders>
            <w:vAlign w:val="center"/>
          </w:tcPr>
          <w:p>
            <w:pPr>
              <w:spacing w:line="240" w:lineRule="auto"/>
              <w:jc w:val="center"/>
              <w:rPr>
                <w:rFonts w:hint="eastAsia" w:eastAsia="仿宋_GB2312"/>
                <w:color w:val="000000" w:themeColor="text1"/>
                <w:sz w:val="21"/>
                <w:szCs w:val="21"/>
                <w:highlight w:val="none"/>
                <w:lang w:val="en-US" w:eastAsia="zh-CN"/>
              </w:rPr>
            </w:pPr>
            <w:r>
              <w:rPr>
                <w:rFonts w:hint="eastAsia" w:eastAsia="仿宋_GB2312"/>
                <w:color w:val="000000" w:themeColor="text1"/>
                <w:sz w:val="21"/>
                <w:szCs w:val="21"/>
                <w:highlight w:val="none"/>
              </w:rPr>
              <w:t>125.04436</w:t>
            </w:r>
            <w:r>
              <w:rPr>
                <w:rFonts w:hint="eastAsia" w:eastAsia="仿宋_GB2312"/>
                <w:color w:val="000000" w:themeColor="text1"/>
                <w:sz w:val="21"/>
                <w:szCs w:val="21"/>
                <w:highlight w:val="none"/>
                <w:lang w:val="en-US" w:eastAsia="zh-CN"/>
              </w:rPr>
              <w:t>2</w:t>
            </w:r>
          </w:p>
        </w:tc>
        <w:tc>
          <w:tcPr>
            <w:tcW w:w="3593" w:type="dxa"/>
            <w:tcBorders>
              <w:tl2br w:val="nil"/>
              <w:tr2bl w:val="nil"/>
            </w:tcBorders>
            <w:vAlign w:val="center"/>
          </w:tcPr>
          <w:p>
            <w:pPr>
              <w:spacing w:line="240" w:lineRule="auto"/>
              <w:jc w:val="center"/>
              <w:rPr>
                <w:rFonts w:eastAsia="仿宋_GB2312"/>
                <w:color w:val="000000" w:themeColor="text1"/>
                <w:sz w:val="21"/>
                <w:szCs w:val="21"/>
                <w:highlight w:val="none"/>
              </w:rPr>
            </w:pPr>
            <w:r>
              <w:rPr>
                <w:rFonts w:hint="eastAsia" w:eastAsia="仿宋_GB2312"/>
                <w:color w:val="000000" w:themeColor="text1"/>
                <w:sz w:val="21"/>
                <w:szCs w:val="21"/>
                <w:highlight w:val="none"/>
              </w:rPr>
              <w:t>43.990309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5"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3</w:t>
            </w:r>
          </w:p>
        </w:tc>
        <w:tc>
          <w:tcPr>
            <w:tcW w:w="3404" w:type="dxa"/>
            <w:tcBorders>
              <w:tl2br w:val="nil"/>
              <w:tr2bl w:val="nil"/>
            </w:tcBorders>
            <w:vAlign w:val="center"/>
          </w:tcPr>
          <w:p>
            <w:pPr>
              <w:spacing w:line="240" w:lineRule="auto"/>
              <w:jc w:val="center"/>
              <w:rPr>
                <w:rFonts w:eastAsia="仿宋_GB2312"/>
                <w:color w:val="000000" w:themeColor="text1"/>
                <w:sz w:val="21"/>
                <w:szCs w:val="21"/>
                <w:highlight w:val="none"/>
              </w:rPr>
            </w:pPr>
            <w:r>
              <w:rPr>
                <w:rFonts w:hint="eastAsia" w:eastAsia="仿宋_GB2312"/>
                <w:color w:val="000000" w:themeColor="text1"/>
                <w:sz w:val="21"/>
                <w:szCs w:val="21"/>
                <w:highlight w:val="none"/>
              </w:rPr>
              <w:t>125.044584</w:t>
            </w:r>
          </w:p>
        </w:tc>
        <w:tc>
          <w:tcPr>
            <w:tcW w:w="3593" w:type="dxa"/>
            <w:tcBorders>
              <w:tl2br w:val="nil"/>
              <w:tr2bl w:val="nil"/>
            </w:tcBorders>
            <w:vAlign w:val="center"/>
          </w:tcPr>
          <w:p>
            <w:pPr>
              <w:spacing w:line="240" w:lineRule="auto"/>
              <w:jc w:val="center"/>
              <w:rPr>
                <w:rFonts w:hint="eastAsia" w:eastAsia="仿宋_GB2312"/>
                <w:color w:val="000000" w:themeColor="text1"/>
                <w:sz w:val="21"/>
                <w:szCs w:val="21"/>
                <w:highlight w:val="none"/>
                <w:lang w:val="en-US" w:eastAsia="zh-CN"/>
              </w:rPr>
            </w:pPr>
            <w:r>
              <w:rPr>
                <w:rFonts w:hint="eastAsia" w:eastAsia="仿宋_GB2312"/>
                <w:color w:val="000000" w:themeColor="text1"/>
                <w:sz w:val="21"/>
                <w:szCs w:val="21"/>
                <w:highlight w:val="none"/>
              </w:rPr>
              <w:t>43.98995</w:t>
            </w:r>
            <w:r>
              <w:rPr>
                <w:rFonts w:hint="eastAsia" w:eastAsia="仿宋_GB2312"/>
                <w:color w:val="000000" w:themeColor="text1"/>
                <w:sz w:val="21"/>
                <w:szCs w:val="21"/>
                <w:highlight w:val="none"/>
                <w:lang w:val="en-US" w:eastAsia="zh-CN"/>
              </w:rPr>
              <w:t>8</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5" w:type="dxa"/>
            <w:tcBorders>
              <w:tl2br w:val="nil"/>
              <w:tr2bl w:val="nil"/>
            </w:tcBorders>
            <w:vAlign w:val="center"/>
          </w:tcPr>
          <w:p>
            <w:pPr>
              <w:spacing w:line="240" w:lineRule="auto"/>
              <w:jc w:val="center"/>
              <w:rPr>
                <w:rFonts w:eastAsia="仿宋_GB2312"/>
                <w:color w:val="000000" w:themeColor="text1"/>
                <w:sz w:val="21"/>
                <w:szCs w:val="21"/>
              </w:rPr>
            </w:pPr>
            <w:r>
              <w:rPr>
                <w:rFonts w:eastAsia="仿宋_GB2312"/>
                <w:color w:val="000000" w:themeColor="text1"/>
                <w:sz w:val="21"/>
                <w:szCs w:val="21"/>
              </w:rPr>
              <w:t>4</w:t>
            </w:r>
          </w:p>
        </w:tc>
        <w:tc>
          <w:tcPr>
            <w:tcW w:w="3404" w:type="dxa"/>
            <w:tcBorders>
              <w:tl2br w:val="nil"/>
              <w:tr2bl w:val="nil"/>
            </w:tcBorders>
            <w:vAlign w:val="center"/>
          </w:tcPr>
          <w:p>
            <w:pPr>
              <w:spacing w:line="240" w:lineRule="auto"/>
              <w:jc w:val="center"/>
              <w:rPr>
                <w:rFonts w:eastAsia="仿宋_GB2312"/>
                <w:color w:val="000000" w:themeColor="text1"/>
                <w:sz w:val="21"/>
                <w:szCs w:val="21"/>
                <w:highlight w:val="none"/>
              </w:rPr>
            </w:pPr>
            <w:r>
              <w:rPr>
                <w:rFonts w:hint="eastAsia" w:eastAsia="仿宋_GB2312"/>
                <w:color w:val="000000" w:themeColor="text1"/>
                <w:sz w:val="21"/>
                <w:szCs w:val="21"/>
                <w:highlight w:val="none"/>
              </w:rPr>
              <w:t>125.045333</w:t>
            </w:r>
          </w:p>
        </w:tc>
        <w:tc>
          <w:tcPr>
            <w:tcW w:w="3593" w:type="dxa"/>
            <w:tcBorders>
              <w:tl2br w:val="nil"/>
              <w:tr2bl w:val="nil"/>
            </w:tcBorders>
            <w:vAlign w:val="center"/>
          </w:tcPr>
          <w:p>
            <w:pPr>
              <w:spacing w:line="240" w:lineRule="auto"/>
              <w:jc w:val="center"/>
              <w:rPr>
                <w:rFonts w:hint="eastAsia" w:eastAsia="仿宋_GB2312"/>
                <w:color w:val="000000" w:themeColor="text1"/>
                <w:sz w:val="21"/>
                <w:szCs w:val="21"/>
                <w:highlight w:val="none"/>
                <w:lang w:val="en-US" w:eastAsia="zh-CN"/>
              </w:rPr>
            </w:pPr>
            <w:r>
              <w:rPr>
                <w:rFonts w:hint="eastAsia" w:eastAsia="仿宋_GB2312"/>
                <w:color w:val="000000" w:themeColor="text1"/>
                <w:sz w:val="21"/>
                <w:szCs w:val="21"/>
                <w:highlight w:val="none"/>
              </w:rPr>
              <w:t>43.990199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5" w:type="dxa"/>
            <w:tcBorders>
              <w:tl2br w:val="nil"/>
              <w:tr2bl w:val="nil"/>
            </w:tcBorders>
            <w:vAlign w:val="center"/>
          </w:tcPr>
          <w:p>
            <w:pPr>
              <w:spacing w:line="240" w:lineRule="auto"/>
              <w:jc w:val="center"/>
              <w:rPr>
                <w:rFonts w:eastAsia="仿宋_GB2312"/>
                <w:color w:val="000000" w:themeColor="text1"/>
                <w:sz w:val="21"/>
                <w:szCs w:val="21"/>
              </w:rPr>
            </w:pPr>
            <w:r>
              <w:rPr>
                <w:rFonts w:hint="eastAsia" w:eastAsia="仿宋_GB2312"/>
                <w:color w:val="000000" w:themeColor="text1"/>
                <w:sz w:val="21"/>
                <w:szCs w:val="21"/>
              </w:rPr>
              <w:t>5</w:t>
            </w:r>
          </w:p>
        </w:tc>
        <w:tc>
          <w:tcPr>
            <w:tcW w:w="3404" w:type="dxa"/>
            <w:tcBorders>
              <w:tl2br w:val="nil"/>
              <w:tr2bl w:val="nil"/>
            </w:tcBorders>
            <w:vAlign w:val="center"/>
          </w:tcPr>
          <w:p>
            <w:pPr>
              <w:spacing w:line="240" w:lineRule="auto"/>
              <w:jc w:val="center"/>
              <w:rPr>
                <w:rFonts w:eastAsia="仿宋_GB2312"/>
                <w:color w:val="000000" w:themeColor="text1"/>
                <w:sz w:val="21"/>
                <w:szCs w:val="21"/>
                <w:highlight w:val="none"/>
              </w:rPr>
            </w:pPr>
            <w:r>
              <w:rPr>
                <w:rFonts w:hint="eastAsia" w:eastAsia="仿宋_GB2312"/>
                <w:color w:val="000000" w:themeColor="text1"/>
                <w:sz w:val="21"/>
                <w:szCs w:val="21"/>
                <w:highlight w:val="none"/>
              </w:rPr>
              <w:t>125.045637</w:t>
            </w:r>
          </w:p>
        </w:tc>
        <w:tc>
          <w:tcPr>
            <w:tcW w:w="3593" w:type="dxa"/>
            <w:tcBorders>
              <w:tl2br w:val="nil"/>
              <w:tr2bl w:val="nil"/>
            </w:tcBorders>
            <w:vAlign w:val="center"/>
          </w:tcPr>
          <w:p>
            <w:pPr>
              <w:spacing w:line="240" w:lineRule="auto"/>
              <w:jc w:val="center"/>
              <w:rPr>
                <w:rFonts w:hint="eastAsia" w:eastAsia="仿宋_GB2312"/>
                <w:color w:val="000000" w:themeColor="text1"/>
                <w:sz w:val="21"/>
                <w:szCs w:val="21"/>
                <w:highlight w:val="none"/>
                <w:lang w:val="en-US" w:eastAsia="zh-CN"/>
              </w:rPr>
            </w:pPr>
            <w:r>
              <w:rPr>
                <w:rFonts w:hint="eastAsia" w:eastAsia="仿宋_GB2312"/>
                <w:color w:val="000000" w:themeColor="text1"/>
                <w:sz w:val="21"/>
                <w:szCs w:val="21"/>
                <w:highlight w:val="none"/>
              </w:rPr>
              <w:t>43.98972</w:t>
            </w:r>
            <w:r>
              <w:rPr>
                <w:rFonts w:hint="eastAsia" w:eastAsia="仿宋_GB2312"/>
                <w:color w:val="000000" w:themeColor="text1"/>
                <w:sz w:val="21"/>
                <w:szCs w:val="21"/>
                <w:highlight w:val="none"/>
                <w:lang w:val="en-US" w:eastAsia="zh-CN"/>
              </w:rPr>
              <w:t>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5" w:type="dxa"/>
            <w:tcBorders>
              <w:tl2br w:val="nil"/>
              <w:tr2bl w:val="nil"/>
            </w:tcBorders>
            <w:vAlign w:val="center"/>
          </w:tcPr>
          <w:p>
            <w:pPr>
              <w:spacing w:line="240" w:lineRule="auto"/>
              <w:jc w:val="center"/>
              <w:rPr>
                <w:rFonts w:eastAsia="仿宋_GB2312"/>
                <w:color w:val="000000" w:themeColor="text1"/>
                <w:sz w:val="21"/>
                <w:szCs w:val="21"/>
              </w:rPr>
            </w:pPr>
            <w:r>
              <w:rPr>
                <w:rFonts w:hint="eastAsia" w:eastAsia="仿宋_GB2312"/>
                <w:color w:val="000000" w:themeColor="text1"/>
                <w:sz w:val="21"/>
                <w:szCs w:val="21"/>
              </w:rPr>
              <w:t>6</w:t>
            </w:r>
          </w:p>
        </w:tc>
        <w:tc>
          <w:tcPr>
            <w:tcW w:w="3404" w:type="dxa"/>
            <w:tcBorders>
              <w:tl2br w:val="nil"/>
              <w:tr2bl w:val="nil"/>
            </w:tcBorders>
            <w:vAlign w:val="center"/>
          </w:tcPr>
          <w:p>
            <w:pPr>
              <w:spacing w:line="240" w:lineRule="auto"/>
              <w:jc w:val="center"/>
              <w:rPr>
                <w:rFonts w:eastAsia="仿宋_GB2312"/>
                <w:color w:val="000000" w:themeColor="text1"/>
                <w:sz w:val="21"/>
                <w:szCs w:val="21"/>
                <w:highlight w:val="none"/>
              </w:rPr>
            </w:pPr>
            <w:r>
              <w:rPr>
                <w:rFonts w:hint="eastAsia" w:eastAsia="仿宋_GB2312"/>
                <w:color w:val="000000" w:themeColor="text1"/>
                <w:sz w:val="21"/>
                <w:szCs w:val="21"/>
                <w:highlight w:val="none"/>
              </w:rPr>
              <w:t>125.044683</w:t>
            </w:r>
          </w:p>
        </w:tc>
        <w:tc>
          <w:tcPr>
            <w:tcW w:w="3593" w:type="dxa"/>
            <w:tcBorders>
              <w:tl2br w:val="nil"/>
              <w:tr2bl w:val="nil"/>
            </w:tcBorders>
            <w:vAlign w:val="center"/>
          </w:tcPr>
          <w:p>
            <w:pPr>
              <w:spacing w:line="240" w:lineRule="auto"/>
              <w:jc w:val="center"/>
              <w:rPr>
                <w:rFonts w:hint="eastAsia" w:eastAsia="仿宋_GB2312"/>
                <w:color w:val="000000" w:themeColor="text1"/>
                <w:sz w:val="21"/>
                <w:szCs w:val="21"/>
                <w:highlight w:val="none"/>
                <w:lang w:val="en-US" w:eastAsia="zh-CN"/>
              </w:rPr>
            </w:pPr>
            <w:r>
              <w:rPr>
                <w:rFonts w:hint="eastAsia" w:eastAsia="仿宋_GB2312"/>
                <w:color w:val="000000" w:themeColor="text1"/>
                <w:sz w:val="21"/>
                <w:szCs w:val="21"/>
                <w:highlight w:val="none"/>
              </w:rPr>
              <w:t>43.98940</w:t>
            </w:r>
            <w:r>
              <w:rPr>
                <w:rFonts w:hint="eastAsia" w:eastAsia="仿宋_GB2312"/>
                <w:color w:val="000000" w:themeColor="text1"/>
                <w:sz w:val="21"/>
                <w:szCs w:val="21"/>
                <w:highlight w:val="none"/>
                <w:lang w:val="en-US" w:eastAsia="zh-CN"/>
              </w:rPr>
              <w:t>4</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5" w:type="dxa"/>
            <w:tcBorders>
              <w:tl2br w:val="nil"/>
              <w:tr2bl w:val="nil"/>
            </w:tcBorders>
            <w:vAlign w:val="center"/>
          </w:tcPr>
          <w:p>
            <w:pPr>
              <w:spacing w:line="240" w:lineRule="auto"/>
              <w:jc w:val="center"/>
              <w:rPr>
                <w:rFonts w:hint="eastAsia" w:eastAsia="仿宋_GB2312"/>
                <w:color w:val="000000" w:themeColor="text1"/>
                <w:sz w:val="21"/>
                <w:szCs w:val="21"/>
                <w:lang w:val="en-US" w:eastAsia="zh-CN"/>
              </w:rPr>
            </w:pPr>
            <w:r>
              <w:rPr>
                <w:rFonts w:hint="eastAsia" w:eastAsia="仿宋_GB2312"/>
                <w:color w:val="000000" w:themeColor="text1"/>
                <w:sz w:val="21"/>
                <w:szCs w:val="21"/>
                <w:lang w:val="en-US" w:eastAsia="zh-CN"/>
              </w:rPr>
              <w:t>7</w:t>
            </w:r>
          </w:p>
        </w:tc>
        <w:tc>
          <w:tcPr>
            <w:tcW w:w="3404" w:type="dxa"/>
            <w:tcBorders>
              <w:tl2br w:val="nil"/>
              <w:tr2bl w:val="nil"/>
            </w:tcBorders>
            <w:vAlign w:val="center"/>
          </w:tcPr>
          <w:p>
            <w:pPr>
              <w:spacing w:line="240" w:lineRule="auto"/>
              <w:jc w:val="center"/>
              <w:rPr>
                <w:rFonts w:hint="eastAsia" w:eastAsia="仿宋_GB2312"/>
                <w:color w:val="000000" w:themeColor="text1"/>
                <w:sz w:val="21"/>
                <w:szCs w:val="21"/>
                <w:highlight w:val="none"/>
              </w:rPr>
            </w:pPr>
            <w:r>
              <w:rPr>
                <w:rFonts w:hint="eastAsia" w:eastAsia="仿宋_GB2312"/>
                <w:color w:val="000000" w:themeColor="text1"/>
                <w:sz w:val="21"/>
                <w:szCs w:val="21"/>
                <w:highlight w:val="none"/>
              </w:rPr>
              <w:t>125.044645</w:t>
            </w:r>
          </w:p>
        </w:tc>
        <w:tc>
          <w:tcPr>
            <w:tcW w:w="3593" w:type="dxa"/>
            <w:tcBorders>
              <w:tl2br w:val="nil"/>
              <w:tr2bl w:val="nil"/>
            </w:tcBorders>
            <w:vAlign w:val="center"/>
          </w:tcPr>
          <w:p>
            <w:pPr>
              <w:spacing w:line="240" w:lineRule="auto"/>
              <w:jc w:val="center"/>
              <w:rPr>
                <w:rFonts w:hint="eastAsia" w:eastAsia="仿宋_GB2312"/>
                <w:color w:val="000000" w:themeColor="text1"/>
                <w:sz w:val="21"/>
                <w:szCs w:val="21"/>
                <w:highlight w:val="none"/>
              </w:rPr>
            </w:pPr>
            <w:r>
              <w:rPr>
                <w:rFonts w:hint="eastAsia" w:eastAsia="仿宋_GB2312"/>
                <w:color w:val="000000" w:themeColor="text1"/>
                <w:sz w:val="21"/>
                <w:szCs w:val="21"/>
                <w:highlight w:val="none"/>
              </w:rPr>
              <w:t>43.989462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5" w:type="dxa"/>
            <w:tcBorders>
              <w:tl2br w:val="nil"/>
              <w:tr2bl w:val="nil"/>
            </w:tcBorders>
            <w:vAlign w:val="center"/>
          </w:tcPr>
          <w:p>
            <w:pPr>
              <w:spacing w:line="240" w:lineRule="auto"/>
              <w:jc w:val="center"/>
              <w:rPr>
                <w:rFonts w:hint="eastAsia" w:eastAsia="仿宋_GB2312"/>
                <w:color w:val="000000" w:themeColor="text1"/>
                <w:sz w:val="21"/>
                <w:szCs w:val="21"/>
                <w:lang w:val="en-US" w:eastAsia="zh-CN"/>
              </w:rPr>
            </w:pPr>
            <w:r>
              <w:rPr>
                <w:rFonts w:hint="eastAsia" w:eastAsia="仿宋_GB2312"/>
                <w:color w:val="000000" w:themeColor="text1"/>
                <w:sz w:val="21"/>
                <w:szCs w:val="21"/>
                <w:lang w:val="en-US" w:eastAsia="zh-CN"/>
              </w:rPr>
              <w:t>8</w:t>
            </w:r>
          </w:p>
        </w:tc>
        <w:tc>
          <w:tcPr>
            <w:tcW w:w="3404" w:type="dxa"/>
            <w:tcBorders>
              <w:tl2br w:val="nil"/>
              <w:tr2bl w:val="nil"/>
            </w:tcBorders>
            <w:vAlign w:val="center"/>
          </w:tcPr>
          <w:p>
            <w:pPr>
              <w:spacing w:line="240" w:lineRule="auto"/>
              <w:jc w:val="center"/>
              <w:rPr>
                <w:rFonts w:hint="eastAsia" w:eastAsia="仿宋_GB2312"/>
                <w:color w:val="000000" w:themeColor="text1"/>
                <w:sz w:val="21"/>
                <w:szCs w:val="21"/>
                <w:highlight w:val="none"/>
                <w:lang w:val="en-US" w:eastAsia="zh-CN"/>
              </w:rPr>
            </w:pPr>
            <w:r>
              <w:rPr>
                <w:rFonts w:hint="eastAsia" w:eastAsia="仿宋_GB2312"/>
                <w:color w:val="000000" w:themeColor="text1"/>
                <w:sz w:val="21"/>
                <w:szCs w:val="21"/>
                <w:highlight w:val="none"/>
              </w:rPr>
              <w:t>125.04405</w:t>
            </w:r>
            <w:r>
              <w:rPr>
                <w:rFonts w:hint="eastAsia" w:eastAsia="仿宋_GB2312"/>
                <w:color w:val="000000" w:themeColor="text1"/>
                <w:sz w:val="21"/>
                <w:szCs w:val="21"/>
                <w:highlight w:val="none"/>
                <w:lang w:val="en-US" w:eastAsia="zh-CN"/>
              </w:rPr>
              <w:t>9</w:t>
            </w:r>
          </w:p>
        </w:tc>
        <w:tc>
          <w:tcPr>
            <w:tcW w:w="3593" w:type="dxa"/>
            <w:tcBorders>
              <w:tl2br w:val="nil"/>
              <w:tr2bl w:val="nil"/>
            </w:tcBorders>
            <w:vAlign w:val="center"/>
          </w:tcPr>
          <w:p>
            <w:pPr>
              <w:spacing w:line="240" w:lineRule="auto"/>
              <w:jc w:val="center"/>
              <w:rPr>
                <w:rFonts w:hint="eastAsia" w:eastAsia="仿宋_GB2312"/>
                <w:color w:val="000000" w:themeColor="text1"/>
                <w:sz w:val="21"/>
                <w:szCs w:val="21"/>
                <w:highlight w:val="none"/>
                <w:lang w:val="en-US" w:eastAsia="zh-CN"/>
              </w:rPr>
            </w:pPr>
            <w:r>
              <w:rPr>
                <w:rFonts w:hint="eastAsia" w:eastAsia="仿宋_GB2312"/>
                <w:color w:val="000000" w:themeColor="text1"/>
                <w:sz w:val="21"/>
                <w:szCs w:val="21"/>
                <w:highlight w:val="none"/>
              </w:rPr>
              <w:t>43.98926</w:t>
            </w:r>
            <w:r>
              <w:rPr>
                <w:rFonts w:hint="eastAsia" w:eastAsia="仿宋_GB2312"/>
                <w:color w:val="000000" w:themeColor="text1"/>
                <w:sz w:val="21"/>
                <w:szCs w:val="21"/>
                <w:highlight w:val="none"/>
                <w:lang w:val="en-US" w:eastAsia="zh-CN"/>
              </w:rPr>
              <w:t>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25" w:type="dxa"/>
            <w:tcBorders>
              <w:tl2br w:val="nil"/>
              <w:tr2bl w:val="nil"/>
            </w:tcBorders>
            <w:vAlign w:val="center"/>
          </w:tcPr>
          <w:p>
            <w:pPr>
              <w:spacing w:line="240" w:lineRule="auto"/>
              <w:jc w:val="center"/>
              <w:rPr>
                <w:rFonts w:hint="eastAsia" w:eastAsia="仿宋_GB2312"/>
                <w:color w:val="000000" w:themeColor="text1"/>
                <w:sz w:val="21"/>
                <w:szCs w:val="21"/>
                <w:lang w:val="en-US" w:eastAsia="zh-CN"/>
              </w:rPr>
            </w:pPr>
            <w:r>
              <w:rPr>
                <w:rFonts w:hint="eastAsia" w:eastAsia="仿宋_GB2312"/>
                <w:color w:val="000000" w:themeColor="text1"/>
                <w:sz w:val="21"/>
                <w:szCs w:val="21"/>
                <w:lang w:val="en-US" w:eastAsia="zh-CN"/>
              </w:rPr>
              <w:t>9</w:t>
            </w:r>
          </w:p>
        </w:tc>
        <w:tc>
          <w:tcPr>
            <w:tcW w:w="3404" w:type="dxa"/>
            <w:tcBorders>
              <w:tl2br w:val="nil"/>
              <w:tr2bl w:val="nil"/>
            </w:tcBorders>
            <w:vAlign w:val="center"/>
          </w:tcPr>
          <w:p>
            <w:pPr>
              <w:spacing w:line="240" w:lineRule="auto"/>
              <w:jc w:val="center"/>
              <w:rPr>
                <w:rFonts w:hint="eastAsia" w:eastAsia="仿宋_GB2312"/>
                <w:color w:val="000000" w:themeColor="text1"/>
                <w:sz w:val="21"/>
                <w:szCs w:val="21"/>
                <w:highlight w:val="none"/>
              </w:rPr>
            </w:pPr>
            <w:r>
              <w:rPr>
                <w:rFonts w:hint="eastAsia" w:eastAsia="仿宋_GB2312"/>
                <w:color w:val="000000" w:themeColor="text1"/>
                <w:sz w:val="21"/>
                <w:szCs w:val="21"/>
                <w:highlight w:val="none"/>
              </w:rPr>
              <w:t>125.044097</w:t>
            </w:r>
          </w:p>
        </w:tc>
        <w:tc>
          <w:tcPr>
            <w:tcW w:w="3593" w:type="dxa"/>
            <w:tcBorders>
              <w:tl2br w:val="nil"/>
              <w:tr2bl w:val="nil"/>
            </w:tcBorders>
            <w:vAlign w:val="center"/>
          </w:tcPr>
          <w:p>
            <w:pPr>
              <w:spacing w:line="240" w:lineRule="auto"/>
              <w:jc w:val="center"/>
              <w:rPr>
                <w:rFonts w:hint="eastAsia" w:eastAsia="仿宋_GB2312"/>
                <w:color w:val="000000" w:themeColor="text1"/>
                <w:sz w:val="21"/>
                <w:szCs w:val="21"/>
                <w:highlight w:val="none"/>
              </w:rPr>
            </w:pPr>
            <w:r>
              <w:rPr>
                <w:rFonts w:hint="eastAsia" w:eastAsia="仿宋_GB2312"/>
                <w:color w:val="000000" w:themeColor="text1"/>
                <w:sz w:val="21"/>
                <w:szCs w:val="21"/>
                <w:highlight w:val="none"/>
              </w:rPr>
              <w:t>43.989204</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283" w:hRule="atLeast"/>
          <w:jc w:val="center"/>
        </w:trPr>
        <w:tc>
          <w:tcPr>
            <w:tcW w:w="1525" w:type="dxa"/>
            <w:tcBorders>
              <w:tl2br w:val="nil"/>
              <w:tr2bl w:val="nil"/>
            </w:tcBorders>
            <w:vAlign w:val="center"/>
          </w:tcPr>
          <w:p>
            <w:pPr>
              <w:spacing w:line="240" w:lineRule="auto"/>
              <w:jc w:val="center"/>
              <w:rPr>
                <w:rFonts w:hint="default" w:eastAsia="仿宋_GB2312"/>
                <w:color w:val="000000" w:themeColor="text1"/>
                <w:sz w:val="21"/>
                <w:szCs w:val="21"/>
                <w:lang w:val="en-US" w:eastAsia="zh-CN"/>
              </w:rPr>
            </w:pPr>
            <w:r>
              <w:rPr>
                <w:rFonts w:hint="eastAsia" w:eastAsia="仿宋_GB2312"/>
                <w:color w:val="000000" w:themeColor="text1"/>
                <w:sz w:val="21"/>
                <w:szCs w:val="21"/>
                <w:lang w:val="en-US" w:eastAsia="zh-CN"/>
              </w:rPr>
              <w:t>10</w:t>
            </w:r>
          </w:p>
        </w:tc>
        <w:tc>
          <w:tcPr>
            <w:tcW w:w="3404" w:type="dxa"/>
            <w:tcBorders>
              <w:tl2br w:val="nil"/>
              <w:tr2bl w:val="nil"/>
            </w:tcBorders>
            <w:vAlign w:val="center"/>
          </w:tcPr>
          <w:p>
            <w:pPr>
              <w:spacing w:line="240" w:lineRule="auto"/>
              <w:jc w:val="center"/>
              <w:rPr>
                <w:rFonts w:hint="default" w:eastAsia="仿宋_GB2312"/>
                <w:color w:val="000000" w:themeColor="text1"/>
                <w:sz w:val="21"/>
                <w:szCs w:val="21"/>
                <w:highlight w:val="none"/>
                <w:lang w:val="en-US" w:eastAsia="zh-CN"/>
              </w:rPr>
            </w:pPr>
            <w:r>
              <w:rPr>
                <w:rFonts w:hint="eastAsia" w:eastAsia="仿宋_GB2312"/>
                <w:color w:val="000000" w:themeColor="text1"/>
                <w:sz w:val="21"/>
                <w:szCs w:val="21"/>
                <w:highlight w:val="none"/>
              </w:rPr>
              <w:t>125.0438</w:t>
            </w:r>
            <w:r>
              <w:rPr>
                <w:rFonts w:hint="eastAsia" w:eastAsia="仿宋_GB2312"/>
                <w:color w:val="000000" w:themeColor="text1"/>
                <w:sz w:val="21"/>
                <w:szCs w:val="21"/>
                <w:highlight w:val="none"/>
                <w:lang w:val="en-US" w:eastAsia="zh-CN"/>
              </w:rPr>
              <w:t>40</w:t>
            </w:r>
          </w:p>
        </w:tc>
        <w:tc>
          <w:tcPr>
            <w:tcW w:w="3593" w:type="dxa"/>
            <w:tcBorders>
              <w:tl2br w:val="nil"/>
              <w:tr2bl w:val="nil"/>
            </w:tcBorders>
            <w:vAlign w:val="center"/>
          </w:tcPr>
          <w:p>
            <w:pPr>
              <w:spacing w:line="240" w:lineRule="auto"/>
              <w:jc w:val="center"/>
              <w:rPr>
                <w:rFonts w:hint="eastAsia" w:eastAsia="仿宋_GB2312"/>
                <w:color w:val="000000" w:themeColor="text1"/>
                <w:sz w:val="21"/>
                <w:szCs w:val="21"/>
                <w:highlight w:val="none"/>
              </w:rPr>
            </w:pPr>
            <w:r>
              <w:rPr>
                <w:rFonts w:hint="eastAsia" w:eastAsia="仿宋_GB2312"/>
                <w:color w:val="000000" w:themeColor="text1"/>
                <w:sz w:val="21"/>
                <w:szCs w:val="21"/>
                <w:highlight w:val="none"/>
              </w:rPr>
              <w:t>43.989116</w:t>
            </w:r>
          </w:p>
        </w:tc>
      </w:tr>
    </w:tbl>
    <w:p>
      <w:pPr>
        <w:pStyle w:val="2"/>
        <w:ind w:left="0" w:leftChars="0"/>
        <w:jc w:val="center"/>
        <w:rPr>
          <w:rFonts w:eastAsia="仿宋_GB2312"/>
          <w:b/>
          <w:color w:val="000000" w:themeColor="text1"/>
          <w:sz w:val="28"/>
          <w:szCs w:val="28"/>
          <w:highlight w:val="cyan"/>
        </w:rPr>
      </w:pPr>
    </w:p>
    <w:p>
      <w:pPr>
        <w:rPr>
          <w:rFonts w:eastAsia="仿宋_GB2312"/>
          <w:b/>
          <w:color w:val="000000" w:themeColor="text1"/>
          <w:sz w:val="28"/>
          <w:szCs w:val="28"/>
          <w:highlight w:val="cyan"/>
        </w:rPr>
      </w:pPr>
    </w:p>
    <w:p>
      <w:pPr>
        <w:pStyle w:val="2"/>
        <w:ind w:left="480"/>
        <w:rPr>
          <w:rFonts w:eastAsia="仿宋_GB2312"/>
          <w:b/>
          <w:color w:val="000000" w:themeColor="text1"/>
          <w:sz w:val="28"/>
          <w:szCs w:val="28"/>
          <w:highlight w:val="cyan"/>
        </w:rPr>
      </w:pPr>
    </w:p>
    <w:p>
      <w:pPr>
        <w:rPr>
          <w:rFonts w:eastAsia="仿宋_GB2312"/>
          <w:b/>
          <w:color w:val="000000" w:themeColor="text1"/>
          <w:sz w:val="28"/>
          <w:szCs w:val="28"/>
          <w:highlight w:val="cyan"/>
        </w:rPr>
      </w:pPr>
    </w:p>
    <w:p>
      <w:pPr>
        <w:pStyle w:val="2"/>
        <w:ind w:left="480"/>
        <w:rPr>
          <w:rFonts w:eastAsia="仿宋_GB2312"/>
          <w:b/>
          <w:color w:val="000000" w:themeColor="text1"/>
          <w:sz w:val="28"/>
          <w:szCs w:val="28"/>
          <w:highlight w:val="cyan"/>
        </w:rPr>
      </w:pPr>
    </w:p>
    <w:p>
      <w:pPr>
        <w:rPr>
          <w:rFonts w:eastAsia="仿宋_GB2312"/>
          <w:b/>
          <w:color w:val="000000" w:themeColor="text1"/>
          <w:sz w:val="28"/>
          <w:szCs w:val="28"/>
          <w:highlight w:val="cyan"/>
        </w:rPr>
      </w:pPr>
    </w:p>
    <w:p>
      <w:pPr>
        <w:pStyle w:val="2"/>
        <w:ind w:left="0" w:leftChars="0"/>
        <w:jc w:val="both"/>
        <w:rPr>
          <w:rFonts w:eastAsia="仿宋_GB2312"/>
          <w:b/>
          <w:color w:val="000000" w:themeColor="text1"/>
          <w:sz w:val="28"/>
          <w:szCs w:val="28"/>
          <w:highlight w:val="cyan"/>
        </w:rPr>
      </w:pPr>
    </w:p>
    <w:p>
      <w:pPr>
        <w:pStyle w:val="2"/>
        <w:ind w:left="0" w:leftChars="0"/>
        <w:jc w:val="center"/>
        <w:rPr>
          <w:rFonts w:eastAsia="仿宋_GB2312"/>
          <w:b/>
          <w:color w:val="000000" w:themeColor="text1"/>
          <w:sz w:val="28"/>
          <w:szCs w:val="28"/>
        </w:rPr>
      </w:pPr>
      <w:r>
        <w:rPr>
          <w:rFonts w:eastAsia="仿宋_GB2312"/>
          <w:b/>
          <w:color w:val="000000" w:themeColor="text1"/>
          <w:sz w:val="28"/>
          <w:szCs w:val="28"/>
        </w:rPr>
        <w:t>附表2       防治标准指标计算表</w:t>
      </w:r>
    </w:p>
    <w:tbl>
      <w:tblPr>
        <w:tblStyle w:val="23"/>
        <w:tblW w:w="5016"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0" w:type="dxa"/>
          <w:bottom w:w="0" w:type="dxa"/>
          <w:right w:w="0" w:type="dxa"/>
        </w:tblCellMar>
      </w:tblPr>
      <w:tblGrid>
        <w:gridCol w:w="2111"/>
        <w:gridCol w:w="601"/>
        <w:gridCol w:w="1039"/>
        <w:gridCol w:w="920"/>
        <w:gridCol w:w="904"/>
        <w:gridCol w:w="1134"/>
        <w:gridCol w:w="845"/>
        <w:gridCol w:w="879"/>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51" w:type="pct"/>
            <w:vMerge w:val="restart"/>
            <w:tcBorders>
              <w:tl2br w:val="nil"/>
              <w:tr2bl w:val="nil"/>
            </w:tcBorders>
            <w:tcMar>
              <w:top w:w="0" w:type="dxa"/>
              <w:left w:w="0" w:type="dxa"/>
              <w:bottom w:w="0" w:type="dxa"/>
              <w:right w:w="0" w:type="dxa"/>
            </w:tcMar>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 xml:space="preserve"> 防治目标</w:t>
            </w:r>
          </w:p>
        </w:tc>
        <w:tc>
          <w:tcPr>
            <w:tcW w:w="972" w:type="pct"/>
            <w:gridSpan w:val="2"/>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标准规定</w:t>
            </w:r>
          </w:p>
        </w:tc>
        <w:tc>
          <w:tcPr>
            <w:tcW w:w="545" w:type="pct"/>
            <w:vMerge w:val="restart"/>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按侵蚀强</w:t>
            </w:r>
          </w:p>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度</w:t>
            </w:r>
            <w:r>
              <w:rPr>
                <w:rFonts w:hint="eastAsia" w:ascii="Times New Roman" w:hAnsi="Times New Roman" w:eastAsia="仿宋_GB2312"/>
                <w:color w:val="000000" w:themeColor="text1"/>
                <w:sz w:val="18"/>
                <w:szCs w:val="18"/>
              </w:rPr>
              <w:t>调整</w:t>
            </w:r>
          </w:p>
        </w:tc>
        <w:tc>
          <w:tcPr>
            <w:tcW w:w="536" w:type="pct"/>
            <w:vMerge w:val="restart"/>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按防治区</w:t>
            </w:r>
            <w:r>
              <w:rPr>
                <w:rFonts w:hint="eastAsia" w:ascii="Times New Roman" w:hAnsi="Times New Roman" w:eastAsia="仿宋_GB2312"/>
                <w:color w:val="000000" w:themeColor="text1"/>
                <w:sz w:val="18"/>
                <w:szCs w:val="18"/>
              </w:rPr>
              <w:t>调整</w:t>
            </w:r>
          </w:p>
        </w:tc>
        <w:tc>
          <w:tcPr>
            <w:tcW w:w="672" w:type="pct"/>
            <w:vMerge w:val="restart"/>
            <w:tcBorders>
              <w:tl2br w:val="nil"/>
              <w:tr2bl w:val="nil"/>
            </w:tcBorders>
            <w:vAlign w:val="center"/>
          </w:tcPr>
          <w:p>
            <w:pPr>
              <w:pStyle w:val="77"/>
              <w:rPr>
                <w:rFonts w:hint="default" w:ascii="Times New Roman" w:hAnsi="Times New Roman" w:eastAsia="仿宋_GB2312"/>
                <w:color w:val="000000" w:themeColor="text1"/>
                <w:sz w:val="18"/>
                <w:szCs w:val="18"/>
                <w:lang w:val="en-US" w:eastAsia="zh-CN"/>
              </w:rPr>
            </w:pPr>
            <w:r>
              <w:rPr>
                <w:rFonts w:hint="eastAsia" w:ascii="Times New Roman" w:hAnsi="Times New Roman" w:eastAsia="仿宋_GB2312"/>
                <w:color w:val="000000" w:themeColor="text1"/>
                <w:sz w:val="18"/>
                <w:szCs w:val="18"/>
                <w:lang w:val="en-US" w:eastAsia="zh-CN"/>
              </w:rPr>
              <w:t>按实际调整</w:t>
            </w:r>
          </w:p>
        </w:tc>
        <w:tc>
          <w:tcPr>
            <w:tcW w:w="1022" w:type="pct"/>
            <w:gridSpan w:val="2"/>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采用标准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51" w:type="pct"/>
            <w:vMerge w:val="continue"/>
            <w:tcBorders>
              <w:tl2br w:val="nil"/>
              <w:tr2bl w:val="nil"/>
            </w:tcBorders>
            <w:vAlign w:val="center"/>
          </w:tcPr>
          <w:p>
            <w:pPr>
              <w:pStyle w:val="77"/>
              <w:rPr>
                <w:rFonts w:ascii="Times New Roman" w:hAnsi="Times New Roman" w:eastAsia="仿宋_GB2312"/>
                <w:bCs/>
                <w:color w:val="000000" w:themeColor="text1"/>
                <w:sz w:val="18"/>
                <w:szCs w:val="18"/>
              </w:rPr>
            </w:pPr>
          </w:p>
        </w:tc>
        <w:tc>
          <w:tcPr>
            <w:tcW w:w="356" w:type="pct"/>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施工期</w:t>
            </w:r>
          </w:p>
        </w:tc>
        <w:tc>
          <w:tcPr>
            <w:tcW w:w="615" w:type="pct"/>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设计水平年</w:t>
            </w:r>
          </w:p>
        </w:tc>
        <w:tc>
          <w:tcPr>
            <w:tcW w:w="545" w:type="pct"/>
            <w:vMerge w:val="continue"/>
            <w:tcBorders>
              <w:tl2br w:val="nil"/>
              <w:tr2bl w:val="nil"/>
            </w:tcBorders>
            <w:vAlign w:val="center"/>
          </w:tcPr>
          <w:p>
            <w:pPr>
              <w:pStyle w:val="77"/>
              <w:rPr>
                <w:rFonts w:ascii="Times New Roman" w:hAnsi="Times New Roman" w:eastAsia="仿宋_GB2312"/>
                <w:color w:val="000000" w:themeColor="text1"/>
                <w:sz w:val="18"/>
                <w:szCs w:val="18"/>
              </w:rPr>
            </w:pPr>
          </w:p>
        </w:tc>
        <w:tc>
          <w:tcPr>
            <w:tcW w:w="536" w:type="pct"/>
            <w:vMerge w:val="continue"/>
            <w:tcBorders>
              <w:tl2br w:val="nil"/>
              <w:tr2bl w:val="nil"/>
            </w:tcBorders>
            <w:vAlign w:val="center"/>
          </w:tcPr>
          <w:p>
            <w:pPr>
              <w:pStyle w:val="77"/>
              <w:rPr>
                <w:rFonts w:ascii="Times New Roman" w:hAnsi="Times New Roman" w:eastAsia="仿宋_GB2312"/>
                <w:color w:val="000000" w:themeColor="text1"/>
                <w:sz w:val="18"/>
                <w:szCs w:val="18"/>
              </w:rPr>
            </w:pPr>
          </w:p>
        </w:tc>
        <w:tc>
          <w:tcPr>
            <w:tcW w:w="672" w:type="pct"/>
            <w:vMerge w:val="continue"/>
            <w:tcBorders>
              <w:tl2br w:val="nil"/>
              <w:tr2bl w:val="nil"/>
            </w:tcBorders>
            <w:vAlign w:val="center"/>
          </w:tcPr>
          <w:p>
            <w:pPr>
              <w:pStyle w:val="77"/>
              <w:rPr>
                <w:rFonts w:ascii="Times New Roman" w:hAnsi="Times New Roman" w:eastAsia="仿宋_GB2312"/>
                <w:color w:val="000000" w:themeColor="text1"/>
                <w:sz w:val="18"/>
                <w:szCs w:val="18"/>
              </w:rPr>
            </w:pPr>
          </w:p>
        </w:tc>
        <w:tc>
          <w:tcPr>
            <w:tcW w:w="501" w:type="pct"/>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施工期</w:t>
            </w:r>
          </w:p>
        </w:tc>
        <w:tc>
          <w:tcPr>
            <w:tcW w:w="520" w:type="pct"/>
            <w:tcBorders>
              <w:tl2br w:val="nil"/>
              <w:tr2bl w:val="nil"/>
            </w:tcBorders>
            <w:vAlign w:val="center"/>
          </w:tcPr>
          <w:p>
            <w:pPr>
              <w:pStyle w:val="77"/>
              <w:rPr>
                <w:rFonts w:ascii="Times New Roman" w:hAnsi="Times New Roman" w:eastAsia="仿宋_GB2312"/>
                <w:color w:val="000000" w:themeColor="text1"/>
                <w:sz w:val="18"/>
                <w:szCs w:val="18"/>
              </w:rPr>
            </w:pPr>
            <w:r>
              <w:rPr>
                <w:rFonts w:ascii="Times New Roman" w:hAnsi="Times New Roman" w:eastAsia="仿宋_GB2312"/>
                <w:color w:val="000000" w:themeColor="text1"/>
                <w:sz w:val="18"/>
                <w:szCs w:val="18"/>
              </w:rPr>
              <w:t>设计水平年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51" w:type="pct"/>
            <w:tcBorders>
              <w:tl2br w:val="nil"/>
              <w:tr2bl w:val="nil"/>
            </w:tcBorders>
            <w:tcMar>
              <w:top w:w="0" w:type="dxa"/>
              <w:left w:w="0" w:type="dxa"/>
              <w:bottom w:w="0" w:type="dxa"/>
              <w:right w:w="0" w:type="dxa"/>
            </w:tcMar>
            <w:vAlign w:val="center"/>
          </w:tcPr>
          <w:p>
            <w:pPr>
              <w:pStyle w:val="77"/>
              <w:rPr>
                <w:rFonts w:ascii="Times New Roman" w:hAnsi="Times New Roman" w:eastAsia="仿宋_GB2312"/>
                <w:bCs/>
                <w:color w:val="000000" w:themeColor="text1"/>
                <w:sz w:val="18"/>
                <w:szCs w:val="18"/>
              </w:rPr>
            </w:pPr>
            <w:r>
              <w:rPr>
                <w:rFonts w:ascii="Times New Roman" w:hAnsi="Times New Roman" w:eastAsia="仿宋_GB2312"/>
                <w:bCs/>
                <w:color w:val="000000" w:themeColor="text1"/>
                <w:sz w:val="18"/>
                <w:szCs w:val="18"/>
              </w:rPr>
              <w:t>水土流失总治理度（%）</w:t>
            </w:r>
          </w:p>
        </w:tc>
        <w:tc>
          <w:tcPr>
            <w:tcW w:w="356" w:type="pct"/>
            <w:tcBorders>
              <w:tl2br w:val="nil"/>
              <w:tr2bl w:val="nil"/>
            </w:tcBorders>
            <w:vAlign w:val="center"/>
          </w:tcPr>
          <w:p>
            <w:pPr>
              <w:pStyle w:val="77"/>
              <w:rPr>
                <w:rFonts w:ascii="Times New Roman" w:hAnsi="Times New Roman" w:eastAsia="仿宋_GB2312"/>
                <w:bCs/>
                <w:color w:val="000000" w:themeColor="text1"/>
                <w:sz w:val="18"/>
                <w:szCs w:val="18"/>
              </w:rPr>
            </w:pPr>
          </w:p>
        </w:tc>
        <w:tc>
          <w:tcPr>
            <w:tcW w:w="615" w:type="pct"/>
            <w:tcBorders>
              <w:tl2br w:val="nil"/>
              <w:tr2bl w:val="nil"/>
            </w:tcBorders>
            <w:vAlign w:val="center"/>
          </w:tcPr>
          <w:p>
            <w:pPr>
              <w:pStyle w:val="77"/>
              <w:rPr>
                <w:rFonts w:ascii="Times New Roman" w:hAnsi="Times New Roman" w:eastAsia="仿宋_GB2312"/>
                <w:bCs/>
                <w:color w:val="000000" w:themeColor="text1"/>
                <w:sz w:val="18"/>
                <w:szCs w:val="18"/>
              </w:rPr>
            </w:pPr>
            <w:r>
              <w:rPr>
                <w:rFonts w:ascii="Times New Roman" w:hAnsi="Times New Roman" w:eastAsia="仿宋_GB2312"/>
                <w:bCs/>
                <w:color w:val="000000" w:themeColor="text1"/>
                <w:sz w:val="18"/>
                <w:szCs w:val="18"/>
              </w:rPr>
              <w:t>97</w:t>
            </w:r>
          </w:p>
        </w:tc>
        <w:tc>
          <w:tcPr>
            <w:tcW w:w="545" w:type="pct"/>
            <w:tcBorders>
              <w:tl2br w:val="nil"/>
              <w:tr2bl w:val="nil"/>
            </w:tcBorders>
            <w:vAlign w:val="center"/>
          </w:tcPr>
          <w:p>
            <w:pPr>
              <w:pStyle w:val="77"/>
              <w:rPr>
                <w:rFonts w:ascii="Times New Roman" w:hAnsi="Times New Roman" w:eastAsia="仿宋_GB2312"/>
                <w:bCs/>
                <w:color w:val="000000" w:themeColor="text1"/>
                <w:sz w:val="18"/>
                <w:szCs w:val="18"/>
              </w:rPr>
            </w:pPr>
          </w:p>
        </w:tc>
        <w:tc>
          <w:tcPr>
            <w:tcW w:w="536" w:type="pct"/>
            <w:tcBorders>
              <w:tl2br w:val="nil"/>
              <w:tr2bl w:val="nil"/>
            </w:tcBorders>
            <w:vAlign w:val="center"/>
          </w:tcPr>
          <w:p>
            <w:pPr>
              <w:pStyle w:val="77"/>
              <w:rPr>
                <w:rFonts w:ascii="Times New Roman" w:hAnsi="Times New Roman" w:eastAsia="仿宋_GB2312"/>
                <w:bCs/>
                <w:color w:val="000000" w:themeColor="text1"/>
                <w:sz w:val="18"/>
                <w:szCs w:val="18"/>
              </w:rPr>
            </w:pPr>
          </w:p>
        </w:tc>
        <w:tc>
          <w:tcPr>
            <w:tcW w:w="672" w:type="pct"/>
            <w:tcBorders>
              <w:tl2br w:val="nil"/>
              <w:tr2bl w:val="nil"/>
            </w:tcBorders>
            <w:vAlign w:val="center"/>
          </w:tcPr>
          <w:p>
            <w:pPr>
              <w:pStyle w:val="77"/>
              <w:rPr>
                <w:rFonts w:ascii="Times New Roman" w:hAnsi="Times New Roman" w:eastAsia="仿宋_GB2312"/>
                <w:bCs/>
                <w:color w:val="000000" w:themeColor="text1"/>
                <w:sz w:val="18"/>
                <w:szCs w:val="18"/>
              </w:rPr>
            </w:pPr>
          </w:p>
        </w:tc>
        <w:tc>
          <w:tcPr>
            <w:tcW w:w="501" w:type="pct"/>
            <w:tcBorders>
              <w:tl2br w:val="nil"/>
              <w:tr2bl w:val="nil"/>
            </w:tcBorders>
            <w:vAlign w:val="center"/>
          </w:tcPr>
          <w:p>
            <w:pPr>
              <w:pStyle w:val="77"/>
              <w:rPr>
                <w:rFonts w:ascii="Times New Roman" w:hAnsi="Times New Roman" w:eastAsia="仿宋_GB2312"/>
                <w:bCs/>
                <w:color w:val="000000" w:themeColor="text1"/>
                <w:sz w:val="18"/>
                <w:szCs w:val="18"/>
              </w:rPr>
            </w:pPr>
          </w:p>
        </w:tc>
        <w:tc>
          <w:tcPr>
            <w:tcW w:w="520" w:type="pct"/>
            <w:tcBorders>
              <w:tl2br w:val="nil"/>
              <w:tr2bl w:val="nil"/>
            </w:tcBorders>
            <w:vAlign w:val="center"/>
          </w:tcPr>
          <w:p>
            <w:pPr>
              <w:pStyle w:val="77"/>
              <w:rPr>
                <w:rFonts w:ascii="Times New Roman" w:hAnsi="Times New Roman" w:eastAsia="仿宋_GB2312"/>
                <w:bCs/>
                <w:color w:val="000000" w:themeColor="text1"/>
                <w:sz w:val="18"/>
                <w:szCs w:val="18"/>
              </w:rPr>
            </w:pPr>
            <w:r>
              <w:rPr>
                <w:rFonts w:ascii="Times New Roman" w:hAnsi="Times New Roman" w:eastAsia="仿宋_GB2312"/>
                <w:bCs/>
                <w:color w:val="000000" w:themeColor="text1"/>
                <w:sz w:val="18"/>
                <w:szCs w:val="18"/>
              </w:rPr>
              <w:t>97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51" w:type="pct"/>
            <w:tcBorders>
              <w:tl2br w:val="nil"/>
              <w:tr2bl w:val="nil"/>
            </w:tcBorders>
            <w:tcMar>
              <w:top w:w="0" w:type="dxa"/>
              <w:left w:w="0" w:type="dxa"/>
              <w:bottom w:w="0" w:type="dxa"/>
              <w:right w:w="0" w:type="dxa"/>
            </w:tcMar>
            <w:vAlign w:val="center"/>
          </w:tcPr>
          <w:p>
            <w:pPr>
              <w:pStyle w:val="77"/>
              <w:rPr>
                <w:rFonts w:ascii="Times New Roman" w:hAnsi="Times New Roman" w:eastAsia="仿宋_GB2312"/>
                <w:bCs/>
                <w:color w:val="000000" w:themeColor="text1"/>
                <w:sz w:val="18"/>
                <w:szCs w:val="18"/>
              </w:rPr>
            </w:pPr>
            <w:r>
              <w:rPr>
                <w:rFonts w:ascii="Times New Roman" w:hAnsi="Times New Roman" w:eastAsia="仿宋_GB2312"/>
                <w:bCs/>
                <w:color w:val="000000" w:themeColor="text1"/>
                <w:sz w:val="18"/>
                <w:szCs w:val="18"/>
              </w:rPr>
              <w:t>土壤流失控制比</w:t>
            </w:r>
          </w:p>
        </w:tc>
        <w:tc>
          <w:tcPr>
            <w:tcW w:w="356" w:type="pct"/>
            <w:tcBorders>
              <w:tl2br w:val="nil"/>
              <w:tr2bl w:val="nil"/>
            </w:tcBorders>
            <w:vAlign w:val="center"/>
          </w:tcPr>
          <w:p>
            <w:pPr>
              <w:pStyle w:val="77"/>
              <w:rPr>
                <w:rFonts w:ascii="Times New Roman" w:hAnsi="Times New Roman" w:eastAsia="仿宋_GB2312"/>
                <w:color w:val="000000" w:themeColor="text1"/>
                <w:sz w:val="18"/>
                <w:szCs w:val="18"/>
              </w:rPr>
            </w:pPr>
          </w:p>
        </w:tc>
        <w:tc>
          <w:tcPr>
            <w:tcW w:w="615" w:type="pct"/>
            <w:tcBorders>
              <w:tl2br w:val="nil"/>
              <w:tr2bl w:val="nil"/>
            </w:tcBorders>
            <w:vAlign w:val="center"/>
          </w:tcPr>
          <w:p>
            <w:pPr>
              <w:pStyle w:val="77"/>
              <w:rPr>
                <w:rFonts w:ascii="Times New Roman" w:hAnsi="Times New Roman" w:eastAsia="仿宋_GB2312"/>
                <w:bCs/>
                <w:color w:val="000000" w:themeColor="text1"/>
                <w:sz w:val="18"/>
                <w:szCs w:val="18"/>
              </w:rPr>
            </w:pPr>
            <w:r>
              <w:rPr>
                <w:rFonts w:ascii="Times New Roman" w:hAnsi="Times New Roman" w:eastAsia="仿宋_GB2312"/>
                <w:bCs/>
                <w:color w:val="000000" w:themeColor="text1"/>
                <w:sz w:val="18"/>
                <w:szCs w:val="18"/>
              </w:rPr>
              <w:t>0.9</w:t>
            </w:r>
          </w:p>
        </w:tc>
        <w:tc>
          <w:tcPr>
            <w:tcW w:w="545" w:type="pct"/>
            <w:tcBorders>
              <w:tl2br w:val="nil"/>
              <w:tr2bl w:val="nil"/>
            </w:tcBorders>
            <w:vAlign w:val="center"/>
          </w:tcPr>
          <w:p>
            <w:pPr>
              <w:pStyle w:val="77"/>
              <w:rPr>
                <w:rFonts w:ascii="Times New Roman" w:hAnsi="Times New Roman" w:eastAsia="仿宋_GB2312"/>
                <w:bCs/>
                <w:color w:val="000000" w:themeColor="text1"/>
                <w:sz w:val="18"/>
                <w:szCs w:val="18"/>
              </w:rPr>
            </w:pPr>
            <w:r>
              <w:rPr>
                <w:rFonts w:ascii="Times New Roman" w:hAnsi="Times New Roman" w:eastAsia="仿宋_GB2312"/>
                <w:bCs/>
                <w:color w:val="000000" w:themeColor="text1"/>
                <w:sz w:val="18"/>
                <w:szCs w:val="18"/>
              </w:rPr>
              <w:t>+0.1</w:t>
            </w:r>
          </w:p>
        </w:tc>
        <w:tc>
          <w:tcPr>
            <w:tcW w:w="536" w:type="pct"/>
            <w:tcBorders>
              <w:tl2br w:val="nil"/>
              <w:tr2bl w:val="nil"/>
            </w:tcBorders>
            <w:vAlign w:val="center"/>
          </w:tcPr>
          <w:p>
            <w:pPr>
              <w:pStyle w:val="77"/>
              <w:rPr>
                <w:rFonts w:ascii="Times New Roman" w:hAnsi="Times New Roman" w:eastAsia="仿宋_GB2312"/>
                <w:bCs/>
                <w:color w:val="000000" w:themeColor="text1"/>
                <w:sz w:val="18"/>
                <w:szCs w:val="18"/>
              </w:rPr>
            </w:pPr>
          </w:p>
        </w:tc>
        <w:tc>
          <w:tcPr>
            <w:tcW w:w="672" w:type="pct"/>
            <w:tcBorders>
              <w:tl2br w:val="nil"/>
              <w:tr2bl w:val="nil"/>
            </w:tcBorders>
            <w:vAlign w:val="center"/>
          </w:tcPr>
          <w:p>
            <w:pPr>
              <w:pStyle w:val="77"/>
              <w:rPr>
                <w:rFonts w:ascii="Times New Roman" w:hAnsi="Times New Roman" w:eastAsia="仿宋_GB2312"/>
                <w:bCs/>
                <w:color w:val="000000" w:themeColor="text1"/>
                <w:sz w:val="18"/>
                <w:szCs w:val="18"/>
              </w:rPr>
            </w:pPr>
          </w:p>
        </w:tc>
        <w:tc>
          <w:tcPr>
            <w:tcW w:w="501" w:type="pct"/>
            <w:tcBorders>
              <w:tl2br w:val="nil"/>
              <w:tr2bl w:val="nil"/>
            </w:tcBorders>
            <w:vAlign w:val="center"/>
          </w:tcPr>
          <w:p>
            <w:pPr>
              <w:pStyle w:val="77"/>
              <w:rPr>
                <w:rFonts w:ascii="Times New Roman" w:hAnsi="Times New Roman" w:eastAsia="仿宋_GB2312"/>
                <w:bCs/>
                <w:color w:val="000000" w:themeColor="text1"/>
                <w:sz w:val="18"/>
                <w:szCs w:val="18"/>
              </w:rPr>
            </w:pPr>
          </w:p>
        </w:tc>
        <w:tc>
          <w:tcPr>
            <w:tcW w:w="520" w:type="pct"/>
            <w:tcBorders>
              <w:tl2br w:val="nil"/>
              <w:tr2bl w:val="nil"/>
            </w:tcBorders>
            <w:vAlign w:val="center"/>
          </w:tcPr>
          <w:p>
            <w:pPr>
              <w:pStyle w:val="77"/>
              <w:rPr>
                <w:rFonts w:ascii="Times New Roman" w:hAnsi="Times New Roman" w:eastAsia="仿宋_GB2312"/>
                <w:bCs/>
                <w:color w:val="000000" w:themeColor="text1"/>
                <w:sz w:val="18"/>
                <w:szCs w:val="18"/>
              </w:rPr>
            </w:pPr>
            <w:r>
              <w:rPr>
                <w:rFonts w:ascii="Times New Roman" w:hAnsi="Times New Roman" w:eastAsia="仿宋_GB2312"/>
                <w:bCs/>
                <w:color w:val="000000" w:themeColor="text1"/>
                <w:sz w:val="18"/>
                <w:szCs w:val="18"/>
              </w:rPr>
              <w:t>1.0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123" w:hRule="atLeast"/>
          <w:jc w:val="center"/>
        </w:trPr>
        <w:tc>
          <w:tcPr>
            <w:tcW w:w="1251" w:type="pct"/>
            <w:tcBorders>
              <w:tl2br w:val="nil"/>
              <w:tr2bl w:val="nil"/>
            </w:tcBorders>
            <w:tcMar>
              <w:top w:w="0" w:type="dxa"/>
              <w:left w:w="0" w:type="dxa"/>
              <w:bottom w:w="0" w:type="dxa"/>
              <w:right w:w="0" w:type="dxa"/>
            </w:tcMar>
            <w:vAlign w:val="center"/>
          </w:tcPr>
          <w:p>
            <w:pPr>
              <w:pStyle w:val="77"/>
              <w:rPr>
                <w:rFonts w:ascii="Times New Roman" w:hAnsi="Times New Roman" w:eastAsia="仿宋_GB2312"/>
                <w:bCs/>
                <w:color w:val="000000" w:themeColor="text1"/>
                <w:sz w:val="18"/>
                <w:szCs w:val="18"/>
              </w:rPr>
            </w:pPr>
            <w:r>
              <w:rPr>
                <w:rFonts w:ascii="Times New Roman" w:hAnsi="Times New Roman" w:eastAsia="仿宋_GB2312"/>
                <w:bCs/>
                <w:color w:val="000000" w:themeColor="text1"/>
                <w:sz w:val="18"/>
                <w:szCs w:val="18"/>
              </w:rPr>
              <w:t>渣土防护率（%）</w:t>
            </w:r>
          </w:p>
        </w:tc>
        <w:tc>
          <w:tcPr>
            <w:tcW w:w="356" w:type="pct"/>
            <w:tcBorders>
              <w:tl2br w:val="nil"/>
              <w:tr2bl w:val="nil"/>
            </w:tcBorders>
            <w:vAlign w:val="center"/>
          </w:tcPr>
          <w:p>
            <w:pPr>
              <w:pStyle w:val="77"/>
              <w:rPr>
                <w:rFonts w:ascii="Times New Roman" w:hAnsi="Times New Roman" w:eastAsia="仿宋_GB2312"/>
                <w:bCs/>
                <w:color w:val="000000" w:themeColor="text1"/>
                <w:sz w:val="18"/>
                <w:szCs w:val="18"/>
              </w:rPr>
            </w:pPr>
            <w:r>
              <w:rPr>
                <w:rFonts w:ascii="Times New Roman" w:hAnsi="Times New Roman" w:eastAsia="仿宋_GB2312"/>
                <w:bCs/>
                <w:color w:val="000000" w:themeColor="text1"/>
                <w:sz w:val="18"/>
                <w:szCs w:val="18"/>
              </w:rPr>
              <w:t>95</w:t>
            </w:r>
          </w:p>
        </w:tc>
        <w:tc>
          <w:tcPr>
            <w:tcW w:w="615" w:type="pct"/>
            <w:tcBorders>
              <w:tl2br w:val="nil"/>
              <w:tr2bl w:val="nil"/>
            </w:tcBorders>
            <w:vAlign w:val="center"/>
          </w:tcPr>
          <w:p>
            <w:pPr>
              <w:pStyle w:val="77"/>
              <w:rPr>
                <w:rFonts w:ascii="Times New Roman" w:hAnsi="Times New Roman" w:eastAsia="仿宋_GB2312"/>
                <w:bCs/>
                <w:color w:val="000000" w:themeColor="text1"/>
                <w:sz w:val="18"/>
                <w:szCs w:val="18"/>
              </w:rPr>
            </w:pPr>
            <w:r>
              <w:rPr>
                <w:rFonts w:ascii="Times New Roman" w:hAnsi="Times New Roman" w:eastAsia="仿宋_GB2312"/>
                <w:bCs/>
                <w:color w:val="000000" w:themeColor="text1"/>
                <w:sz w:val="18"/>
                <w:szCs w:val="18"/>
              </w:rPr>
              <w:t>97</w:t>
            </w:r>
          </w:p>
        </w:tc>
        <w:tc>
          <w:tcPr>
            <w:tcW w:w="545" w:type="pct"/>
            <w:tcBorders>
              <w:tl2br w:val="nil"/>
              <w:tr2bl w:val="nil"/>
            </w:tcBorders>
            <w:vAlign w:val="center"/>
          </w:tcPr>
          <w:p>
            <w:pPr>
              <w:pStyle w:val="77"/>
              <w:rPr>
                <w:rFonts w:ascii="Times New Roman" w:hAnsi="Times New Roman" w:eastAsia="仿宋_GB2312"/>
                <w:bCs/>
                <w:color w:val="000000" w:themeColor="text1"/>
                <w:sz w:val="18"/>
                <w:szCs w:val="18"/>
              </w:rPr>
            </w:pPr>
          </w:p>
        </w:tc>
        <w:tc>
          <w:tcPr>
            <w:tcW w:w="536" w:type="pct"/>
            <w:tcBorders>
              <w:tl2br w:val="nil"/>
              <w:tr2bl w:val="nil"/>
            </w:tcBorders>
            <w:vAlign w:val="center"/>
          </w:tcPr>
          <w:p>
            <w:pPr>
              <w:pStyle w:val="77"/>
              <w:rPr>
                <w:rFonts w:ascii="Times New Roman" w:hAnsi="Times New Roman" w:eastAsia="仿宋_GB2312"/>
                <w:bCs/>
                <w:color w:val="000000" w:themeColor="text1"/>
                <w:sz w:val="18"/>
                <w:szCs w:val="18"/>
              </w:rPr>
            </w:pPr>
          </w:p>
        </w:tc>
        <w:tc>
          <w:tcPr>
            <w:tcW w:w="672" w:type="pct"/>
            <w:tcBorders>
              <w:tl2br w:val="nil"/>
              <w:tr2bl w:val="nil"/>
            </w:tcBorders>
            <w:vAlign w:val="center"/>
          </w:tcPr>
          <w:p>
            <w:pPr>
              <w:pStyle w:val="77"/>
              <w:rPr>
                <w:rFonts w:ascii="Times New Roman" w:hAnsi="Times New Roman" w:eastAsia="仿宋_GB2312"/>
                <w:bCs/>
                <w:color w:val="000000" w:themeColor="text1"/>
                <w:sz w:val="18"/>
                <w:szCs w:val="18"/>
              </w:rPr>
            </w:pPr>
          </w:p>
        </w:tc>
        <w:tc>
          <w:tcPr>
            <w:tcW w:w="501" w:type="pct"/>
            <w:tcBorders>
              <w:tl2br w:val="nil"/>
              <w:tr2bl w:val="nil"/>
            </w:tcBorders>
            <w:vAlign w:val="center"/>
          </w:tcPr>
          <w:p>
            <w:pPr>
              <w:pStyle w:val="77"/>
              <w:rPr>
                <w:rFonts w:ascii="Times New Roman" w:hAnsi="Times New Roman" w:eastAsia="仿宋_GB2312"/>
                <w:bCs/>
                <w:color w:val="000000" w:themeColor="text1"/>
                <w:sz w:val="18"/>
                <w:szCs w:val="18"/>
              </w:rPr>
            </w:pPr>
            <w:r>
              <w:rPr>
                <w:rFonts w:ascii="Times New Roman" w:hAnsi="Times New Roman" w:eastAsia="仿宋_GB2312"/>
                <w:bCs/>
                <w:color w:val="000000" w:themeColor="text1"/>
                <w:sz w:val="18"/>
                <w:szCs w:val="18"/>
              </w:rPr>
              <w:t>96</w:t>
            </w:r>
          </w:p>
        </w:tc>
        <w:tc>
          <w:tcPr>
            <w:tcW w:w="520" w:type="pct"/>
            <w:tcBorders>
              <w:tl2br w:val="nil"/>
              <w:tr2bl w:val="nil"/>
            </w:tcBorders>
            <w:vAlign w:val="center"/>
          </w:tcPr>
          <w:p>
            <w:pPr>
              <w:pStyle w:val="77"/>
              <w:rPr>
                <w:rFonts w:ascii="Times New Roman" w:hAnsi="Times New Roman" w:eastAsia="仿宋_GB2312"/>
                <w:bCs/>
                <w:color w:val="000000" w:themeColor="text1"/>
                <w:sz w:val="18"/>
                <w:szCs w:val="18"/>
              </w:rPr>
            </w:pPr>
            <w:r>
              <w:rPr>
                <w:rFonts w:ascii="Times New Roman" w:hAnsi="Times New Roman" w:eastAsia="仿宋_GB2312"/>
                <w:bCs/>
                <w:color w:val="000000" w:themeColor="text1"/>
                <w:sz w:val="18"/>
                <w:szCs w:val="18"/>
              </w:rPr>
              <w:t>98</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51" w:type="pct"/>
            <w:tcBorders>
              <w:tl2br w:val="nil"/>
              <w:tr2bl w:val="nil"/>
            </w:tcBorders>
            <w:tcMar>
              <w:top w:w="0" w:type="dxa"/>
              <w:left w:w="0" w:type="dxa"/>
              <w:bottom w:w="0" w:type="dxa"/>
              <w:right w:w="0" w:type="dxa"/>
            </w:tcMar>
            <w:vAlign w:val="center"/>
          </w:tcPr>
          <w:p>
            <w:pPr>
              <w:pStyle w:val="77"/>
              <w:rPr>
                <w:rFonts w:ascii="Times New Roman" w:hAnsi="Times New Roman" w:eastAsia="仿宋_GB2312"/>
                <w:bCs/>
                <w:color w:val="000000" w:themeColor="text1"/>
                <w:sz w:val="18"/>
                <w:szCs w:val="18"/>
              </w:rPr>
            </w:pPr>
            <w:r>
              <w:rPr>
                <w:rFonts w:ascii="Times New Roman" w:hAnsi="Times New Roman" w:eastAsia="仿宋_GB2312"/>
                <w:bCs/>
                <w:color w:val="000000" w:themeColor="text1"/>
                <w:sz w:val="18"/>
                <w:szCs w:val="18"/>
              </w:rPr>
              <w:t>林草植被恢复率（%）</w:t>
            </w:r>
          </w:p>
        </w:tc>
        <w:tc>
          <w:tcPr>
            <w:tcW w:w="356" w:type="pct"/>
            <w:tcBorders>
              <w:tl2br w:val="nil"/>
              <w:tr2bl w:val="nil"/>
            </w:tcBorders>
            <w:vAlign w:val="center"/>
          </w:tcPr>
          <w:p>
            <w:pPr>
              <w:pStyle w:val="77"/>
              <w:rPr>
                <w:rFonts w:ascii="Times New Roman" w:hAnsi="Times New Roman" w:eastAsia="仿宋_GB2312"/>
                <w:bCs/>
                <w:color w:val="000000" w:themeColor="text1"/>
                <w:sz w:val="18"/>
                <w:szCs w:val="18"/>
              </w:rPr>
            </w:pPr>
          </w:p>
        </w:tc>
        <w:tc>
          <w:tcPr>
            <w:tcW w:w="615" w:type="pct"/>
            <w:tcBorders>
              <w:tl2br w:val="nil"/>
              <w:tr2bl w:val="nil"/>
            </w:tcBorders>
            <w:vAlign w:val="center"/>
          </w:tcPr>
          <w:p>
            <w:pPr>
              <w:pStyle w:val="77"/>
              <w:rPr>
                <w:rFonts w:ascii="Times New Roman" w:hAnsi="Times New Roman" w:eastAsia="仿宋_GB2312"/>
                <w:bCs/>
                <w:color w:val="000000" w:themeColor="text1"/>
                <w:sz w:val="18"/>
                <w:szCs w:val="18"/>
              </w:rPr>
            </w:pPr>
            <w:r>
              <w:rPr>
                <w:rFonts w:ascii="Times New Roman" w:hAnsi="Times New Roman" w:eastAsia="仿宋_GB2312"/>
                <w:bCs/>
                <w:color w:val="000000" w:themeColor="text1"/>
                <w:sz w:val="18"/>
                <w:szCs w:val="18"/>
              </w:rPr>
              <w:t>97</w:t>
            </w:r>
          </w:p>
        </w:tc>
        <w:tc>
          <w:tcPr>
            <w:tcW w:w="545" w:type="pct"/>
            <w:tcBorders>
              <w:tl2br w:val="nil"/>
              <w:tr2bl w:val="nil"/>
            </w:tcBorders>
            <w:vAlign w:val="center"/>
          </w:tcPr>
          <w:p>
            <w:pPr>
              <w:pStyle w:val="77"/>
              <w:rPr>
                <w:rFonts w:ascii="Times New Roman" w:hAnsi="Times New Roman" w:eastAsia="仿宋_GB2312"/>
                <w:bCs/>
                <w:color w:val="000000" w:themeColor="text1"/>
                <w:sz w:val="18"/>
                <w:szCs w:val="18"/>
              </w:rPr>
            </w:pPr>
          </w:p>
        </w:tc>
        <w:tc>
          <w:tcPr>
            <w:tcW w:w="536" w:type="pct"/>
            <w:tcBorders>
              <w:tl2br w:val="nil"/>
              <w:tr2bl w:val="nil"/>
            </w:tcBorders>
            <w:vAlign w:val="center"/>
          </w:tcPr>
          <w:p>
            <w:pPr>
              <w:pStyle w:val="77"/>
              <w:rPr>
                <w:rFonts w:ascii="Times New Roman" w:hAnsi="Times New Roman" w:eastAsia="仿宋_GB2312"/>
                <w:bCs/>
                <w:color w:val="000000" w:themeColor="text1"/>
                <w:sz w:val="18"/>
                <w:szCs w:val="18"/>
              </w:rPr>
            </w:pPr>
          </w:p>
        </w:tc>
        <w:tc>
          <w:tcPr>
            <w:tcW w:w="672" w:type="pct"/>
            <w:tcBorders>
              <w:tl2br w:val="nil"/>
              <w:tr2bl w:val="nil"/>
            </w:tcBorders>
            <w:vAlign w:val="center"/>
          </w:tcPr>
          <w:p>
            <w:pPr>
              <w:pStyle w:val="77"/>
              <w:rPr>
                <w:rFonts w:ascii="Times New Roman" w:hAnsi="Times New Roman" w:eastAsia="仿宋_GB2312"/>
                <w:bCs/>
                <w:color w:val="000000" w:themeColor="text1"/>
                <w:sz w:val="18"/>
                <w:szCs w:val="18"/>
              </w:rPr>
            </w:pPr>
          </w:p>
        </w:tc>
        <w:tc>
          <w:tcPr>
            <w:tcW w:w="501" w:type="pct"/>
            <w:tcBorders>
              <w:tl2br w:val="nil"/>
              <w:tr2bl w:val="nil"/>
            </w:tcBorders>
            <w:vAlign w:val="center"/>
          </w:tcPr>
          <w:p>
            <w:pPr>
              <w:pStyle w:val="77"/>
              <w:rPr>
                <w:rFonts w:ascii="Times New Roman" w:hAnsi="Times New Roman" w:eastAsia="仿宋_GB2312"/>
                <w:bCs/>
                <w:color w:val="000000" w:themeColor="text1"/>
                <w:sz w:val="18"/>
                <w:szCs w:val="18"/>
              </w:rPr>
            </w:pPr>
          </w:p>
        </w:tc>
        <w:tc>
          <w:tcPr>
            <w:tcW w:w="520" w:type="pct"/>
            <w:tcBorders>
              <w:tl2br w:val="nil"/>
              <w:tr2bl w:val="nil"/>
            </w:tcBorders>
            <w:vAlign w:val="center"/>
          </w:tcPr>
          <w:p>
            <w:pPr>
              <w:pStyle w:val="77"/>
              <w:rPr>
                <w:rFonts w:ascii="Times New Roman" w:hAnsi="Times New Roman" w:eastAsia="仿宋_GB2312"/>
                <w:bCs/>
                <w:color w:val="000000" w:themeColor="text1"/>
                <w:sz w:val="18"/>
                <w:szCs w:val="18"/>
              </w:rPr>
            </w:pPr>
            <w:r>
              <w:rPr>
                <w:rFonts w:ascii="Times New Roman" w:hAnsi="Times New Roman" w:eastAsia="仿宋_GB2312"/>
                <w:bCs/>
                <w:color w:val="000000" w:themeColor="text1"/>
                <w:sz w:val="18"/>
                <w:szCs w:val="18"/>
              </w:rPr>
              <w:t>9</w:t>
            </w:r>
            <w:r>
              <w:rPr>
                <w:rFonts w:hint="eastAsia" w:ascii="Times New Roman" w:hAnsi="Times New Roman" w:eastAsia="仿宋_GB2312"/>
                <w:bCs/>
                <w:color w:val="000000" w:themeColor="text1"/>
                <w:sz w:val="18"/>
                <w:szCs w:val="18"/>
              </w:rPr>
              <w:t>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51" w:type="pct"/>
            <w:tcBorders>
              <w:tl2br w:val="nil"/>
              <w:tr2bl w:val="nil"/>
            </w:tcBorders>
            <w:tcMar>
              <w:top w:w="0" w:type="dxa"/>
              <w:left w:w="0" w:type="dxa"/>
              <w:bottom w:w="0" w:type="dxa"/>
              <w:right w:w="0" w:type="dxa"/>
            </w:tcMar>
            <w:vAlign w:val="center"/>
          </w:tcPr>
          <w:p>
            <w:pPr>
              <w:pStyle w:val="77"/>
              <w:rPr>
                <w:rFonts w:ascii="Times New Roman" w:hAnsi="Times New Roman" w:eastAsia="仿宋_GB2312"/>
                <w:bCs/>
                <w:color w:val="000000" w:themeColor="text1"/>
                <w:sz w:val="18"/>
                <w:szCs w:val="18"/>
              </w:rPr>
            </w:pPr>
            <w:r>
              <w:rPr>
                <w:rFonts w:ascii="Times New Roman" w:hAnsi="Times New Roman" w:eastAsia="仿宋_GB2312"/>
                <w:bCs/>
                <w:color w:val="000000" w:themeColor="text1"/>
                <w:sz w:val="18"/>
                <w:szCs w:val="18"/>
              </w:rPr>
              <w:t>林草覆盖率（%）</w:t>
            </w:r>
          </w:p>
        </w:tc>
        <w:tc>
          <w:tcPr>
            <w:tcW w:w="356" w:type="pct"/>
            <w:tcBorders>
              <w:tl2br w:val="nil"/>
              <w:tr2bl w:val="nil"/>
            </w:tcBorders>
            <w:vAlign w:val="center"/>
          </w:tcPr>
          <w:p>
            <w:pPr>
              <w:pStyle w:val="77"/>
              <w:rPr>
                <w:rFonts w:ascii="Times New Roman" w:hAnsi="Times New Roman" w:eastAsia="仿宋_GB2312"/>
                <w:bCs/>
                <w:color w:val="000000" w:themeColor="text1"/>
                <w:sz w:val="18"/>
                <w:szCs w:val="18"/>
              </w:rPr>
            </w:pPr>
          </w:p>
        </w:tc>
        <w:tc>
          <w:tcPr>
            <w:tcW w:w="615" w:type="pct"/>
            <w:tcBorders>
              <w:tl2br w:val="nil"/>
              <w:tr2bl w:val="nil"/>
            </w:tcBorders>
            <w:vAlign w:val="center"/>
          </w:tcPr>
          <w:p>
            <w:pPr>
              <w:pStyle w:val="77"/>
              <w:rPr>
                <w:rFonts w:ascii="Times New Roman" w:hAnsi="Times New Roman" w:eastAsia="仿宋_GB2312"/>
                <w:bCs/>
                <w:color w:val="000000" w:themeColor="text1"/>
                <w:sz w:val="18"/>
                <w:szCs w:val="18"/>
              </w:rPr>
            </w:pPr>
            <w:r>
              <w:rPr>
                <w:rFonts w:ascii="Times New Roman" w:hAnsi="Times New Roman" w:eastAsia="仿宋_GB2312"/>
                <w:bCs/>
                <w:color w:val="000000" w:themeColor="text1"/>
                <w:sz w:val="18"/>
                <w:szCs w:val="18"/>
              </w:rPr>
              <w:t>25</w:t>
            </w:r>
          </w:p>
        </w:tc>
        <w:tc>
          <w:tcPr>
            <w:tcW w:w="545" w:type="pct"/>
            <w:tcBorders>
              <w:tl2br w:val="nil"/>
              <w:tr2bl w:val="nil"/>
            </w:tcBorders>
            <w:vAlign w:val="center"/>
          </w:tcPr>
          <w:p>
            <w:pPr>
              <w:pStyle w:val="77"/>
              <w:rPr>
                <w:rFonts w:ascii="Times New Roman" w:hAnsi="Times New Roman" w:eastAsia="仿宋_GB2312"/>
                <w:bCs/>
                <w:color w:val="000000" w:themeColor="text1"/>
                <w:sz w:val="18"/>
                <w:szCs w:val="18"/>
              </w:rPr>
            </w:pPr>
          </w:p>
        </w:tc>
        <w:tc>
          <w:tcPr>
            <w:tcW w:w="536" w:type="pct"/>
            <w:tcBorders>
              <w:tl2br w:val="nil"/>
              <w:tr2bl w:val="nil"/>
            </w:tcBorders>
            <w:vAlign w:val="center"/>
          </w:tcPr>
          <w:p>
            <w:pPr>
              <w:pStyle w:val="77"/>
              <w:rPr>
                <w:rFonts w:ascii="Times New Roman" w:hAnsi="Times New Roman" w:eastAsia="仿宋_GB2312"/>
                <w:bCs/>
                <w:color w:val="000000" w:themeColor="text1"/>
                <w:sz w:val="18"/>
                <w:szCs w:val="18"/>
              </w:rPr>
            </w:pPr>
            <w:r>
              <w:rPr>
                <w:rFonts w:hint="eastAsia" w:ascii="Times New Roman" w:hAnsi="Times New Roman" w:eastAsia="仿宋_GB2312"/>
                <w:bCs/>
                <w:color w:val="000000" w:themeColor="text1"/>
                <w:sz w:val="18"/>
                <w:szCs w:val="18"/>
              </w:rPr>
              <w:t>+1</w:t>
            </w:r>
          </w:p>
        </w:tc>
        <w:tc>
          <w:tcPr>
            <w:tcW w:w="672" w:type="pct"/>
            <w:tcBorders>
              <w:tl2br w:val="nil"/>
              <w:tr2bl w:val="nil"/>
            </w:tcBorders>
            <w:vAlign w:val="center"/>
          </w:tcPr>
          <w:p>
            <w:pPr>
              <w:pStyle w:val="77"/>
              <w:rPr>
                <w:rFonts w:hint="default" w:ascii="Times New Roman" w:hAnsi="Times New Roman" w:eastAsia="仿宋_GB2312"/>
                <w:bCs/>
                <w:color w:val="000000" w:themeColor="text1"/>
                <w:sz w:val="18"/>
                <w:szCs w:val="18"/>
                <w:lang w:val="en-US" w:eastAsia="zh-CN"/>
              </w:rPr>
            </w:pPr>
            <w:r>
              <w:rPr>
                <w:rFonts w:hint="eastAsia" w:ascii="Times New Roman" w:hAnsi="Times New Roman" w:eastAsia="仿宋_GB2312"/>
                <w:bCs/>
                <w:color w:val="000000" w:themeColor="text1"/>
                <w:sz w:val="18"/>
                <w:szCs w:val="18"/>
                <w:lang w:val="en-US" w:eastAsia="zh-CN"/>
              </w:rPr>
              <w:t>-17</w:t>
            </w:r>
          </w:p>
        </w:tc>
        <w:tc>
          <w:tcPr>
            <w:tcW w:w="501" w:type="pct"/>
            <w:tcBorders>
              <w:tl2br w:val="nil"/>
              <w:tr2bl w:val="nil"/>
            </w:tcBorders>
            <w:vAlign w:val="center"/>
          </w:tcPr>
          <w:p>
            <w:pPr>
              <w:pStyle w:val="77"/>
              <w:rPr>
                <w:rFonts w:ascii="Times New Roman" w:hAnsi="Times New Roman" w:eastAsia="仿宋_GB2312"/>
                <w:bCs/>
                <w:color w:val="000000" w:themeColor="text1"/>
                <w:sz w:val="18"/>
                <w:szCs w:val="18"/>
              </w:rPr>
            </w:pPr>
          </w:p>
        </w:tc>
        <w:tc>
          <w:tcPr>
            <w:tcW w:w="520" w:type="pct"/>
            <w:tcBorders>
              <w:tl2br w:val="nil"/>
              <w:tr2bl w:val="nil"/>
            </w:tcBorders>
            <w:vAlign w:val="center"/>
          </w:tcPr>
          <w:p>
            <w:pPr>
              <w:pStyle w:val="77"/>
              <w:rPr>
                <w:rFonts w:hint="default" w:ascii="Times New Roman" w:hAnsi="Times New Roman" w:eastAsia="仿宋_GB2312"/>
                <w:bCs/>
                <w:color w:val="000000" w:themeColor="text1"/>
                <w:sz w:val="18"/>
                <w:szCs w:val="18"/>
                <w:lang w:val="en-US" w:eastAsia="zh-CN"/>
              </w:rPr>
            </w:pPr>
            <w:r>
              <w:rPr>
                <w:rFonts w:hint="eastAsia" w:ascii="Times New Roman" w:hAnsi="Times New Roman" w:eastAsia="仿宋_GB2312"/>
                <w:bCs/>
                <w:color w:val="000000" w:themeColor="text1"/>
                <w:sz w:val="18"/>
                <w:szCs w:val="18"/>
                <w:lang w:val="en-US" w:eastAsia="zh-CN"/>
              </w:rPr>
              <w:t>9</w:t>
            </w:r>
          </w:p>
        </w:tc>
      </w:tr>
    </w:tbl>
    <w:p>
      <w:pPr>
        <w:spacing w:line="360" w:lineRule="auto"/>
        <w:ind w:firstLine="480" w:firstLineChars="200"/>
        <w:rPr>
          <w:rFonts w:eastAsia="仿宋_GB2312"/>
          <w:color w:val="000000" w:themeColor="text1"/>
          <w:szCs w:val="24"/>
          <w:highlight w:val="cyan"/>
        </w:rPr>
      </w:pPr>
      <w:r>
        <w:rPr>
          <w:rFonts w:eastAsia="仿宋_GB2312"/>
          <w:color w:val="000000" w:themeColor="text1"/>
          <w:szCs w:val="22"/>
        </w:rPr>
        <w:t>根据《全国水土保持规划（2015—2030年）》、《吉林省水土保持规划(2016—2030年)》，项目区</w:t>
      </w:r>
      <w:r>
        <w:rPr>
          <w:rFonts w:eastAsia="仿宋_GB2312"/>
          <w:color w:val="000000" w:themeColor="text1"/>
          <w:szCs w:val="24"/>
        </w:rPr>
        <w:t>属于东北漫川漫岗国家级水土流失重点治理区</w:t>
      </w:r>
      <w:r>
        <w:rPr>
          <w:rFonts w:eastAsia="仿宋_GB2312"/>
          <w:color w:val="000000" w:themeColor="text1"/>
          <w:szCs w:val="22"/>
        </w:rPr>
        <w:t>。根据《生产建设项目水土流失防治标准》（GB/T 50434-2018），项目区水土保持区划属东北黑土区，执行东北黑土区水土流失防治一级标</w:t>
      </w:r>
      <w:r>
        <w:rPr>
          <w:rFonts w:hint="eastAsia" w:eastAsia="仿宋_GB2312"/>
          <w:color w:val="000000" w:themeColor="text1"/>
          <w:szCs w:val="22"/>
        </w:rPr>
        <w:t>准</w:t>
      </w:r>
      <w:r>
        <w:rPr>
          <w:rFonts w:eastAsia="仿宋_GB2312"/>
          <w:color w:val="000000" w:themeColor="text1"/>
          <w:szCs w:val="24"/>
        </w:rPr>
        <w:t>。</w:t>
      </w:r>
    </w:p>
    <w:p>
      <w:pPr>
        <w:spacing w:line="360" w:lineRule="auto"/>
        <w:ind w:firstLine="480" w:firstLineChars="200"/>
        <w:rPr>
          <w:rFonts w:eastAsia="仿宋_GB2312"/>
          <w:color w:val="000000" w:themeColor="text1"/>
          <w:szCs w:val="24"/>
        </w:rPr>
      </w:pPr>
      <w:r>
        <w:rPr>
          <w:rFonts w:eastAsia="仿宋_GB2312"/>
          <w:color w:val="000000" w:themeColor="text1"/>
          <w:szCs w:val="24"/>
        </w:rPr>
        <w:t>按照《生产建设项目水土保持技术标准》（GB 50433-2018）和《生产建设项目水土流失防治标准》（GB/T 50434-2018）规定，本工程水土流失防治应达到下列基本目标：项目建设范围内的新增水土流失应得到有效控制，原有水土流失得到治理；水土保持设施应安全有效；水土资源、林草植被应得到最大限度的保护与恢复</w:t>
      </w:r>
      <w:r>
        <w:rPr>
          <w:rFonts w:hint="eastAsia" w:eastAsia="仿宋_GB2312"/>
          <w:color w:val="000000" w:themeColor="text1"/>
          <w:szCs w:val="24"/>
        </w:rPr>
        <w:t>。</w:t>
      </w:r>
    </w:p>
    <w:p>
      <w:pPr>
        <w:spacing w:line="360" w:lineRule="auto"/>
        <w:ind w:firstLine="480" w:firstLineChars="200"/>
        <w:jc w:val="both"/>
        <w:rPr>
          <w:rFonts w:eastAsia="仿宋_GB2312"/>
          <w:color w:val="000000" w:themeColor="text1"/>
          <w:szCs w:val="24"/>
          <w:highlight w:val="cyan"/>
        </w:rPr>
      </w:pPr>
      <w:r>
        <w:rPr>
          <w:rFonts w:hint="eastAsia" w:eastAsia="仿宋_GB2312"/>
          <w:color w:val="000000" w:themeColor="text1"/>
          <w:szCs w:val="24"/>
        </w:rPr>
        <w:t>根据</w:t>
      </w:r>
      <w:r>
        <w:rPr>
          <w:rFonts w:eastAsia="仿宋_GB2312"/>
          <w:color w:val="000000" w:themeColor="text1"/>
          <w:szCs w:val="24"/>
        </w:rPr>
        <w:t>《生产建设项目水土流失防治标准》（GB/T 50434-2018）规定，</w:t>
      </w:r>
      <w:r>
        <w:rPr>
          <w:rFonts w:hint="eastAsia" w:eastAsia="仿宋_GB2312"/>
          <w:color w:val="000000" w:themeColor="text1"/>
          <w:szCs w:val="24"/>
        </w:rPr>
        <w:t>位于城市区的项目渣土防护率和林草覆盖率可提高1%~2%。对于林草植被有限制的项目，林草覆盖率可按相关规定适当调整。</w:t>
      </w:r>
      <w:r>
        <w:rPr>
          <w:rFonts w:eastAsia="仿宋_GB2312"/>
          <w:color w:val="000000" w:themeColor="text1"/>
          <w:szCs w:val="24"/>
        </w:rPr>
        <w:t>项目区水土流失类型以轻度水力侵蚀为主，将土壤流失控制比调整为1.0。农安县地处半湿润区向亚干旱区的过渡地带，水土流失治理度、林草植被恢复率指标值不做调整；本项目属于城区内项目，将渣土防护率调整为98%；将林草覆盖率调整为</w:t>
      </w:r>
      <w:r>
        <w:rPr>
          <w:rFonts w:hint="eastAsia" w:eastAsia="仿宋_GB2312"/>
          <w:color w:val="000000" w:themeColor="text1"/>
          <w:szCs w:val="24"/>
          <w:lang w:val="en-US" w:eastAsia="zh-CN"/>
        </w:rPr>
        <w:t>26</w:t>
      </w:r>
      <w:r>
        <w:rPr>
          <w:rFonts w:eastAsia="仿宋_GB2312"/>
          <w:color w:val="000000" w:themeColor="text1"/>
          <w:szCs w:val="24"/>
        </w:rPr>
        <w:t>%</w:t>
      </w:r>
      <w:r>
        <w:rPr>
          <w:rFonts w:hint="eastAsia" w:eastAsia="仿宋_GB2312"/>
          <w:color w:val="000000" w:themeColor="text1"/>
          <w:szCs w:val="24"/>
        </w:rPr>
        <w:t>；本项目区无表土资源，因此表土保护率不计</w:t>
      </w:r>
      <w:r>
        <w:rPr>
          <w:rFonts w:eastAsia="仿宋_GB2312"/>
          <w:color w:val="000000" w:themeColor="text1"/>
          <w:szCs w:val="24"/>
        </w:rPr>
        <w:t>。指标调整后</w:t>
      </w:r>
      <w:r>
        <w:rPr>
          <w:rFonts w:eastAsia="仿宋_GB2312"/>
          <w:bCs/>
          <w:color w:val="000000" w:themeColor="text1"/>
          <w:szCs w:val="24"/>
        </w:rPr>
        <w:t>施工期</w:t>
      </w:r>
      <w:r>
        <w:rPr>
          <w:rFonts w:eastAsia="仿宋_GB2312"/>
          <w:color w:val="000000" w:themeColor="text1"/>
          <w:szCs w:val="24"/>
        </w:rPr>
        <w:t>水土流失防治指标</w:t>
      </w:r>
      <w:r>
        <w:rPr>
          <w:rFonts w:eastAsia="仿宋_GB2312"/>
          <w:bCs/>
          <w:color w:val="000000" w:themeColor="text1"/>
          <w:szCs w:val="24"/>
        </w:rPr>
        <w:t>为：渣土防护率9</w:t>
      </w:r>
      <w:r>
        <w:rPr>
          <w:rFonts w:hint="eastAsia" w:eastAsia="仿宋_GB2312"/>
          <w:bCs/>
          <w:color w:val="000000" w:themeColor="text1"/>
          <w:szCs w:val="24"/>
        </w:rPr>
        <w:t>8</w:t>
      </w:r>
      <w:r>
        <w:rPr>
          <w:rFonts w:eastAsia="仿宋_GB2312"/>
          <w:bCs/>
          <w:color w:val="000000" w:themeColor="text1"/>
          <w:szCs w:val="24"/>
        </w:rPr>
        <w:t>%；</w:t>
      </w:r>
      <w:r>
        <w:rPr>
          <w:rFonts w:eastAsia="仿宋_GB2312"/>
          <w:color w:val="000000" w:themeColor="text1"/>
          <w:szCs w:val="24"/>
        </w:rPr>
        <w:t>设计水平年水土流失防治指标为：水土流失治理度达到97%，土壤流失控制比达到1.0，渣土防护率达到98%，林草植被恢复率达到97％，林草覆盖率达到</w:t>
      </w:r>
      <w:r>
        <w:rPr>
          <w:rFonts w:hint="eastAsia" w:eastAsia="仿宋_GB2312"/>
          <w:color w:val="000000" w:themeColor="text1"/>
          <w:szCs w:val="24"/>
          <w:lang w:val="en-US" w:eastAsia="zh-CN"/>
        </w:rPr>
        <w:t>9</w:t>
      </w:r>
      <w:r>
        <w:rPr>
          <w:rFonts w:eastAsia="仿宋_GB2312"/>
          <w:color w:val="000000" w:themeColor="text1"/>
          <w:szCs w:val="24"/>
        </w:rPr>
        <w:t>％。</w:t>
      </w:r>
    </w:p>
    <w:p>
      <w:pPr>
        <w:rPr>
          <w:rFonts w:eastAsia="仿宋_GB2312"/>
          <w:b/>
          <w:color w:val="000000" w:themeColor="text1"/>
          <w:sz w:val="28"/>
          <w:szCs w:val="28"/>
        </w:rPr>
      </w:pPr>
      <w:r>
        <w:rPr>
          <w:rFonts w:eastAsia="仿宋_GB2312"/>
          <w:b/>
          <w:color w:val="000000" w:themeColor="text1"/>
          <w:sz w:val="28"/>
          <w:szCs w:val="28"/>
        </w:rPr>
        <w:br w:type="page"/>
      </w:r>
    </w:p>
    <w:p>
      <w:pPr>
        <w:tabs>
          <w:tab w:val="left" w:pos="1440"/>
        </w:tabs>
        <w:jc w:val="center"/>
        <w:rPr>
          <w:rFonts w:eastAsia="仿宋_GB2312"/>
          <w:b/>
          <w:color w:val="000000" w:themeColor="text1"/>
          <w:sz w:val="28"/>
          <w:szCs w:val="28"/>
        </w:rPr>
      </w:pPr>
      <w:r>
        <w:rPr>
          <w:rFonts w:eastAsia="仿宋_GB2312"/>
          <w:b/>
          <w:color w:val="000000" w:themeColor="text1"/>
          <w:sz w:val="28"/>
          <w:szCs w:val="28"/>
        </w:rPr>
        <w:t>附表3-1     单价分析表</w:t>
      </w:r>
    </w:p>
    <w:tbl>
      <w:tblPr>
        <w:tblStyle w:val="23"/>
        <w:tblW w:w="0" w:type="auto"/>
        <w:tblInd w:w="0" w:type="dxa"/>
        <w:tblLayout w:type="fixed"/>
        <w:tblCellMar>
          <w:top w:w="0" w:type="dxa"/>
          <w:left w:w="108" w:type="dxa"/>
          <w:bottom w:w="0" w:type="dxa"/>
          <w:right w:w="108" w:type="dxa"/>
        </w:tblCellMar>
      </w:tblPr>
      <w:tblGrid>
        <w:gridCol w:w="1161"/>
        <w:gridCol w:w="1366"/>
        <w:gridCol w:w="1549"/>
        <w:gridCol w:w="1407"/>
        <w:gridCol w:w="1266"/>
        <w:gridCol w:w="1779"/>
      </w:tblGrid>
      <w:tr>
        <w:tblPrEx>
          <w:tblCellMar>
            <w:top w:w="0" w:type="dxa"/>
            <w:left w:w="108" w:type="dxa"/>
            <w:bottom w:w="0" w:type="dxa"/>
            <w:right w:w="108" w:type="dxa"/>
          </w:tblCellMar>
        </w:tblPrEx>
        <w:trPr>
          <w:trHeight w:val="425" w:hRule="atLeast"/>
        </w:trPr>
        <w:tc>
          <w:tcPr>
            <w:tcW w:w="2527" w:type="dxa"/>
            <w:gridSpan w:val="2"/>
            <w:tcBorders>
              <w:top w:val="single" w:color="auto" w:sz="4" w:space="0"/>
              <w:left w:val="single" w:color="auto" w:sz="4" w:space="0"/>
              <w:bottom w:val="single" w:color="auto" w:sz="4" w:space="0"/>
              <w:right w:val="single" w:color="000000" w:sz="4" w:space="0"/>
            </w:tcBorders>
            <w:vAlign w:val="center"/>
          </w:tcPr>
          <w:p>
            <w:pPr>
              <w:widowControl/>
              <w:adjustRightInd/>
              <w:spacing w:line="240" w:lineRule="auto"/>
              <w:textAlignment w:val="auto"/>
              <w:rPr>
                <w:rFonts w:eastAsia="仿宋_GB2312"/>
                <w:color w:val="000000" w:themeColor="text1"/>
                <w:sz w:val="21"/>
                <w:szCs w:val="21"/>
              </w:rPr>
            </w:pPr>
            <w:r>
              <w:rPr>
                <w:rFonts w:eastAsia="仿宋_GB2312"/>
                <w:color w:val="000000" w:themeColor="text1"/>
                <w:sz w:val="21"/>
                <w:szCs w:val="21"/>
              </w:rPr>
              <w:t xml:space="preserve">定额编号：08045                              </w:t>
            </w:r>
          </w:p>
        </w:tc>
        <w:tc>
          <w:tcPr>
            <w:tcW w:w="4222" w:type="dxa"/>
            <w:gridSpan w:val="3"/>
            <w:tcBorders>
              <w:top w:val="single" w:color="auto" w:sz="4" w:space="0"/>
              <w:left w:val="nil"/>
              <w:bottom w:val="single" w:color="auto" w:sz="4" w:space="0"/>
              <w:right w:val="single" w:color="000000"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全面整地</w:t>
            </w:r>
          </w:p>
        </w:tc>
        <w:tc>
          <w:tcPr>
            <w:tcW w:w="1779" w:type="dxa"/>
            <w:tcBorders>
              <w:top w:val="single" w:color="auto" w:sz="4" w:space="0"/>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定额单位：hm</w:t>
            </w:r>
            <w:r>
              <w:rPr>
                <w:rFonts w:eastAsia="仿宋_GB2312"/>
                <w:color w:val="000000" w:themeColor="text1"/>
                <w:sz w:val="21"/>
                <w:szCs w:val="21"/>
                <w:vertAlign w:val="superscript"/>
              </w:rPr>
              <w:t>2</w:t>
            </w:r>
          </w:p>
        </w:tc>
      </w:tr>
      <w:tr>
        <w:tblPrEx>
          <w:tblCellMar>
            <w:top w:w="0" w:type="dxa"/>
            <w:left w:w="108" w:type="dxa"/>
            <w:bottom w:w="0" w:type="dxa"/>
            <w:right w:w="108" w:type="dxa"/>
          </w:tblCellMar>
        </w:tblPrEx>
        <w:trPr>
          <w:trHeight w:val="425" w:hRule="atLeast"/>
        </w:trPr>
        <w:tc>
          <w:tcPr>
            <w:tcW w:w="8528" w:type="dxa"/>
            <w:gridSpan w:val="6"/>
            <w:tcBorders>
              <w:top w:val="single" w:color="auto" w:sz="4" w:space="0"/>
              <w:left w:val="single" w:color="auto" w:sz="4" w:space="0"/>
              <w:bottom w:val="single" w:color="auto" w:sz="4" w:space="0"/>
              <w:right w:val="single" w:color="000000" w:sz="4" w:space="0"/>
            </w:tcBorders>
            <w:vAlign w:val="center"/>
          </w:tcPr>
          <w:p>
            <w:pPr>
              <w:widowControl/>
              <w:adjustRightInd/>
              <w:spacing w:line="240" w:lineRule="auto"/>
              <w:textAlignment w:val="auto"/>
              <w:rPr>
                <w:rFonts w:eastAsia="仿宋_GB2312"/>
                <w:color w:val="000000" w:themeColor="text1"/>
                <w:sz w:val="21"/>
                <w:szCs w:val="21"/>
              </w:rPr>
            </w:pPr>
            <w:r>
              <w:rPr>
                <w:rFonts w:eastAsia="仿宋_GB2312"/>
                <w:color w:val="000000" w:themeColor="text1"/>
                <w:sz w:val="21"/>
                <w:szCs w:val="21"/>
              </w:rPr>
              <w:t xml:space="preserve">  工作内容：人工施肥、拖拉机牵引铧犁耕翻地，耕深0.2～0.3m。</w:t>
            </w:r>
          </w:p>
        </w:tc>
      </w:tr>
      <w:tr>
        <w:tblPrEx>
          <w:tblCellMar>
            <w:top w:w="0" w:type="dxa"/>
            <w:left w:w="108" w:type="dxa"/>
            <w:bottom w:w="0" w:type="dxa"/>
            <w:right w:w="108" w:type="dxa"/>
          </w:tblCellMar>
        </w:tblPrEx>
        <w:trPr>
          <w:trHeight w:val="425" w:hRule="atLeast"/>
        </w:trPr>
        <w:tc>
          <w:tcPr>
            <w:tcW w:w="1161" w:type="dxa"/>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序号</w:t>
            </w:r>
          </w:p>
        </w:tc>
        <w:tc>
          <w:tcPr>
            <w:tcW w:w="13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项目</w:t>
            </w:r>
          </w:p>
        </w:tc>
        <w:tc>
          <w:tcPr>
            <w:tcW w:w="154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单位</w:t>
            </w:r>
          </w:p>
        </w:tc>
        <w:tc>
          <w:tcPr>
            <w:tcW w:w="1407"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数量</w:t>
            </w:r>
          </w:p>
        </w:tc>
        <w:tc>
          <w:tcPr>
            <w:tcW w:w="12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单价（元）</w:t>
            </w:r>
          </w:p>
        </w:tc>
        <w:tc>
          <w:tcPr>
            <w:tcW w:w="177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小计（元）</w:t>
            </w:r>
          </w:p>
        </w:tc>
      </w:tr>
      <w:tr>
        <w:tblPrEx>
          <w:tblCellMar>
            <w:top w:w="0" w:type="dxa"/>
            <w:left w:w="108" w:type="dxa"/>
            <w:bottom w:w="0" w:type="dxa"/>
            <w:right w:w="108" w:type="dxa"/>
          </w:tblCellMar>
        </w:tblPrEx>
        <w:trPr>
          <w:trHeight w:val="425" w:hRule="atLeast"/>
        </w:trPr>
        <w:tc>
          <w:tcPr>
            <w:tcW w:w="1161" w:type="dxa"/>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　</w:t>
            </w:r>
          </w:p>
        </w:tc>
        <w:tc>
          <w:tcPr>
            <w:tcW w:w="13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合 计</w:t>
            </w:r>
          </w:p>
        </w:tc>
        <w:tc>
          <w:tcPr>
            <w:tcW w:w="154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b/>
                <w:bCs/>
                <w:color w:val="000000" w:themeColor="text1"/>
                <w:sz w:val="21"/>
                <w:szCs w:val="21"/>
              </w:rPr>
            </w:pPr>
            <w:r>
              <w:rPr>
                <w:rFonts w:eastAsia="仿宋_GB2312"/>
                <w:b/>
                <w:bCs/>
                <w:color w:val="000000" w:themeColor="text1"/>
                <w:sz w:val="21"/>
                <w:szCs w:val="21"/>
              </w:rPr>
              <w:t>　</w:t>
            </w:r>
          </w:p>
        </w:tc>
        <w:tc>
          <w:tcPr>
            <w:tcW w:w="1407"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b/>
                <w:bCs/>
                <w:color w:val="000000" w:themeColor="text1"/>
                <w:sz w:val="21"/>
                <w:szCs w:val="21"/>
              </w:rPr>
            </w:pPr>
            <w:r>
              <w:rPr>
                <w:rFonts w:eastAsia="仿宋_GB2312"/>
                <w:b/>
                <w:bCs/>
                <w:color w:val="000000" w:themeColor="text1"/>
                <w:sz w:val="21"/>
                <w:szCs w:val="21"/>
              </w:rPr>
              <w:t>　</w:t>
            </w:r>
          </w:p>
        </w:tc>
        <w:tc>
          <w:tcPr>
            <w:tcW w:w="12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b/>
                <w:bCs/>
                <w:color w:val="000000" w:themeColor="text1"/>
                <w:sz w:val="21"/>
                <w:szCs w:val="21"/>
              </w:rPr>
            </w:pPr>
            <w:r>
              <w:rPr>
                <w:rFonts w:eastAsia="仿宋_GB2312"/>
                <w:b/>
                <w:bCs/>
                <w:color w:val="000000" w:themeColor="text1"/>
                <w:sz w:val="21"/>
                <w:szCs w:val="21"/>
              </w:rPr>
              <w:t>　</w:t>
            </w:r>
          </w:p>
        </w:tc>
        <w:tc>
          <w:tcPr>
            <w:tcW w:w="177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1243.58</w:t>
            </w:r>
          </w:p>
        </w:tc>
      </w:tr>
      <w:tr>
        <w:tblPrEx>
          <w:tblCellMar>
            <w:top w:w="0" w:type="dxa"/>
            <w:left w:w="108" w:type="dxa"/>
            <w:bottom w:w="0" w:type="dxa"/>
            <w:right w:w="108" w:type="dxa"/>
          </w:tblCellMar>
        </w:tblPrEx>
        <w:trPr>
          <w:trHeight w:val="425" w:hRule="atLeast"/>
        </w:trPr>
        <w:tc>
          <w:tcPr>
            <w:tcW w:w="1161" w:type="dxa"/>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一</w:t>
            </w:r>
          </w:p>
        </w:tc>
        <w:tc>
          <w:tcPr>
            <w:tcW w:w="13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直接工程费</w:t>
            </w:r>
          </w:p>
        </w:tc>
        <w:tc>
          <w:tcPr>
            <w:tcW w:w="154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　</w:t>
            </w:r>
          </w:p>
        </w:tc>
        <w:tc>
          <w:tcPr>
            <w:tcW w:w="1407"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　</w:t>
            </w:r>
          </w:p>
        </w:tc>
        <w:tc>
          <w:tcPr>
            <w:tcW w:w="12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　</w:t>
            </w:r>
          </w:p>
        </w:tc>
        <w:tc>
          <w:tcPr>
            <w:tcW w:w="177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825.56</w:t>
            </w:r>
          </w:p>
        </w:tc>
      </w:tr>
      <w:tr>
        <w:tblPrEx>
          <w:tblCellMar>
            <w:top w:w="0" w:type="dxa"/>
            <w:left w:w="108" w:type="dxa"/>
            <w:bottom w:w="0" w:type="dxa"/>
            <w:right w:w="108" w:type="dxa"/>
          </w:tblCellMar>
        </w:tblPrEx>
        <w:trPr>
          <w:trHeight w:val="425" w:hRule="atLeast"/>
        </w:trPr>
        <w:tc>
          <w:tcPr>
            <w:tcW w:w="1161" w:type="dxa"/>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（一）</w:t>
            </w:r>
          </w:p>
        </w:tc>
        <w:tc>
          <w:tcPr>
            <w:tcW w:w="13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直接费</w:t>
            </w:r>
          </w:p>
        </w:tc>
        <w:tc>
          <w:tcPr>
            <w:tcW w:w="154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　</w:t>
            </w:r>
          </w:p>
        </w:tc>
        <w:tc>
          <w:tcPr>
            <w:tcW w:w="1407"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　</w:t>
            </w:r>
          </w:p>
        </w:tc>
        <w:tc>
          <w:tcPr>
            <w:tcW w:w="12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　</w:t>
            </w:r>
          </w:p>
        </w:tc>
        <w:tc>
          <w:tcPr>
            <w:tcW w:w="177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757.39</w:t>
            </w:r>
          </w:p>
        </w:tc>
      </w:tr>
      <w:tr>
        <w:tblPrEx>
          <w:tblCellMar>
            <w:top w:w="0" w:type="dxa"/>
            <w:left w:w="108" w:type="dxa"/>
            <w:bottom w:w="0" w:type="dxa"/>
            <w:right w:w="108" w:type="dxa"/>
          </w:tblCellMar>
        </w:tblPrEx>
        <w:trPr>
          <w:trHeight w:val="425" w:hRule="atLeast"/>
        </w:trPr>
        <w:tc>
          <w:tcPr>
            <w:tcW w:w="1161" w:type="dxa"/>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1</w:t>
            </w:r>
          </w:p>
        </w:tc>
        <w:tc>
          <w:tcPr>
            <w:tcW w:w="13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人工费</w:t>
            </w:r>
          </w:p>
        </w:tc>
        <w:tc>
          <w:tcPr>
            <w:tcW w:w="154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工时</w:t>
            </w:r>
          </w:p>
        </w:tc>
        <w:tc>
          <w:tcPr>
            <w:tcW w:w="1407"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19</w:t>
            </w:r>
          </w:p>
        </w:tc>
        <w:tc>
          <w:tcPr>
            <w:tcW w:w="12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17.88</w:t>
            </w:r>
          </w:p>
        </w:tc>
        <w:tc>
          <w:tcPr>
            <w:tcW w:w="177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339.72</w:t>
            </w:r>
          </w:p>
        </w:tc>
      </w:tr>
      <w:tr>
        <w:tblPrEx>
          <w:tblCellMar>
            <w:top w:w="0" w:type="dxa"/>
            <w:left w:w="108" w:type="dxa"/>
            <w:bottom w:w="0" w:type="dxa"/>
            <w:right w:w="108" w:type="dxa"/>
          </w:tblCellMar>
        </w:tblPrEx>
        <w:trPr>
          <w:trHeight w:val="425" w:hRule="atLeast"/>
        </w:trPr>
        <w:tc>
          <w:tcPr>
            <w:tcW w:w="1161" w:type="dxa"/>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2</w:t>
            </w:r>
          </w:p>
        </w:tc>
        <w:tc>
          <w:tcPr>
            <w:tcW w:w="13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材料费</w:t>
            </w:r>
          </w:p>
        </w:tc>
        <w:tc>
          <w:tcPr>
            <w:tcW w:w="154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　</w:t>
            </w:r>
          </w:p>
        </w:tc>
        <w:tc>
          <w:tcPr>
            <w:tcW w:w="1407"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　</w:t>
            </w:r>
          </w:p>
        </w:tc>
        <w:tc>
          <w:tcPr>
            <w:tcW w:w="12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　</w:t>
            </w:r>
          </w:p>
        </w:tc>
        <w:tc>
          <w:tcPr>
            <w:tcW w:w="177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62.47</w:t>
            </w:r>
          </w:p>
        </w:tc>
      </w:tr>
      <w:tr>
        <w:tblPrEx>
          <w:tblCellMar>
            <w:top w:w="0" w:type="dxa"/>
            <w:left w:w="108" w:type="dxa"/>
            <w:bottom w:w="0" w:type="dxa"/>
            <w:right w:w="108" w:type="dxa"/>
          </w:tblCellMar>
        </w:tblPrEx>
        <w:trPr>
          <w:trHeight w:val="425" w:hRule="atLeast"/>
        </w:trPr>
        <w:tc>
          <w:tcPr>
            <w:tcW w:w="1161" w:type="dxa"/>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　</w:t>
            </w:r>
          </w:p>
        </w:tc>
        <w:tc>
          <w:tcPr>
            <w:tcW w:w="13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农家土杂肥</w:t>
            </w:r>
          </w:p>
        </w:tc>
        <w:tc>
          <w:tcPr>
            <w:tcW w:w="154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m³</w:t>
            </w:r>
          </w:p>
        </w:tc>
        <w:tc>
          <w:tcPr>
            <w:tcW w:w="1407"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1</w:t>
            </w:r>
          </w:p>
        </w:tc>
        <w:tc>
          <w:tcPr>
            <w:tcW w:w="12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55.28</w:t>
            </w:r>
          </w:p>
        </w:tc>
        <w:tc>
          <w:tcPr>
            <w:tcW w:w="177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 xml:space="preserve">55.28 </w:t>
            </w:r>
          </w:p>
        </w:tc>
      </w:tr>
      <w:tr>
        <w:tblPrEx>
          <w:tblCellMar>
            <w:top w:w="0" w:type="dxa"/>
            <w:left w:w="108" w:type="dxa"/>
            <w:bottom w:w="0" w:type="dxa"/>
            <w:right w:w="108" w:type="dxa"/>
          </w:tblCellMar>
        </w:tblPrEx>
        <w:trPr>
          <w:trHeight w:val="425" w:hRule="atLeast"/>
        </w:trPr>
        <w:tc>
          <w:tcPr>
            <w:tcW w:w="1161" w:type="dxa"/>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　</w:t>
            </w:r>
          </w:p>
        </w:tc>
        <w:tc>
          <w:tcPr>
            <w:tcW w:w="13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其他材料费</w:t>
            </w:r>
          </w:p>
        </w:tc>
        <w:tc>
          <w:tcPr>
            <w:tcW w:w="154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w:t>
            </w:r>
          </w:p>
        </w:tc>
        <w:tc>
          <w:tcPr>
            <w:tcW w:w="1407"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13</w:t>
            </w:r>
          </w:p>
        </w:tc>
        <w:tc>
          <w:tcPr>
            <w:tcW w:w="12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　</w:t>
            </w:r>
          </w:p>
        </w:tc>
        <w:tc>
          <w:tcPr>
            <w:tcW w:w="177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7.19</w:t>
            </w:r>
          </w:p>
        </w:tc>
      </w:tr>
      <w:tr>
        <w:tblPrEx>
          <w:tblCellMar>
            <w:top w:w="0" w:type="dxa"/>
            <w:left w:w="108" w:type="dxa"/>
            <w:bottom w:w="0" w:type="dxa"/>
            <w:right w:w="108" w:type="dxa"/>
          </w:tblCellMar>
        </w:tblPrEx>
        <w:trPr>
          <w:trHeight w:val="425" w:hRule="atLeast"/>
        </w:trPr>
        <w:tc>
          <w:tcPr>
            <w:tcW w:w="1161" w:type="dxa"/>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3</w:t>
            </w:r>
          </w:p>
        </w:tc>
        <w:tc>
          <w:tcPr>
            <w:tcW w:w="13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机械费</w:t>
            </w:r>
          </w:p>
        </w:tc>
        <w:tc>
          <w:tcPr>
            <w:tcW w:w="154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　</w:t>
            </w:r>
          </w:p>
        </w:tc>
        <w:tc>
          <w:tcPr>
            <w:tcW w:w="1407"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　</w:t>
            </w:r>
          </w:p>
        </w:tc>
        <w:tc>
          <w:tcPr>
            <w:tcW w:w="12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　</w:t>
            </w:r>
          </w:p>
        </w:tc>
        <w:tc>
          <w:tcPr>
            <w:tcW w:w="177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355.20</w:t>
            </w:r>
          </w:p>
        </w:tc>
      </w:tr>
      <w:tr>
        <w:tblPrEx>
          <w:tblCellMar>
            <w:top w:w="0" w:type="dxa"/>
            <w:left w:w="108" w:type="dxa"/>
            <w:bottom w:w="0" w:type="dxa"/>
            <w:right w:w="108" w:type="dxa"/>
          </w:tblCellMar>
        </w:tblPrEx>
        <w:trPr>
          <w:trHeight w:val="425" w:hRule="atLeast"/>
        </w:trPr>
        <w:tc>
          <w:tcPr>
            <w:tcW w:w="1161" w:type="dxa"/>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　</w:t>
            </w:r>
          </w:p>
        </w:tc>
        <w:tc>
          <w:tcPr>
            <w:tcW w:w="13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拖拉机37kw</w:t>
            </w:r>
          </w:p>
        </w:tc>
        <w:tc>
          <w:tcPr>
            <w:tcW w:w="154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台时</w:t>
            </w:r>
          </w:p>
        </w:tc>
        <w:tc>
          <w:tcPr>
            <w:tcW w:w="1407"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8</w:t>
            </w:r>
          </w:p>
        </w:tc>
        <w:tc>
          <w:tcPr>
            <w:tcW w:w="12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44.40</w:t>
            </w:r>
          </w:p>
        </w:tc>
        <w:tc>
          <w:tcPr>
            <w:tcW w:w="177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355.20</w:t>
            </w:r>
          </w:p>
        </w:tc>
      </w:tr>
      <w:tr>
        <w:tblPrEx>
          <w:tblCellMar>
            <w:top w:w="0" w:type="dxa"/>
            <w:left w:w="108" w:type="dxa"/>
            <w:bottom w:w="0" w:type="dxa"/>
            <w:right w:w="108" w:type="dxa"/>
          </w:tblCellMar>
        </w:tblPrEx>
        <w:trPr>
          <w:trHeight w:val="425" w:hRule="atLeast"/>
        </w:trPr>
        <w:tc>
          <w:tcPr>
            <w:tcW w:w="1161" w:type="dxa"/>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（二）</w:t>
            </w:r>
          </w:p>
        </w:tc>
        <w:tc>
          <w:tcPr>
            <w:tcW w:w="13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其他直接费</w:t>
            </w:r>
          </w:p>
        </w:tc>
        <w:tc>
          <w:tcPr>
            <w:tcW w:w="154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w:t>
            </w:r>
          </w:p>
        </w:tc>
        <w:tc>
          <w:tcPr>
            <w:tcW w:w="1407"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4</w:t>
            </w:r>
          </w:p>
        </w:tc>
        <w:tc>
          <w:tcPr>
            <w:tcW w:w="12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　</w:t>
            </w:r>
          </w:p>
        </w:tc>
        <w:tc>
          <w:tcPr>
            <w:tcW w:w="177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30.30</w:t>
            </w:r>
          </w:p>
        </w:tc>
      </w:tr>
      <w:tr>
        <w:tblPrEx>
          <w:tblCellMar>
            <w:top w:w="0" w:type="dxa"/>
            <w:left w:w="108" w:type="dxa"/>
            <w:bottom w:w="0" w:type="dxa"/>
            <w:right w:w="108" w:type="dxa"/>
          </w:tblCellMar>
        </w:tblPrEx>
        <w:trPr>
          <w:trHeight w:val="425" w:hRule="atLeast"/>
        </w:trPr>
        <w:tc>
          <w:tcPr>
            <w:tcW w:w="1161" w:type="dxa"/>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(三)</w:t>
            </w:r>
          </w:p>
        </w:tc>
        <w:tc>
          <w:tcPr>
            <w:tcW w:w="13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现场经费</w:t>
            </w:r>
          </w:p>
        </w:tc>
        <w:tc>
          <w:tcPr>
            <w:tcW w:w="154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w:t>
            </w:r>
          </w:p>
        </w:tc>
        <w:tc>
          <w:tcPr>
            <w:tcW w:w="1407"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5</w:t>
            </w:r>
          </w:p>
        </w:tc>
        <w:tc>
          <w:tcPr>
            <w:tcW w:w="12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　</w:t>
            </w:r>
          </w:p>
        </w:tc>
        <w:tc>
          <w:tcPr>
            <w:tcW w:w="177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37.87</w:t>
            </w:r>
          </w:p>
        </w:tc>
      </w:tr>
      <w:tr>
        <w:tblPrEx>
          <w:tblCellMar>
            <w:top w:w="0" w:type="dxa"/>
            <w:left w:w="108" w:type="dxa"/>
            <w:bottom w:w="0" w:type="dxa"/>
            <w:right w:w="108" w:type="dxa"/>
          </w:tblCellMar>
        </w:tblPrEx>
        <w:trPr>
          <w:trHeight w:val="425" w:hRule="atLeast"/>
        </w:trPr>
        <w:tc>
          <w:tcPr>
            <w:tcW w:w="1161" w:type="dxa"/>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二</w:t>
            </w:r>
          </w:p>
        </w:tc>
        <w:tc>
          <w:tcPr>
            <w:tcW w:w="13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间接费</w:t>
            </w:r>
          </w:p>
        </w:tc>
        <w:tc>
          <w:tcPr>
            <w:tcW w:w="154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w:t>
            </w:r>
          </w:p>
        </w:tc>
        <w:tc>
          <w:tcPr>
            <w:tcW w:w="1407"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4.4</w:t>
            </w:r>
          </w:p>
        </w:tc>
        <w:tc>
          <w:tcPr>
            <w:tcW w:w="12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　</w:t>
            </w:r>
          </w:p>
        </w:tc>
        <w:tc>
          <w:tcPr>
            <w:tcW w:w="177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36.32</w:t>
            </w:r>
          </w:p>
        </w:tc>
      </w:tr>
      <w:tr>
        <w:tblPrEx>
          <w:tblCellMar>
            <w:top w:w="0" w:type="dxa"/>
            <w:left w:w="108" w:type="dxa"/>
            <w:bottom w:w="0" w:type="dxa"/>
            <w:right w:w="108" w:type="dxa"/>
          </w:tblCellMar>
        </w:tblPrEx>
        <w:trPr>
          <w:trHeight w:val="425" w:hRule="atLeast"/>
        </w:trPr>
        <w:tc>
          <w:tcPr>
            <w:tcW w:w="1161" w:type="dxa"/>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三</w:t>
            </w:r>
          </w:p>
        </w:tc>
        <w:tc>
          <w:tcPr>
            <w:tcW w:w="13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企业利润</w:t>
            </w:r>
          </w:p>
        </w:tc>
        <w:tc>
          <w:tcPr>
            <w:tcW w:w="154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w:t>
            </w:r>
          </w:p>
        </w:tc>
        <w:tc>
          <w:tcPr>
            <w:tcW w:w="1407"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7</w:t>
            </w:r>
          </w:p>
        </w:tc>
        <w:tc>
          <w:tcPr>
            <w:tcW w:w="12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　</w:t>
            </w:r>
          </w:p>
        </w:tc>
        <w:tc>
          <w:tcPr>
            <w:tcW w:w="177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60.33</w:t>
            </w:r>
          </w:p>
        </w:tc>
      </w:tr>
      <w:tr>
        <w:tblPrEx>
          <w:tblCellMar>
            <w:top w:w="0" w:type="dxa"/>
            <w:left w:w="108" w:type="dxa"/>
            <w:bottom w:w="0" w:type="dxa"/>
            <w:right w:w="108" w:type="dxa"/>
          </w:tblCellMar>
        </w:tblPrEx>
        <w:trPr>
          <w:trHeight w:val="425" w:hRule="atLeast"/>
        </w:trPr>
        <w:tc>
          <w:tcPr>
            <w:tcW w:w="1161" w:type="dxa"/>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四</w:t>
            </w:r>
          </w:p>
        </w:tc>
        <w:tc>
          <w:tcPr>
            <w:tcW w:w="13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价差</w:t>
            </w:r>
          </w:p>
        </w:tc>
        <w:tc>
          <w:tcPr>
            <w:tcW w:w="154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　</w:t>
            </w:r>
          </w:p>
        </w:tc>
        <w:tc>
          <w:tcPr>
            <w:tcW w:w="1407"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40</w:t>
            </w:r>
          </w:p>
        </w:tc>
        <w:tc>
          <w:tcPr>
            <w:tcW w:w="12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3.00</w:t>
            </w:r>
          </w:p>
        </w:tc>
        <w:tc>
          <w:tcPr>
            <w:tcW w:w="177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120.00</w:t>
            </w:r>
          </w:p>
        </w:tc>
      </w:tr>
      <w:tr>
        <w:tblPrEx>
          <w:tblCellMar>
            <w:top w:w="0" w:type="dxa"/>
            <w:left w:w="108" w:type="dxa"/>
            <w:bottom w:w="0" w:type="dxa"/>
            <w:right w:w="108" w:type="dxa"/>
          </w:tblCellMar>
        </w:tblPrEx>
        <w:trPr>
          <w:trHeight w:val="425" w:hRule="atLeast"/>
        </w:trPr>
        <w:tc>
          <w:tcPr>
            <w:tcW w:w="1161" w:type="dxa"/>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五</w:t>
            </w:r>
          </w:p>
        </w:tc>
        <w:tc>
          <w:tcPr>
            <w:tcW w:w="13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税金</w:t>
            </w:r>
          </w:p>
        </w:tc>
        <w:tc>
          <w:tcPr>
            <w:tcW w:w="154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w:t>
            </w:r>
          </w:p>
        </w:tc>
        <w:tc>
          <w:tcPr>
            <w:tcW w:w="1407"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9</w:t>
            </w:r>
          </w:p>
        </w:tc>
        <w:tc>
          <w:tcPr>
            <w:tcW w:w="12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　</w:t>
            </w:r>
          </w:p>
        </w:tc>
        <w:tc>
          <w:tcPr>
            <w:tcW w:w="177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93.80</w:t>
            </w:r>
          </w:p>
        </w:tc>
      </w:tr>
      <w:tr>
        <w:tblPrEx>
          <w:tblCellMar>
            <w:top w:w="0" w:type="dxa"/>
            <w:left w:w="108" w:type="dxa"/>
            <w:bottom w:w="0" w:type="dxa"/>
            <w:right w:w="108" w:type="dxa"/>
          </w:tblCellMar>
        </w:tblPrEx>
        <w:trPr>
          <w:trHeight w:val="425" w:hRule="atLeast"/>
        </w:trPr>
        <w:tc>
          <w:tcPr>
            <w:tcW w:w="1161" w:type="dxa"/>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六</w:t>
            </w:r>
          </w:p>
        </w:tc>
        <w:tc>
          <w:tcPr>
            <w:tcW w:w="13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扩大　</w:t>
            </w:r>
          </w:p>
        </w:tc>
        <w:tc>
          <w:tcPr>
            <w:tcW w:w="154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w:t>
            </w:r>
          </w:p>
        </w:tc>
        <w:tc>
          <w:tcPr>
            <w:tcW w:w="1407"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10</w:t>
            </w:r>
          </w:p>
        </w:tc>
        <w:tc>
          <w:tcPr>
            <w:tcW w:w="1266"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　</w:t>
            </w:r>
          </w:p>
        </w:tc>
        <w:tc>
          <w:tcPr>
            <w:tcW w:w="1779" w:type="dxa"/>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eastAsia="仿宋_GB2312"/>
                <w:color w:val="000000" w:themeColor="text1"/>
                <w:sz w:val="21"/>
                <w:szCs w:val="21"/>
              </w:rPr>
            </w:pPr>
            <w:r>
              <w:rPr>
                <w:rFonts w:eastAsia="仿宋_GB2312"/>
                <w:color w:val="000000" w:themeColor="text1"/>
                <w:sz w:val="21"/>
                <w:szCs w:val="21"/>
              </w:rPr>
              <w:t>107.57</w:t>
            </w:r>
          </w:p>
        </w:tc>
      </w:tr>
    </w:tbl>
    <w:p>
      <w:pPr>
        <w:tabs>
          <w:tab w:val="left" w:pos="1440"/>
        </w:tabs>
        <w:jc w:val="center"/>
        <w:rPr>
          <w:rFonts w:eastAsia="仿宋_GB2312"/>
          <w:b/>
          <w:color w:val="000000" w:themeColor="text1"/>
          <w:sz w:val="28"/>
          <w:szCs w:val="28"/>
        </w:rPr>
      </w:pPr>
    </w:p>
    <w:p>
      <w:pPr>
        <w:tabs>
          <w:tab w:val="left" w:pos="1440"/>
        </w:tabs>
        <w:jc w:val="center"/>
        <w:rPr>
          <w:rFonts w:eastAsia="仿宋_GB2312"/>
          <w:b/>
          <w:color w:val="000000" w:themeColor="text1"/>
          <w:sz w:val="28"/>
          <w:szCs w:val="28"/>
        </w:rPr>
      </w:pPr>
    </w:p>
    <w:p>
      <w:pPr>
        <w:rPr>
          <w:b/>
          <w:bCs/>
          <w:color w:val="000000" w:themeColor="text1"/>
          <w:sz w:val="44"/>
          <w:szCs w:val="44"/>
        </w:rPr>
      </w:pPr>
      <w:r>
        <w:rPr>
          <w:rFonts w:hint="eastAsia"/>
          <w:b/>
          <w:bCs/>
          <w:color w:val="000000" w:themeColor="text1"/>
          <w:sz w:val="44"/>
          <w:szCs w:val="44"/>
        </w:rPr>
        <w:br w:type="page"/>
      </w:r>
    </w:p>
    <w:p>
      <w:pPr>
        <w:spacing w:after="156" w:afterLines="50"/>
        <w:ind w:right="-552" w:rightChars="-230"/>
        <w:jc w:val="center"/>
        <w:rPr>
          <w:b/>
          <w:bCs/>
          <w:color w:val="000000" w:themeColor="text1"/>
          <w:sz w:val="44"/>
          <w:szCs w:val="44"/>
        </w:rPr>
      </w:pPr>
    </w:p>
    <w:p>
      <w:pPr>
        <w:spacing w:after="156" w:afterLines="50"/>
        <w:ind w:right="-552" w:rightChars="-230"/>
        <w:jc w:val="center"/>
        <w:rPr>
          <w:rFonts w:hint="eastAsia" w:eastAsia="宋体"/>
          <w:b/>
          <w:bCs/>
          <w:color w:val="000000" w:themeColor="text1"/>
          <w:sz w:val="44"/>
          <w:szCs w:val="44"/>
          <w:lang w:eastAsia="zh-CN"/>
        </w:rPr>
      </w:pPr>
      <w:r>
        <w:rPr>
          <w:rFonts w:hint="eastAsia"/>
          <w:b/>
          <w:bCs/>
          <w:color w:val="000000" w:themeColor="text1"/>
          <w:sz w:val="44"/>
          <w:szCs w:val="44"/>
          <w:lang w:eastAsia="zh-CN"/>
        </w:rPr>
        <w:t>农安县东兴实业有限公司蒸压加气泥凝块年产40万立方项目</w:t>
      </w:r>
    </w:p>
    <w:p>
      <w:pPr>
        <w:spacing w:after="156" w:afterLines="50"/>
        <w:ind w:right="-552" w:rightChars="-230"/>
        <w:jc w:val="center"/>
        <w:rPr>
          <w:rFonts w:eastAsia="黑体"/>
          <w:color w:val="000000" w:themeColor="text1"/>
          <w:sz w:val="21"/>
          <w:szCs w:val="21"/>
        </w:rPr>
      </w:pPr>
      <w:r>
        <w:rPr>
          <w:rFonts w:eastAsia="黑体"/>
          <w:b/>
          <w:bCs/>
          <w:color w:val="000000" w:themeColor="text1"/>
          <w:sz w:val="84"/>
          <w:szCs w:val="84"/>
        </w:rPr>
        <w:t>水土保持方案报告</w:t>
      </w:r>
      <w:r>
        <w:rPr>
          <w:rFonts w:hint="eastAsia" w:eastAsia="黑体"/>
          <w:b/>
          <w:bCs/>
          <w:color w:val="000000" w:themeColor="text1"/>
          <w:sz w:val="84"/>
          <w:szCs w:val="84"/>
        </w:rPr>
        <w:t>表</w:t>
      </w:r>
    </w:p>
    <w:p>
      <w:pPr>
        <w:ind w:left="280" w:right="280"/>
        <w:jc w:val="center"/>
        <w:rPr>
          <w:color w:val="000000" w:themeColor="text1"/>
          <w:sz w:val="21"/>
          <w:szCs w:val="21"/>
        </w:rPr>
      </w:pPr>
    </w:p>
    <w:p>
      <w:pPr>
        <w:ind w:right="280"/>
        <w:jc w:val="both"/>
        <w:rPr>
          <w:color w:val="000000" w:themeColor="text1"/>
          <w:sz w:val="21"/>
          <w:szCs w:val="21"/>
        </w:rPr>
      </w:pPr>
    </w:p>
    <w:p>
      <w:pPr>
        <w:ind w:left="280" w:right="280"/>
        <w:jc w:val="center"/>
        <w:rPr>
          <w:color w:val="000000" w:themeColor="text1"/>
          <w:sz w:val="21"/>
          <w:szCs w:val="21"/>
        </w:rPr>
      </w:pPr>
    </w:p>
    <w:p>
      <w:pPr>
        <w:ind w:left="280" w:right="280"/>
        <w:jc w:val="center"/>
        <w:rPr>
          <w:color w:val="000000" w:themeColor="text1"/>
          <w:sz w:val="72"/>
          <w:szCs w:val="72"/>
        </w:rPr>
      </w:pPr>
      <w:r>
        <w:rPr>
          <w:b/>
          <w:color w:val="000000" w:themeColor="text1"/>
          <w:sz w:val="72"/>
          <w:szCs w:val="72"/>
        </w:rPr>
        <w:t>附 件</w:t>
      </w:r>
    </w:p>
    <w:p>
      <w:pPr>
        <w:ind w:left="280" w:right="280"/>
        <w:jc w:val="center"/>
        <w:rPr>
          <w:color w:val="000000" w:themeColor="text1"/>
          <w:sz w:val="32"/>
        </w:rPr>
      </w:pPr>
    </w:p>
    <w:p>
      <w:pPr>
        <w:ind w:left="280" w:right="280"/>
        <w:jc w:val="both"/>
        <w:rPr>
          <w:color w:val="000000" w:themeColor="text1"/>
          <w:sz w:val="32"/>
        </w:rPr>
      </w:pPr>
    </w:p>
    <w:p>
      <w:pPr>
        <w:ind w:left="280" w:right="280"/>
        <w:jc w:val="center"/>
        <w:rPr>
          <w:color w:val="000000" w:themeColor="text1"/>
          <w:sz w:val="32"/>
        </w:rPr>
      </w:pPr>
    </w:p>
    <w:p>
      <w:pPr>
        <w:ind w:left="280" w:right="280"/>
        <w:jc w:val="center"/>
        <w:rPr>
          <w:color w:val="000000" w:themeColor="text1"/>
          <w:sz w:val="32"/>
        </w:rPr>
      </w:pPr>
    </w:p>
    <w:p>
      <w:pPr>
        <w:pStyle w:val="86"/>
        <w:ind w:firstLine="0" w:firstLineChars="0"/>
        <w:rPr>
          <w:rFonts w:ascii="Times New Roman" w:hAnsi="Times New Roman" w:cs="Times New Roman"/>
          <w:color w:val="000000" w:themeColor="text1"/>
          <w:sz w:val="32"/>
        </w:rPr>
      </w:pPr>
    </w:p>
    <w:p>
      <w:pPr>
        <w:pStyle w:val="86"/>
        <w:ind w:firstLine="0" w:firstLineChars="0"/>
        <w:rPr>
          <w:rFonts w:ascii="Times New Roman" w:hAnsi="Times New Roman" w:cs="Times New Roman"/>
          <w:color w:val="000000" w:themeColor="text1"/>
          <w:sz w:val="32"/>
        </w:rPr>
      </w:pPr>
    </w:p>
    <w:p>
      <w:pPr>
        <w:pStyle w:val="86"/>
        <w:ind w:firstLine="0" w:firstLineChars="0"/>
        <w:rPr>
          <w:rFonts w:ascii="Times New Roman" w:hAnsi="Times New Roman" w:cs="Times New Roman"/>
          <w:color w:val="000000" w:themeColor="text1"/>
          <w:sz w:val="32"/>
        </w:rPr>
      </w:pPr>
    </w:p>
    <w:p>
      <w:pPr>
        <w:pStyle w:val="86"/>
        <w:ind w:firstLine="0" w:firstLineChars="0"/>
        <w:rPr>
          <w:rFonts w:ascii="Times New Roman" w:hAnsi="Times New Roman" w:cs="Times New Roman"/>
          <w:color w:val="000000" w:themeColor="text1"/>
          <w:sz w:val="32"/>
        </w:rPr>
      </w:pPr>
    </w:p>
    <w:p>
      <w:pPr>
        <w:ind w:right="280"/>
        <w:jc w:val="both"/>
        <w:rPr>
          <w:color w:val="000000" w:themeColor="text1"/>
          <w:sz w:val="32"/>
        </w:rPr>
      </w:pPr>
    </w:p>
    <w:p>
      <w:pPr>
        <w:pStyle w:val="2"/>
        <w:ind w:left="480"/>
        <w:rPr>
          <w:color w:val="000000" w:themeColor="text1"/>
          <w:sz w:val="32"/>
        </w:rPr>
      </w:pPr>
    </w:p>
    <w:p>
      <w:pPr>
        <w:rPr>
          <w:color w:val="000000" w:themeColor="text1"/>
        </w:rPr>
      </w:pPr>
    </w:p>
    <w:p>
      <w:pPr>
        <w:pStyle w:val="2"/>
        <w:ind w:left="480"/>
        <w:rPr>
          <w:color w:val="000000" w:themeColor="text1"/>
        </w:rPr>
      </w:pPr>
    </w:p>
    <w:p>
      <w:pPr>
        <w:pStyle w:val="2"/>
        <w:ind w:left="0" w:leftChars="0"/>
        <w:rPr>
          <w:color w:val="000000" w:themeColor="text1"/>
        </w:rPr>
      </w:pPr>
    </w:p>
    <w:tbl>
      <w:tblPr>
        <w:tblStyle w:val="23"/>
        <w:tblW w:w="0" w:type="auto"/>
        <w:jc w:val="center"/>
        <w:tblLayout w:type="fixed"/>
        <w:tblCellMar>
          <w:top w:w="0" w:type="dxa"/>
          <w:left w:w="108" w:type="dxa"/>
          <w:bottom w:w="0" w:type="dxa"/>
          <w:right w:w="0" w:type="dxa"/>
        </w:tblCellMar>
      </w:tblPr>
      <w:tblGrid>
        <w:gridCol w:w="2091"/>
        <w:gridCol w:w="6999"/>
      </w:tblGrid>
      <w:tr>
        <w:tblPrEx>
          <w:tblCellMar>
            <w:top w:w="0" w:type="dxa"/>
            <w:left w:w="108" w:type="dxa"/>
            <w:bottom w:w="0" w:type="dxa"/>
            <w:right w:w="0" w:type="dxa"/>
          </w:tblCellMar>
        </w:tblPrEx>
        <w:trPr>
          <w:trHeight w:val="558" w:hRule="atLeast"/>
          <w:jc w:val="center"/>
        </w:trPr>
        <w:tc>
          <w:tcPr>
            <w:tcW w:w="2091" w:type="dxa"/>
          </w:tcPr>
          <w:p>
            <w:pPr>
              <w:ind w:left="41" w:leftChars="-99" w:right="160" w:hanging="279" w:hangingChars="87"/>
              <w:jc w:val="right"/>
              <w:rPr>
                <w:b/>
                <w:color w:val="000000" w:themeColor="text1"/>
                <w:sz w:val="32"/>
                <w:szCs w:val="32"/>
              </w:rPr>
            </w:pPr>
            <w:r>
              <w:rPr>
                <w:b/>
                <w:color w:val="000000" w:themeColor="text1"/>
                <w:sz w:val="32"/>
                <w:szCs w:val="32"/>
              </w:rPr>
              <w:t>编制单位：</w:t>
            </w:r>
          </w:p>
        </w:tc>
        <w:tc>
          <w:tcPr>
            <w:tcW w:w="6999" w:type="dxa"/>
          </w:tcPr>
          <w:p>
            <w:pPr>
              <w:ind w:left="279" w:right="280" w:hanging="279" w:hangingChars="87"/>
              <w:jc w:val="distribute"/>
              <w:rPr>
                <w:b/>
                <w:color w:val="000000" w:themeColor="text1"/>
                <w:sz w:val="32"/>
                <w:szCs w:val="32"/>
              </w:rPr>
            </w:pPr>
            <w:r>
              <w:rPr>
                <w:b/>
                <w:color w:val="000000" w:themeColor="text1"/>
                <w:sz w:val="32"/>
                <w:szCs w:val="32"/>
              </w:rPr>
              <w:t>吉林省玖伏环境科技有限公司</w:t>
            </w:r>
          </w:p>
        </w:tc>
      </w:tr>
      <w:tr>
        <w:tblPrEx>
          <w:tblCellMar>
            <w:top w:w="0" w:type="dxa"/>
            <w:left w:w="108" w:type="dxa"/>
            <w:bottom w:w="0" w:type="dxa"/>
            <w:right w:w="0" w:type="dxa"/>
          </w:tblCellMar>
        </w:tblPrEx>
        <w:trPr>
          <w:trHeight w:val="557" w:hRule="atLeast"/>
          <w:jc w:val="center"/>
        </w:trPr>
        <w:tc>
          <w:tcPr>
            <w:tcW w:w="9090" w:type="dxa"/>
            <w:gridSpan w:val="2"/>
          </w:tcPr>
          <w:p>
            <w:pPr>
              <w:ind w:left="280" w:right="280"/>
              <w:jc w:val="center"/>
              <w:rPr>
                <w:color w:val="000000" w:themeColor="text1"/>
                <w:sz w:val="32"/>
                <w:szCs w:val="32"/>
              </w:rPr>
            </w:pPr>
            <w:r>
              <w:rPr>
                <w:b/>
                <w:bCs/>
                <w:color w:val="000000" w:themeColor="text1"/>
                <w:sz w:val="32"/>
                <w:szCs w:val="32"/>
              </w:rPr>
              <w:t>202</w:t>
            </w:r>
            <w:r>
              <w:rPr>
                <w:rFonts w:hint="eastAsia"/>
                <w:b/>
                <w:bCs/>
                <w:color w:val="000000" w:themeColor="text1"/>
                <w:sz w:val="32"/>
                <w:szCs w:val="32"/>
                <w:lang w:val="en-US" w:eastAsia="zh-CN"/>
              </w:rPr>
              <w:t>3</w:t>
            </w:r>
            <w:r>
              <w:rPr>
                <w:b/>
                <w:bCs/>
                <w:color w:val="000000" w:themeColor="text1"/>
                <w:sz w:val="32"/>
                <w:szCs w:val="32"/>
              </w:rPr>
              <w:t>年</w:t>
            </w:r>
            <w:r>
              <w:rPr>
                <w:rFonts w:hint="eastAsia"/>
                <w:b/>
                <w:bCs/>
                <w:color w:val="000000" w:themeColor="text1"/>
                <w:sz w:val="32"/>
                <w:szCs w:val="32"/>
                <w:lang w:val="en-US" w:eastAsia="zh-CN"/>
              </w:rPr>
              <w:t>1</w:t>
            </w:r>
            <w:r>
              <w:rPr>
                <w:b/>
                <w:bCs/>
                <w:color w:val="000000" w:themeColor="text1"/>
                <w:sz w:val="32"/>
                <w:szCs w:val="32"/>
              </w:rPr>
              <w:t>月</w:t>
            </w:r>
          </w:p>
        </w:tc>
      </w:tr>
    </w:tbl>
    <w:p>
      <w:pPr>
        <w:spacing w:line="480" w:lineRule="atLeast"/>
        <w:jc w:val="center"/>
        <w:rPr>
          <w:color w:val="000000" w:themeColor="text1"/>
        </w:rPr>
        <w:sectPr>
          <w:headerReference r:id="rId27" w:type="default"/>
          <w:footerReference r:id="rId28" w:type="default"/>
          <w:pgSz w:w="11906" w:h="16838"/>
          <w:pgMar w:top="1440" w:right="1758" w:bottom="1440" w:left="1758" w:header="851" w:footer="992" w:gutter="0"/>
          <w:cols w:space="720" w:num="1"/>
          <w:docGrid w:type="lines" w:linePitch="312" w:charSpace="0"/>
        </w:sectPr>
      </w:pPr>
    </w:p>
    <w:p>
      <w:pPr>
        <w:spacing w:line="480" w:lineRule="atLeast"/>
        <w:jc w:val="center"/>
        <w:rPr>
          <w:rFonts w:hint="eastAsia" w:eastAsia="仿宋_GB2312"/>
          <w:b/>
          <w:bCs/>
          <w:color w:val="000000" w:themeColor="text1"/>
          <w:spacing w:val="-20"/>
          <w:sz w:val="32"/>
          <w:szCs w:val="32"/>
          <w:lang w:eastAsia="zh-CN"/>
        </w:rPr>
        <w:sectPr>
          <w:pgSz w:w="11906" w:h="16838"/>
          <w:pgMar w:top="1440" w:right="1758" w:bottom="1440" w:left="1758" w:header="851" w:footer="992" w:gutter="0"/>
          <w:cols w:space="720" w:num="1"/>
          <w:docGrid w:type="lines" w:linePitch="312" w:charSpace="0"/>
        </w:sectPr>
      </w:pPr>
      <w:r>
        <w:rPr>
          <w:rFonts w:hint="eastAsia" w:eastAsia="仿宋_GB2312"/>
          <w:b/>
          <w:bCs/>
          <w:color w:val="000000" w:themeColor="text1"/>
          <w:spacing w:val="-20"/>
          <w:sz w:val="32"/>
          <w:szCs w:val="32"/>
          <w:lang w:eastAsia="zh-CN"/>
        </w:rPr>
        <w:drawing>
          <wp:anchor distT="0" distB="0" distL="114300" distR="114300" simplePos="0" relativeHeight="251685888" behindDoc="0" locked="0" layoutInCell="1" allowOverlap="1">
            <wp:simplePos x="0" y="0"/>
            <wp:positionH relativeFrom="column">
              <wp:posOffset>-1312545</wp:posOffset>
            </wp:positionH>
            <wp:positionV relativeFrom="paragraph">
              <wp:posOffset>1482725</wp:posOffset>
            </wp:positionV>
            <wp:extent cx="8032750" cy="5194935"/>
            <wp:effectExtent l="0" t="0" r="5715" b="6350"/>
            <wp:wrapNone/>
            <wp:docPr id="11" name="图片 11" descr="de1f04b73a78d8ead05da464318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e1f04b73a78d8ead05da4643188204"/>
                    <pic:cNvPicPr>
                      <a:picLocks noChangeAspect="1"/>
                    </pic:cNvPicPr>
                  </pic:nvPicPr>
                  <pic:blipFill>
                    <a:blip r:embed="rId43"/>
                    <a:srcRect l="1664" r="894"/>
                    <a:stretch>
                      <a:fillRect/>
                    </a:stretch>
                  </pic:blipFill>
                  <pic:spPr>
                    <a:xfrm rot="16200000">
                      <a:off x="0" y="0"/>
                      <a:ext cx="8032750" cy="5194935"/>
                    </a:xfrm>
                    <a:prstGeom prst="rect">
                      <a:avLst/>
                    </a:prstGeom>
                  </pic:spPr>
                </pic:pic>
              </a:graphicData>
            </a:graphic>
          </wp:anchor>
        </w:drawing>
      </w:r>
    </w:p>
    <w:p>
      <w:pPr>
        <w:spacing w:line="480" w:lineRule="atLeast"/>
        <w:jc w:val="center"/>
        <w:rPr>
          <w:rFonts w:eastAsia="仿宋_GB2312"/>
          <w:b/>
          <w:bCs/>
          <w:color w:val="000000" w:themeColor="text1"/>
          <w:spacing w:val="-20"/>
          <w:sz w:val="32"/>
          <w:szCs w:val="32"/>
        </w:rPr>
      </w:pPr>
      <w:r>
        <w:rPr>
          <w:rFonts w:eastAsia="仿宋_GB2312"/>
          <w:b/>
          <w:bCs/>
          <w:color w:val="000000" w:themeColor="text1"/>
          <w:spacing w:val="-20"/>
          <w:sz w:val="32"/>
          <w:szCs w:val="32"/>
        </w:rPr>
        <w:t>关于委托吉林省玖伏环境科技有限公司编制</w:t>
      </w:r>
    </w:p>
    <w:p>
      <w:pPr>
        <w:spacing w:line="480" w:lineRule="atLeast"/>
        <w:jc w:val="center"/>
        <w:rPr>
          <w:rFonts w:hint="eastAsia" w:eastAsia="仿宋_GB2312"/>
          <w:b/>
          <w:bCs/>
          <w:color w:val="000000" w:themeColor="text1"/>
          <w:spacing w:val="-20"/>
          <w:sz w:val="32"/>
          <w:szCs w:val="32"/>
          <w:lang w:eastAsia="zh-CN"/>
        </w:rPr>
      </w:pPr>
      <w:r>
        <w:rPr>
          <w:rFonts w:hint="eastAsia" w:eastAsia="仿宋_GB2312"/>
          <w:b/>
          <w:bCs/>
          <w:color w:val="000000" w:themeColor="text1"/>
          <w:spacing w:val="-20"/>
          <w:sz w:val="32"/>
          <w:szCs w:val="32"/>
          <w:lang w:eastAsia="zh-CN"/>
        </w:rPr>
        <w:t>农安县东兴实业有限公司蒸压加气泥凝块年产40万立方项目</w:t>
      </w:r>
    </w:p>
    <w:p>
      <w:pPr>
        <w:spacing w:line="480" w:lineRule="atLeast"/>
        <w:jc w:val="center"/>
        <w:rPr>
          <w:rFonts w:eastAsia="仿宋_GB2312"/>
          <w:b/>
          <w:bCs/>
          <w:color w:val="000000" w:themeColor="text1"/>
          <w:spacing w:val="-20"/>
          <w:sz w:val="36"/>
          <w:szCs w:val="36"/>
        </w:rPr>
      </w:pPr>
      <w:r>
        <w:rPr>
          <w:rFonts w:eastAsia="仿宋_GB2312"/>
          <w:b/>
          <w:bCs/>
          <w:color w:val="000000" w:themeColor="text1"/>
          <w:spacing w:val="-20"/>
          <w:sz w:val="32"/>
          <w:szCs w:val="32"/>
        </w:rPr>
        <w:t>水土保持方案报告</w:t>
      </w:r>
      <w:r>
        <w:rPr>
          <w:rFonts w:hint="eastAsia" w:eastAsia="仿宋_GB2312"/>
          <w:b/>
          <w:bCs/>
          <w:color w:val="000000" w:themeColor="text1"/>
          <w:spacing w:val="-20"/>
          <w:sz w:val="32"/>
          <w:szCs w:val="32"/>
        </w:rPr>
        <w:t>表</w:t>
      </w:r>
      <w:r>
        <w:rPr>
          <w:rFonts w:eastAsia="仿宋_GB2312"/>
          <w:b/>
          <w:bCs/>
          <w:color w:val="000000" w:themeColor="text1"/>
          <w:spacing w:val="-20"/>
          <w:sz w:val="32"/>
          <w:szCs w:val="32"/>
        </w:rPr>
        <w:t>的委托书</w:t>
      </w:r>
    </w:p>
    <w:p>
      <w:pPr>
        <w:spacing w:line="480" w:lineRule="atLeast"/>
        <w:jc w:val="center"/>
        <w:rPr>
          <w:rFonts w:eastAsia="仿宋_GB2312"/>
          <w:b/>
          <w:color w:val="000000" w:themeColor="text1"/>
          <w:spacing w:val="-20"/>
          <w:sz w:val="36"/>
          <w:szCs w:val="36"/>
        </w:rPr>
      </w:pPr>
    </w:p>
    <w:p>
      <w:pPr>
        <w:spacing w:line="480" w:lineRule="auto"/>
        <w:rPr>
          <w:rFonts w:eastAsia="仿宋_GB2312"/>
          <w:color w:val="000000" w:themeColor="text1"/>
          <w:spacing w:val="-3"/>
          <w:sz w:val="28"/>
          <w:szCs w:val="28"/>
        </w:rPr>
      </w:pPr>
      <w:r>
        <w:rPr>
          <w:rFonts w:eastAsia="仿宋_GB2312"/>
          <w:color w:val="000000" w:themeColor="text1"/>
          <w:spacing w:val="-3"/>
          <w:sz w:val="28"/>
          <w:szCs w:val="28"/>
        </w:rPr>
        <w:t>吉林省玖伏环境科技有限公司：</w:t>
      </w:r>
    </w:p>
    <w:p>
      <w:pPr>
        <w:adjustRightInd/>
        <w:spacing w:line="480" w:lineRule="auto"/>
        <w:ind w:firstLine="548" w:firstLineChars="200"/>
        <w:textAlignment w:val="auto"/>
        <w:rPr>
          <w:rFonts w:eastAsia="仿宋_GB2312"/>
          <w:color w:val="000000" w:themeColor="text1"/>
          <w:spacing w:val="-3"/>
          <w:sz w:val="28"/>
          <w:szCs w:val="28"/>
        </w:rPr>
      </w:pPr>
      <w:r>
        <w:rPr>
          <w:rFonts w:eastAsia="仿宋_GB2312"/>
          <w:color w:val="000000" w:themeColor="text1"/>
          <w:spacing w:val="-3"/>
          <w:sz w:val="28"/>
          <w:szCs w:val="28"/>
        </w:rPr>
        <w:t>我单位正在开展</w:t>
      </w:r>
      <w:r>
        <w:rPr>
          <w:rFonts w:hint="eastAsia" w:eastAsia="仿宋_GB2312"/>
          <w:color w:val="000000" w:themeColor="text1"/>
          <w:spacing w:val="-3"/>
          <w:sz w:val="28"/>
          <w:szCs w:val="28"/>
          <w:lang w:eastAsia="zh-CN"/>
        </w:rPr>
        <w:t>农安县东兴实业有限公司蒸压加气泥凝块年产40万立方项目</w:t>
      </w:r>
      <w:r>
        <w:rPr>
          <w:rFonts w:eastAsia="仿宋_GB2312"/>
          <w:color w:val="000000" w:themeColor="text1"/>
          <w:spacing w:val="-3"/>
          <w:sz w:val="28"/>
          <w:szCs w:val="28"/>
        </w:rPr>
        <w:t>的各项前期工作。依据《中华人民共和国水土保持法》以及其他法律法规要求，现委托贵公司编制《</w:t>
      </w:r>
      <w:r>
        <w:rPr>
          <w:rFonts w:hint="eastAsia" w:eastAsia="仿宋_GB2312"/>
          <w:color w:val="000000" w:themeColor="text1"/>
          <w:spacing w:val="-3"/>
          <w:sz w:val="28"/>
          <w:szCs w:val="28"/>
          <w:lang w:eastAsia="zh-CN"/>
        </w:rPr>
        <w:t>农安县东兴实业有限公司蒸压加气泥凝块年产40万立方项目</w:t>
      </w:r>
      <w:r>
        <w:rPr>
          <w:rFonts w:eastAsia="仿宋_GB2312"/>
          <w:color w:val="000000" w:themeColor="text1"/>
          <w:spacing w:val="-3"/>
          <w:sz w:val="28"/>
          <w:szCs w:val="28"/>
        </w:rPr>
        <w:t>水土保持方案报告</w:t>
      </w:r>
      <w:r>
        <w:rPr>
          <w:rFonts w:hint="eastAsia" w:eastAsia="仿宋_GB2312"/>
          <w:color w:val="000000" w:themeColor="text1"/>
          <w:spacing w:val="-3"/>
          <w:sz w:val="28"/>
          <w:szCs w:val="28"/>
        </w:rPr>
        <w:t>表</w:t>
      </w:r>
      <w:r>
        <w:rPr>
          <w:rFonts w:eastAsia="仿宋_GB2312"/>
          <w:color w:val="000000" w:themeColor="text1"/>
          <w:spacing w:val="-3"/>
          <w:sz w:val="28"/>
          <w:szCs w:val="28"/>
        </w:rPr>
        <w:t>》，望按照有关法律法规、技术规范要求尽快开展工作。</w:t>
      </w:r>
    </w:p>
    <w:p>
      <w:pPr>
        <w:adjustRightInd/>
        <w:spacing w:line="480" w:lineRule="auto"/>
        <w:ind w:firstLine="548" w:firstLineChars="200"/>
        <w:textAlignment w:val="auto"/>
        <w:rPr>
          <w:rFonts w:eastAsia="仿宋_GB2312"/>
          <w:color w:val="000000" w:themeColor="text1"/>
          <w:spacing w:val="-3"/>
          <w:sz w:val="28"/>
          <w:szCs w:val="28"/>
        </w:rPr>
      </w:pPr>
    </w:p>
    <w:p>
      <w:pPr>
        <w:adjustRightInd/>
        <w:spacing w:line="480" w:lineRule="auto"/>
        <w:ind w:firstLine="548" w:firstLineChars="200"/>
        <w:textAlignment w:val="auto"/>
        <w:rPr>
          <w:rFonts w:eastAsia="仿宋_GB2312"/>
          <w:color w:val="000000" w:themeColor="text1"/>
          <w:spacing w:val="-3"/>
          <w:sz w:val="28"/>
          <w:szCs w:val="28"/>
        </w:rPr>
      </w:pPr>
    </w:p>
    <w:p>
      <w:pPr>
        <w:adjustRightInd/>
        <w:spacing w:line="480" w:lineRule="auto"/>
        <w:ind w:firstLine="548" w:firstLineChars="200"/>
        <w:textAlignment w:val="auto"/>
        <w:rPr>
          <w:rFonts w:eastAsia="仿宋_GB2312"/>
          <w:color w:val="000000" w:themeColor="text1"/>
          <w:spacing w:val="-3"/>
          <w:sz w:val="28"/>
          <w:szCs w:val="28"/>
        </w:rPr>
      </w:pPr>
    </w:p>
    <w:p>
      <w:pPr>
        <w:adjustRightInd/>
        <w:spacing w:line="480" w:lineRule="auto"/>
        <w:jc w:val="right"/>
        <w:textAlignment w:val="auto"/>
        <w:rPr>
          <w:rFonts w:eastAsia="仿宋_GB2312"/>
          <w:color w:val="000000" w:themeColor="text1"/>
          <w:sz w:val="28"/>
          <w:szCs w:val="28"/>
        </w:rPr>
      </w:pPr>
      <w:r>
        <w:rPr>
          <w:rFonts w:hint="eastAsia" w:eastAsia="仿宋_GB2312"/>
          <w:color w:val="000000" w:themeColor="text1"/>
          <w:sz w:val="28"/>
          <w:szCs w:val="28"/>
          <w:lang w:eastAsia="zh-CN"/>
        </w:rPr>
        <w:t>农安县东兴实业有限公司</w:t>
      </w:r>
      <w:r>
        <w:rPr>
          <w:rFonts w:eastAsia="仿宋_GB2312"/>
          <w:color w:val="000000" w:themeColor="text1"/>
          <w:sz w:val="28"/>
          <w:szCs w:val="28"/>
        </w:rPr>
        <w:t>（加盖公章）</w:t>
      </w:r>
    </w:p>
    <w:p>
      <w:pPr>
        <w:adjustRightInd/>
        <w:spacing w:line="480" w:lineRule="auto"/>
        <w:jc w:val="right"/>
        <w:textAlignment w:val="auto"/>
        <w:rPr>
          <w:rFonts w:eastAsia="仿宋_GB2312"/>
          <w:color w:val="000000" w:themeColor="text1"/>
          <w:sz w:val="28"/>
          <w:szCs w:val="28"/>
        </w:rPr>
      </w:pPr>
    </w:p>
    <w:p>
      <w:pPr>
        <w:ind w:firstLine="6720" w:firstLineChars="2400"/>
        <w:rPr>
          <w:rFonts w:eastAsia="仿宋_GB2312"/>
          <w:color w:val="000000" w:themeColor="text1"/>
          <w:sz w:val="28"/>
          <w:szCs w:val="28"/>
        </w:rPr>
      </w:pPr>
      <w:r>
        <w:rPr>
          <w:rFonts w:eastAsia="仿宋_GB2312"/>
          <w:color w:val="000000" w:themeColor="text1"/>
          <w:sz w:val="28"/>
          <w:szCs w:val="28"/>
        </w:rPr>
        <w:t>202</w:t>
      </w:r>
      <w:r>
        <w:rPr>
          <w:rFonts w:hint="eastAsia" w:eastAsia="仿宋_GB2312"/>
          <w:color w:val="000000" w:themeColor="text1"/>
          <w:sz w:val="28"/>
          <w:szCs w:val="28"/>
        </w:rPr>
        <w:t>2</w:t>
      </w:r>
      <w:r>
        <w:rPr>
          <w:rFonts w:eastAsia="仿宋_GB2312"/>
          <w:color w:val="000000" w:themeColor="text1"/>
          <w:sz w:val="28"/>
          <w:szCs w:val="28"/>
        </w:rPr>
        <w:t>年</w:t>
      </w:r>
      <w:r>
        <w:rPr>
          <w:rFonts w:hint="eastAsia" w:eastAsia="仿宋_GB2312"/>
          <w:color w:val="000000" w:themeColor="text1"/>
          <w:sz w:val="28"/>
          <w:szCs w:val="28"/>
          <w:lang w:val="en-US" w:eastAsia="zh-CN"/>
        </w:rPr>
        <w:t>12</w:t>
      </w:r>
      <w:r>
        <w:rPr>
          <w:rFonts w:eastAsia="仿宋_GB2312"/>
          <w:color w:val="000000" w:themeColor="text1"/>
          <w:sz w:val="28"/>
          <w:szCs w:val="28"/>
        </w:rPr>
        <w:t>月</w:t>
      </w:r>
    </w:p>
    <w:p>
      <w:pPr>
        <w:rPr>
          <w:rFonts w:eastAsia="仿宋_GB2312"/>
          <w:color w:val="000000" w:themeColor="text1"/>
          <w:sz w:val="28"/>
          <w:szCs w:val="28"/>
        </w:rPr>
      </w:pPr>
      <w:r>
        <w:rPr>
          <w:rFonts w:eastAsia="仿宋_GB2312"/>
          <w:color w:val="000000" w:themeColor="text1"/>
          <w:sz w:val="28"/>
          <w:szCs w:val="28"/>
        </w:rPr>
        <w:br w:type="page"/>
      </w:r>
    </w:p>
    <w:p>
      <w:pPr>
        <w:adjustRightInd/>
        <w:spacing w:line="700" w:lineRule="exact"/>
        <w:jc w:val="center"/>
        <w:textAlignment w:val="auto"/>
        <w:rPr>
          <w:rFonts w:ascii="仿宋_GB2312" w:hAnsi="仿宋_GB2312" w:eastAsia="仿宋_GB2312" w:cs="仿宋_GB2312"/>
          <w:b/>
          <w:bCs/>
          <w:color w:val="000000" w:themeColor="text1"/>
          <w:sz w:val="36"/>
          <w:szCs w:val="36"/>
        </w:rPr>
      </w:pPr>
      <w:r>
        <w:rPr>
          <w:rFonts w:hint="eastAsia" w:ascii="仿宋_GB2312" w:hAnsi="仿宋_GB2312" w:eastAsia="仿宋_GB2312" w:cs="仿宋_GB2312"/>
          <w:b/>
          <w:bCs/>
          <w:color w:val="000000" w:themeColor="text1"/>
          <w:sz w:val="36"/>
          <w:szCs w:val="36"/>
          <w:lang w:eastAsia="zh-CN"/>
        </w:rPr>
        <w:t>农安县东兴实业有限公司蒸压加气泥凝块年产40万立方项目</w:t>
      </w:r>
      <w:r>
        <w:rPr>
          <w:rFonts w:hint="eastAsia" w:ascii="仿宋_GB2312" w:hAnsi="仿宋_GB2312" w:eastAsia="仿宋_GB2312" w:cs="仿宋_GB2312"/>
          <w:b/>
          <w:bCs/>
          <w:color w:val="000000" w:themeColor="text1"/>
          <w:sz w:val="36"/>
          <w:szCs w:val="36"/>
        </w:rPr>
        <w:t>水土保持方案</w:t>
      </w:r>
    </w:p>
    <w:p>
      <w:pPr>
        <w:adjustRightInd/>
        <w:spacing w:line="700" w:lineRule="exact"/>
        <w:jc w:val="center"/>
        <w:textAlignment w:val="auto"/>
        <w:rPr>
          <w:rFonts w:ascii="方正小标宋简体" w:hAnsi="方正小标宋简体" w:eastAsia="方正小标宋简体" w:cs="方正小标宋简体"/>
          <w:b/>
          <w:bCs/>
          <w:color w:val="000000" w:themeColor="text1"/>
          <w:sz w:val="44"/>
          <w:szCs w:val="44"/>
        </w:rPr>
      </w:pPr>
      <w:r>
        <w:rPr>
          <w:rFonts w:hint="eastAsia" w:ascii="仿宋_GB2312" w:hAnsi="仿宋_GB2312" w:eastAsia="仿宋_GB2312" w:cs="仿宋_GB2312"/>
          <w:b/>
          <w:bCs/>
          <w:color w:val="000000" w:themeColor="text1"/>
          <w:sz w:val="36"/>
          <w:szCs w:val="36"/>
        </w:rPr>
        <w:t>省级水土保持专家审查意见表</w:t>
      </w:r>
    </w:p>
    <w:p>
      <w:pPr>
        <w:adjustRightInd/>
        <w:spacing w:line="700" w:lineRule="exact"/>
        <w:jc w:val="center"/>
        <w:textAlignment w:val="auto"/>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（适用水土保持方案审批）</w:t>
      </w:r>
    </w:p>
    <w:tbl>
      <w:tblPr>
        <w:tblStyle w:val="23"/>
        <w:tblW w:w="92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775"/>
        <w:gridCol w:w="2400"/>
        <w:gridCol w:w="5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541" w:type="dxa"/>
            <w:gridSpan w:val="2"/>
            <w:tcBorders>
              <w:top w:val="single" w:color="auto" w:sz="4" w:space="0"/>
              <w:left w:val="single" w:color="auto" w:sz="4" w:space="0"/>
              <w:bottom w:val="single" w:color="auto" w:sz="4" w:space="0"/>
              <w:right w:val="single" w:color="auto" w:sz="4" w:space="0"/>
            </w:tcBorders>
            <w:vAlign w:val="center"/>
          </w:tcPr>
          <w:p>
            <w:pPr>
              <w:adjustRightInd/>
              <w:spacing w:line="360" w:lineRule="exact"/>
              <w:jc w:val="center"/>
              <w:textAlignment w:val="auto"/>
              <w:rPr>
                <w:rFonts w:eastAsia="仿宋_GB2312"/>
                <w:color w:val="000000" w:themeColor="text1"/>
                <w:szCs w:val="24"/>
              </w:rPr>
            </w:pPr>
            <w:r>
              <w:rPr>
                <w:rFonts w:eastAsia="仿宋_GB2312"/>
                <w:color w:val="000000" w:themeColor="text1"/>
                <w:szCs w:val="24"/>
              </w:rPr>
              <w:t>项目名称</w:t>
            </w:r>
          </w:p>
        </w:tc>
        <w:tc>
          <w:tcPr>
            <w:tcW w:w="7718" w:type="dxa"/>
            <w:gridSpan w:val="2"/>
            <w:tcBorders>
              <w:top w:val="single" w:color="auto" w:sz="4" w:space="0"/>
              <w:left w:val="single" w:color="auto" w:sz="4" w:space="0"/>
              <w:bottom w:val="single" w:color="auto" w:sz="4" w:space="0"/>
              <w:right w:val="single" w:color="auto" w:sz="4" w:space="0"/>
            </w:tcBorders>
            <w:vAlign w:val="center"/>
          </w:tcPr>
          <w:p>
            <w:pPr>
              <w:adjustRightInd/>
              <w:spacing w:line="360" w:lineRule="exact"/>
              <w:jc w:val="center"/>
              <w:textAlignment w:val="auto"/>
              <w:rPr>
                <w:rFonts w:hint="eastAsia" w:eastAsia="仿宋_GB2312"/>
                <w:color w:val="000000" w:themeColor="text1"/>
                <w:szCs w:val="24"/>
                <w:lang w:eastAsia="zh-CN"/>
              </w:rPr>
            </w:pPr>
            <w:r>
              <w:rPr>
                <w:rFonts w:hint="eastAsia" w:eastAsia="仿宋_GB2312"/>
                <w:color w:val="000000" w:themeColor="text1"/>
                <w:szCs w:val="24"/>
                <w:lang w:eastAsia="zh-CN"/>
              </w:rPr>
              <w:t>农安县东兴实业有限公司蒸压加气泥凝块年产40万立方项目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541"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spacing w:line="360" w:lineRule="exact"/>
              <w:jc w:val="center"/>
              <w:textAlignment w:val="auto"/>
              <w:rPr>
                <w:rFonts w:eastAsia="仿宋_GB2312"/>
                <w:color w:val="000000" w:themeColor="text1"/>
                <w:szCs w:val="24"/>
              </w:rPr>
            </w:pPr>
            <w:r>
              <w:rPr>
                <w:rFonts w:eastAsia="仿宋_GB2312"/>
                <w:color w:val="000000" w:themeColor="text1"/>
                <w:szCs w:val="24"/>
              </w:rPr>
              <w:t>建设单位</w:t>
            </w:r>
          </w:p>
        </w:tc>
        <w:tc>
          <w:tcPr>
            <w:tcW w:w="7718" w:type="dxa"/>
            <w:gridSpan w:val="2"/>
            <w:tcBorders>
              <w:top w:val="single" w:color="auto" w:sz="4" w:space="0"/>
              <w:left w:val="single" w:color="auto" w:sz="4" w:space="0"/>
              <w:bottom w:val="single" w:color="auto" w:sz="4" w:space="0"/>
              <w:right w:val="single" w:color="auto" w:sz="4" w:space="0"/>
            </w:tcBorders>
            <w:vAlign w:val="center"/>
          </w:tcPr>
          <w:p>
            <w:pPr>
              <w:adjustRightInd/>
              <w:spacing w:line="360" w:lineRule="exact"/>
              <w:jc w:val="center"/>
              <w:textAlignment w:val="auto"/>
              <w:rPr>
                <w:rFonts w:hint="eastAsia" w:eastAsia="仿宋_GB2312"/>
                <w:color w:val="000000" w:themeColor="text1"/>
                <w:szCs w:val="24"/>
                <w:lang w:eastAsia="zh-CN"/>
              </w:rPr>
            </w:pPr>
            <w:r>
              <w:rPr>
                <w:rFonts w:hint="eastAsia" w:eastAsia="仿宋_GB2312"/>
                <w:color w:val="000000" w:themeColor="text1"/>
                <w:szCs w:val="24"/>
                <w:lang w:eastAsia="zh-CN"/>
              </w:rPr>
              <w:t>农安县东兴实业有限公司</w:t>
            </w:r>
          </w:p>
          <w:p>
            <w:pPr>
              <w:adjustRightInd/>
              <w:spacing w:line="360" w:lineRule="exact"/>
              <w:jc w:val="center"/>
              <w:textAlignment w:val="auto"/>
              <w:rPr>
                <w:rFonts w:eastAsia="仿宋_GB2312"/>
                <w:color w:val="000000" w:themeColor="text1"/>
                <w:szCs w:val="24"/>
              </w:rPr>
            </w:pPr>
            <w:r>
              <w:rPr>
                <w:rFonts w:eastAsia="仿宋_GB2312"/>
                <w:color w:val="000000" w:themeColor="text1"/>
                <w:szCs w:val="24"/>
              </w:rPr>
              <w:t>(统一社会信用代码：</w:t>
            </w:r>
            <w:r>
              <w:rPr>
                <w:rFonts w:hint="eastAsia" w:eastAsia="仿宋_GB2312"/>
                <w:color w:val="000000" w:themeColor="text1"/>
                <w:szCs w:val="24"/>
                <w:lang w:eastAsia="zh-CN"/>
              </w:rPr>
              <w:t>91220122MA84NDFW3W</w:t>
            </w:r>
            <w:r>
              <w:rPr>
                <w:rFonts w:eastAsia="仿宋_GB2312"/>
                <w:color w:val="000000" w:themeColor="text1"/>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541" w:type="dxa"/>
            <w:gridSpan w:val="2"/>
            <w:vMerge w:val="continue"/>
            <w:tcBorders>
              <w:top w:val="single" w:color="auto" w:sz="4" w:space="0"/>
              <w:left w:val="single" w:color="auto" w:sz="4" w:space="0"/>
              <w:bottom w:val="single" w:color="auto" w:sz="4" w:space="0"/>
              <w:right w:val="single" w:color="auto" w:sz="4" w:space="0"/>
            </w:tcBorders>
            <w:vAlign w:val="center"/>
          </w:tcPr>
          <w:p>
            <w:pPr>
              <w:adjustRightInd/>
              <w:spacing w:line="360" w:lineRule="exact"/>
              <w:jc w:val="center"/>
              <w:textAlignment w:val="auto"/>
              <w:rPr>
                <w:rFonts w:eastAsia="仿宋_GB2312"/>
                <w:color w:val="000000" w:themeColor="text1"/>
                <w:szCs w:val="24"/>
              </w:rPr>
            </w:pPr>
          </w:p>
        </w:tc>
        <w:tc>
          <w:tcPr>
            <w:tcW w:w="7718" w:type="dxa"/>
            <w:gridSpan w:val="2"/>
            <w:tcBorders>
              <w:top w:val="single" w:color="auto" w:sz="4" w:space="0"/>
              <w:left w:val="single" w:color="auto" w:sz="4" w:space="0"/>
              <w:bottom w:val="single" w:color="auto" w:sz="4" w:space="0"/>
              <w:right w:val="single" w:color="auto" w:sz="4" w:space="0"/>
            </w:tcBorders>
            <w:vAlign w:val="center"/>
          </w:tcPr>
          <w:p>
            <w:pPr>
              <w:adjustRightInd/>
              <w:spacing w:line="360" w:lineRule="exact"/>
              <w:jc w:val="center"/>
              <w:textAlignment w:val="auto"/>
              <w:rPr>
                <w:rFonts w:eastAsia="仿宋_GB2312"/>
                <w:color w:val="000000" w:themeColor="text1"/>
                <w:szCs w:val="24"/>
              </w:rPr>
            </w:pPr>
            <w:r>
              <w:rPr>
                <w:rFonts w:eastAsia="仿宋_GB2312"/>
                <w:color w:val="000000" w:themeColor="text1"/>
                <w:szCs w:val="24"/>
              </w:rPr>
              <w:t>项目法人单位（是□ 否☑）变更：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541" w:type="dxa"/>
            <w:gridSpan w:val="2"/>
            <w:tcBorders>
              <w:top w:val="single" w:color="auto" w:sz="4" w:space="0"/>
              <w:left w:val="single" w:color="auto" w:sz="4" w:space="0"/>
              <w:bottom w:val="single" w:color="auto" w:sz="4" w:space="0"/>
              <w:right w:val="single" w:color="auto" w:sz="4" w:space="0"/>
            </w:tcBorders>
            <w:vAlign w:val="center"/>
          </w:tcPr>
          <w:p>
            <w:pPr>
              <w:adjustRightInd/>
              <w:spacing w:line="360" w:lineRule="exact"/>
              <w:jc w:val="center"/>
              <w:textAlignment w:val="auto"/>
              <w:rPr>
                <w:rFonts w:eastAsia="仿宋_GB2312"/>
                <w:color w:val="000000" w:themeColor="text1"/>
                <w:szCs w:val="24"/>
              </w:rPr>
            </w:pPr>
            <w:r>
              <w:rPr>
                <w:rFonts w:eastAsia="仿宋_GB2312"/>
                <w:color w:val="000000" w:themeColor="text1"/>
                <w:szCs w:val="24"/>
              </w:rPr>
              <w:t>方案编制</w:t>
            </w:r>
          </w:p>
          <w:p>
            <w:pPr>
              <w:adjustRightInd/>
              <w:spacing w:line="360" w:lineRule="exact"/>
              <w:jc w:val="center"/>
              <w:textAlignment w:val="auto"/>
              <w:rPr>
                <w:rFonts w:eastAsia="仿宋_GB2312"/>
                <w:color w:val="000000" w:themeColor="text1"/>
                <w:szCs w:val="24"/>
              </w:rPr>
            </w:pPr>
            <w:r>
              <w:rPr>
                <w:rFonts w:eastAsia="仿宋_GB2312"/>
                <w:color w:val="000000" w:themeColor="text1"/>
                <w:szCs w:val="24"/>
              </w:rPr>
              <w:t>单位</w:t>
            </w:r>
          </w:p>
        </w:tc>
        <w:tc>
          <w:tcPr>
            <w:tcW w:w="7718" w:type="dxa"/>
            <w:gridSpan w:val="2"/>
            <w:tcBorders>
              <w:top w:val="single" w:color="auto" w:sz="4" w:space="0"/>
              <w:left w:val="single" w:color="auto" w:sz="4" w:space="0"/>
              <w:bottom w:val="single" w:color="auto" w:sz="4" w:space="0"/>
              <w:right w:val="single" w:color="auto" w:sz="4" w:space="0"/>
            </w:tcBorders>
            <w:vAlign w:val="center"/>
          </w:tcPr>
          <w:p>
            <w:pPr>
              <w:adjustRightInd/>
              <w:spacing w:line="360" w:lineRule="exact"/>
              <w:jc w:val="center"/>
              <w:textAlignment w:val="auto"/>
              <w:rPr>
                <w:rFonts w:eastAsia="仿宋_GB2312"/>
                <w:color w:val="000000" w:themeColor="text1"/>
                <w:szCs w:val="24"/>
              </w:rPr>
            </w:pPr>
            <w:r>
              <w:rPr>
                <w:rFonts w:eastAsia="仿宋_GB2312"/>
                <w:color w:val="000000" w:themeColor="text1"/>
                <w:szCs w:val="24"/>
              </w:rPr>
              <w:t>编制水土保持方案（报告书□ 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541"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spacing w:line="360" w:lineRule="exact"/>
              <w:jc w:val="center"/>
              <w:textAlignment w:val="auto"/>
              <w:rPr>
                <w:rFonts w:eastAsia="仿宋_GB2312"/>
                <w:color w:val="000000" w:themeColor="text1"/>
                <w:szCs w:val="24"/>
              </w:rPr>
            </w:pPr>
            <w:r>
              <w:rPr>
                <w:rFonts w:eastAsia="仿宋_GB2312"/>
                <w:color w:val="000000" w:themeColor="text1"/>
                <w:szCs w:val="24"/>
              </w:rPr>
              <w:t>省级水土保持专家库专家信息</w:t>
            </w:r>
          </w:p>
        </w:tc>
        <w:tc>
          <w:tcPr>
            <w:tcW w:w="7718" w:type="dxa"/>
            <w:gridSpan w:val="2"/>
            <w:tcBorders>
              <w:top w:val="single" w:color="auto" w:sz="4" w:space="0"/>
              <w:left w:val="single" w:color="auto" w:sz="4" w:space="0"/>
              <w:bottom w:val="single" w:color="auto" w:sz="4" w:space="0"/>
              <w:right w:val="single" w:color="auto" w:sz="4" w:space="0"/>
            </w:tcBorders>
            <w:vAlign w:val="center"/>
          </w:tcPr>
          <w:p>
            <w:pPr>
              <w:adjustRightInd/>
              <w:spacing w:line="360" w:lineRule="exact"/>
              <w:jc w:val="center"/>
              <w:textAlignment w:val="auto"/>
              <w:rPr>
                <w:rFonts w:eastAsia="仿宋_GB2312"/>
                <w:color w:val="000000" w:themeColor="text1"/>
                <w:szCs w:val="24"/>
              </w:rPr>
            </w:pPr>
            <w:r>
              <w:rPr>
                <w:rFonts w:eastAsia="仿宋_GB2312"/>
                <w:color w:val="000000" w:themeColor="text1"/>
                <w:szCs w:val="24"/>
              </w:rPr>
              <w:t>专家姓名及身份证号码：</w:t>
            </w:r>
            <w:r>
              <w:rPr>
                <w:rFonts w:hint="eastAsia" w:eastAsia="仿宋_GB2312"/>
                <w:color w:val="000000" w:themeColor="text1"/>
                <w:szCs w:val="24"/>
              </w:rPr>
              <w:t>刘洪超22072419800320361X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541" w:type="dxa"/>
            <w:gridSpan w:val="2"/>
            <w:vMerge w:val="continue"/>
            <w:tcBorders>
              <w:top w:val="single" w:color="auto" w:sz="4" w:space="0"/>
              <w:left w:val="single" w:color="auto" w:sz="4" w:space="0"/>
              <w:bottom w:val="single" w:color="auto" w:sz="4" w:space="0"/>
              <w:right w:val="single" w:color="auto" w:sz="4" w:space="0"/>
            </w:tcBorders>
          </w:tcPr>
          <w:p>
            <w:pPr>
              <w:adjustRightInd/>
              <w:spacing w:line="360" w:lineRule="exact"/>
              <w:textAlignment w:val="auto"/>
              <w:rPr>
                <w:rFonts w:eastAsia="仿宋_GB2312"/>
                <w:color w:val="000000" w:themeColor="text1"/>
                <w:szCs w:val="24"/>
              </w:rPr>
            </w:pPr>
          </w:p>
        </w:tc>
        <w:tc>
          <w:tcPr>
            <w:tcW w:w="7718" w:type="dxa"/>
            <w:gridSpan w:val="2"/>
            <w:tcBorders>
              <w:top w:val="single" w:color="auto" w:sz="4" w:space="0"/>
              <w:left w:val="single" w:color="auto" w:sz="4" w:space="0"/>
              <w:bottom w:val="single" w:color="auto" w:sz="4" w:space="0"/>
              <w:right w:val="single" w:color="auto" w:sz="4" w:space="0"/>
            </w:tcBorders>
            <w:vAlign w:val="center"/>
          </w:tcPr>
          <w:p>
            <w:pPr>
              <w:adjustRightInd/>
              <w:spacing w:line="360" w:lineRule="exact"/>
              <w:jc w:val="center"/>
              <w:textAlignment w:val="auto"/>
              <w:rPr>
                <w:rFonts w:eastAsia="仿宋_GB2312"/>
                <w:color w:val="000000" w:themeColor="text1"/>
                <w:szCs w:val="24"/>
              </w:rPr>
            </w:pPr>
            <w:r>
              <w:rPr>
                <w:rFonts w:eastAsia="仿宋_GB2312"/>
                <w:color w:val="000000" w:themeColor="text1"/>
                <w:szCs w:val="24"/>
              </w:rPr>
              <w:t>单位名称：</w:t>
            </w:r>
            <w:r>
              <w:rPr>
                <w:rFonts w:hint="eastAsia" w:eastAsia="仿宋_GB2312"/>
                <w:color w:val="000000" w:themeColor="text1"/>
                <w:szCs w:val="24"/>
              </w:rPr>
              <w:t>松辽水资源保护科学研究所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541" w:type="dxa"/>
            <w:gridSpan w:val="2"/>
            <w:vMerge w:val="continue"/>
            <w:tcBorders>
              <w:top w:val="single" w:color="auto" w:sz="4" w:space="0"/>
              <w:left w:val="single" w:color="auto" w:sz="4" w:space="0"/>
              <w:bottom w:val="single" w:color="auto" w:sz="4" w:space="0"/>
              <w:right w:val="single" w:color="auto" w:sz="4" w:space="0"/>
            </w:tcBorders>
          </w:tcPr>
          <w:p>
            <w:pPr>
              <w:adjustRightInd/>
              <w:spacing w:line="360" w:lineRule="exact"/>
              <w:textAlignment w:val="auto"/>
              <w:rPr>
                <w:rFonts w:eastAsia="仿宋_GB2312"/>
                <w:color w:val="000000" w:themeColor="text1"/>
                <w:szCs w:val="24"/>
              </w:rPr>
            </w:pPr>
          </w:p>
        </w:tc>
        <w:tc>
          <w:tcPr>
            <w:tcW w:w="7718" w:type="dxa"/>
            <w:gridSpan w:val="2"/>
            <w:tcBorders>
              <w:top w:val="single" w:color="auto" w:sz="4" w:space="0"/>
              <w:left w:val="single" w:color="auto" w:sz="4" w:space="0"/>
              <w:bottom w:val="single" w:color="auto" w:sz="4" w:space="0"/>
              <w:right w:val="single" w:color="auto" w:sz="4" w:space="0"/>
            </w:tcBorders>
            <w:vAlign w:val="center"/>
          </w:tcPr>
          <w:p>
            <w:pPr>
              <w:adjustRightInd/>
              <w:spacing w:line="360" w:lineRule="exact"/>
              <w:jc w:val="center"/>
              <w:textAlignment w:val="auto"/>
              <w:rPr>
                <w:rFonts w:eastAsia="仿宋_GB2312"/>
                <w:color w:val="000000" w:themeColor="text1"/>
                <w:szCs w:val="24"/>
              </w:rPr>
            </w:pPr>
            <w:r>
              <w:rPr>
                <w:rFonts w:eastAsia="仿宋_GB2312"/>
                <w:color w:val="000000" w:themeColor="text1"/>
                <w:szCs w:val="24"/>
              </w:rPr>
              <w:t>联系电话及电子邮箱：13321582097</w:t>
            </w:r>
            <w:r>
              <w:rPr>
                <w:rFonts w:hint="eastAsia" w:eastAsia="仿宋_GB2312"/>
                <w:color w:val="000000" w:themeColor="text1"/>
                <w:szCs w:val="24"/>
              </w:rPr>
              <w:t>、</w:t>
            </w:r>
            <w:r>
              <w:rPr>
                <w:rStyle w:val="26"/>
                <w:rFonts w:hint="eastAsia" w:eastAsia="楷体"/>
                <w:b w:val="0"/>
                <w:color w:val="000000" w:themeColor="text1"/>
                <w:szCs w:val="24"/>
                <w:shd w:val="clear" w:color="auto" w:fill="FFFFFF"/>
                <w:lang w:bidi="ar"/>
              </w:rPr>
              <w:t>27752564@qq.com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541" w:type="dxa"/>
            <w:gridSpan w:val="2"/>
            <w:vMerge w:val="continue"/>
            <w:tcBorders>
              <w:top w:val="single" w:color="auto" w:sz="4" w:space="0"/>
              <w:left w:val="single" w:color="auto" w:sz="4" w:space="0"/>
              <w:bottom w:val="single" w:color="auto" w:sz="4" w:space="0"/>
              <w:right w:val="single" w:color="auto" w:sz="4" w:space="0"/>
            </w:tcBorders>
          </w:tcPr>
          <w:p>
            <w:pPr>
              <w:adjustRightInd/>
              <w:spacing w:line="360" w:lineRule="exact"/>
              <w:textAlignment w:val="auto"/>
              <w:rPr>
                <w:rFonts w:eastAsia="仿宋_GB2312"/>
                <w:color w:val="000000" w:themeColor="text1"/>
                <w:szCs w:val="24"/>
              </w:rPr>
            </w:pPr>
          </w:p>
        </w:tc>
        <w:tc>
          <w:tcPr>
            <w:tcW w:w="7718" w:type="dxa"/>
            <w:gridSpan w:val="2"/>
            <w:tcBorders>
              <w:top w:val="single" w:color="auto" w:sz="4" w:space="0"/>
              <w:left w:val="single" w:color="auto" w:sz="4" w:space="0"/>
              <w:bottom w:val="single" w:color="auto" w:sz="4" w:space="0"/>
              <w:right w:val="single" w:color="auto" w:sz="4" w:space="0"/>
            </w:tcBorders>
            <w:vAlign w:val="center"/>
          </w:tcPr>
          <w:p>
            <w:pPr>
              <w:adjustRightInd/>
              <w:spacing w:line="360" w:lineRule="exact"/>
              <w:jc w:val="center"/>
              <w:textAlignment w:val="auto"/>
              <w:rPr>
                <w:rFonts w:eastAsia="仿宋_GB2312"/>
                <w:color w:val="000000" w:themeColor="text1"/>
                <w:szCs w:val="24"/>
              </w:rPr>
            </w:pPr>
            <w:r>
              <w:rPr>
                <w:rFonts w:eastAsia="仿宋_GB2312"/>
                <w:color w:val="000000" w:themeColor="text1"/>
                <w:szCs w:val="24"/>
              </w:rPr>
              <w:t>入选省级专家库时间及文号：2020年4月2日，吉水保函〔2020〕16号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766" w:type="dxa"/>
            <w:vMerge w:val="restart"/>
            <w:tcBorders>
              <w:top w:val="single" w:color="auto" w:sz="4" w:space="0"/>
              <w:left w:val="single" w:color="auto" w:sz="4" w:space="0"/>
              <w:bottom w:val="single" w:color="auto" w:sz="4" w:space="0"/>
              <w:right w:val="single" w:color="auto" w:sz="4" w:space="0"/>
            </w:tcBorders>
            <w:vAlign w:val="center"/>
          </w:tcPr>
          <w:p>
            <w:pPr>
              <w:adjustRightInd/>
              <w:spacing w:line="360" w:lineRule="exact"/>
              <w:jc w:val="center"/>
              <w:textAlignment w:val="auto"/>
              <w:rPr>
                <w:rFonts w:eastAsia="仿宋_GB2312"/>
                <w:color w:val="000000" w:themeColor="text1"/>
                <w:szCs w:val="24"/>
              </w:rPr>
            </w:pPr>
          </w:p>
          <w:p>
            <w:pPr>
              <w:adjustRightInd/>
              <w:spacing w:line="360" w:lineRule="exact"/>
              <w:jc w:val="center"/>
              <w:textAlignment w:val="auto"/>
              <w:rPr>
                <w:rFonts w:eastAsia="仿宋_GB2312"/>
                <w:color w:val="000000" w:themeColor="text1"/>
                <w:szCs w:val="24"/>
              </w:rPr>
            </w:pPr>
          </w:p>
          <w:p>
            <w:pPr>
              <w:adjustRightInd/>
              <w:spacing w:line="360" w:lineRule="exact"/>
              <w:jc w:val="center"/>
              <w:textAlignment w:val="auto"/>
              <w:rPr>
                <w:rFonts w:eastAsia="仿宋_GB2312"/>
                <w:color w:val="000000" w:themeColor="text1"/>
                <w:szCs w:val="24"/>
              </w:rPr>
            </w:pPr>
          </w:p>
          <w:p>
            <w:pPr>
              <w:adjustRightInd/>
              <w:spacing w:line="360" w:lineRule="exact"/>
              <w:jc w:val="center"/>
              <w:textAlignment w:val="auto"/>
              <w:rPr>
                <w:rFonts w:eastAsia="仿宋_GB2312"/>
                <w:color w:val="000000" w:themeColor="text1"/>
                <w:szCs w:val="24"/>
              </w:rPr>
            </w:pPr>
          </w:p>
          <w:p>
            <w:pPr>
              <w:adjustRightInd/>
              <w:spacing w:line="360" w:lineRule="exact"/>
              <w:jc w:val="center"/>
              <w:textAlignment w:val="auto"/>
              <w:rPr>
                <w:rFonts w:eastAsia="仿宋_GB2312"/>
                <w:color w:val="000000" w:themeColor="text1"/>
                <w:szCs w:val="24"/>
              </w:rPr>
            </w:pPr>
          </w:p>
          <w:p>
            <w:pPr>
              <w:adjustRightInd/>
              <w:spacing w:line="360" w:lineRule="exact"/>
              <w:jc w:val="center"/>
              <w:textAlignment w:val="auto"/>
              <w:rPr>
                <w:rFonts w:eastAsia="仿宋_GB2312"/>
                <w:color w:val="000000" w:themeColor="text1"/>
                <w:szCs w:val="24"/>
              </w:rPr>
            </w:pPr>
          </w:p>
          <w:p>
            <w:pPr>
              <w:adjustRightInd/>
              <w:spacing w:line="360" w:lineRule="exact"/>
              <w:jc w:val="center"/>
              <w:textAlignment w:val="auto"/>
              <w:rPr>
                <w:rFonts w:eastAsia="仿宋_GB2312"/>
                <w:color w:val="000000" w:themeColor="text1"/>
                <w:szCs w:val="24"/>
              </w:rPr>
            </w:pPr>
            <w:r>
              <w:rPr>
                <w:rFonts w:eastAsia="仿宋_GB2312"/>
                <w:color w:val="000000" w:themeColor="text1"/>
                <w:szCs w:val="24"/>
              </w:rPr>
              <w:t>专</w:t>
            </w:r>
          </w:p>
          <w:p>
            <w:pPr>
              <w:adjustRightInd/>
              <w:spacing w:line="360" w:lineRule="exact"/>
              <w:jc w:val="center"/>
              <w:textAlignment w:val="auto"/>
              <w:rPr>
                <w:rFonts w:eastAsia="仿宋_GB2312"/>
                <w:color w:val="000000" w:themeColor="text1"/>
                <w:szCs w:val="24"/>
              </w:rPr>
            </w:pPr>
            <w:r>
              <w:rPr>
                <w:rFonts w:eastAsia="仿宋_GB2312"/>
                <w:color w:val="000000" w:themeColor="text1"/>
                <w:szCs w:val="24"/>
              </w:rPr>
              <w:t>家</w:t>
            </w:r>
          </w:p>
          <w:p>
            <w:pPr>
              <w:adjustRightInd/>
              <w:spacing w:line="360" w:lineRule="exact"/>
              <w:jc w:val="center"/>
              <w:textAlignment w:val="auto"/>
              <w:rPr>
                <w:rFonts w:eastAsia="仿宋_GB2312"/>
                <w:color w:val="000000" w:themeColor="text1"/>
                <w:szCs w:val="24"/>
              </w:rPr>
            </w:pPr>
            <w:r>
              <w:rPr>
                <w:rFonts w:eastAsia="仿宋_GB2312"/>
                <w:color w:val="000000" w:themeColor="text1"/>
                <w:szCs w:val="24"/>
              </w:rPr>
              <w:t>审</w:t>
            </w:r>
          </w:p>
          <w:p>
            <w:pPr>
              <w:adjustRightInd/>
              <w:spacing w:line="360" w:lineRule="exact"/>
              <w:jc w:val="center"/>
              <w:textAlignment w:val="auto"/>
              <w:rPr>
                <w:rFonts w:eastAsia="仿宋_GB2312"/>
                <w:color w:val="000000" w:themeColor="text1"/>
                <w:szCs w:val="24"/>
              </w:rPr>
            </w:pPr>
            <w:r>
              <w:rPr>
                <w:rFonts w:eastAsia="仿宋_GB2312"/>
                <w:color w:val="000000" w:themeColor="text1"/>
                <w:szCs w:val="24"/>
              </w:rPr>
              <w:t>核</w:t>
            </w:r>
          </w:p>
          <w:p>
            <w:pPr>
              <w:adjustRightInd/>
              <w:spacing w:line="360" w:lineRule="exact"/>
              <w:jc w:val="center"/>
              <w:textAlignment w:val="auto"/>
              <w:rPr>
                <w:rFonts w:eastAsia="仿宋_GB2312"/>
                <w:color w:val="000000" w:themeColor="text1"/>
                <w:szCs w:val="24"/>
              </w:rPr>
            </w:pPr>
            <w:r>
              <w:rPr>
                <w:rFonts w:eastAsia="仿宋_GB2312"/>
                <w:color w:val="000000" w:themeColor="text1"/>
                <w:szCs w:val="24"/>
              </w:rPr>
              <w:t>意</w:t>
            </w:r>
          </w:p>
          <w:p>
            <w:pPr>
              <w:adjustRightInd/>
              <w:spacing w:line="360" w:lineRule="exact"/>
              <w:jc w:val="center"/>
              <w:textAlignment w:val="auto"/>
              <w:rPr>
                <w:rFonts w:eastAsia="仿宋_GB2312"/>
                <w:color w:val="000000" w:themeColor="text1"/>
                <w:szCs w:val="24"/>
              </w:rPr>
            </w:pPr>
            <w:r>
              <w:rPr>
                <w:rFonts w:eastAsia="仿宋_GB2312"/>
                <w:color w:val="000000" w:themeColor="text1"/>
                <w:szCs w:val="24"/>
              </w:rPr>
              <w:t>见</w:t>
            </w:r>
          </w:p>
          <w:p>
            <w:pPr>
              <w:adjustRightInd/>
              <w:spacing w:line="360" w:lineRule="exact"/>
              <w:jc w:val="center"/>
              <w:textAlignment w:val="auto"/>
              <w:rPr>
                <w:rFonts w:eastAsia="仿宋_GB2312"/>
                <w:color w:val="000000" w:themeColor="text1"/>
                <w:szCs w:val="24"/>
              </w:rPr>
            </w:pPr>
          </w:p>
          <w:p>
            <w:pPr>
              <w:adjustRightInd/>
              <w:spacing w:line="360" w:lineRule="exact"/>
              <w:jc w:val="center"/>
              <w:textAlignment w:val="auto"/>
              <w:rPr>
                <w:rFonts w:eastAsia="仿宋_GB2312"/>
                <w:color w:val="000000" w:themeColor="text1"/>
                <w:szCs w:val="24"/>
              </w:rPr>
            </w:pPr>
          </w:p>
          <w:p>
            <w:pPr>
              <w:adjustRightInd/>
              <w:spacing w:line="360" w:lineRule="exact"/>
              <w:jc w:val="center"/>
              <w:textAlignment w:val="auto"/>
              <w:rPr>
                <w:rFonts w:eastAsia="仿宋_GB2312"/>
                <w:color w:val="000000" w:themeColor="text1"/>
                <w:szCs w:val="24"/>
              </w:rPr>
            </w:pPr>
          </w:p>
          <w:p>
            <w:pPr>
              <w:adjustRightInd/>
              <w:spacing w:line="360" w:lineRule="exact"/>
              <w:jc w:val="center"/>
              <w:textAlignment w:val="auto"/>
              <w:rPr>
                <w:rFonts w:eastAsia="仿宋_GB2312"/>
                <w:color w:val="000000" w:themeColor="text1"/>
                <w:szCs w:val="24"/>
              </w:rPr>
            </w:pPr>
          </w:p>
          <w:p>
            <w:pPr>
              <w:adjustRightInd/>
              <w:spacing w:line="360" w:lineRule="exact"/>
              <w:jc w:val="center"/>
              <w:textAlignment w:val="auto"/>
              <w:rPr>
                <w:rFonts w:eastAsia="仿宋_GB2312"/>
                <w:color w:val="000000" w:themeColor="text1"/>
                <w:szCs w:val="24"/>
              </w:rPr>
            </w:pPr>
          </w:p>
          <w:p>
            <w:pPr>
              <w:adjustRightInd/>
              <w:spacing w:line="360" w:lineRule="exact"/>
              <w:jc w:val="center"/>
              <w:textAlignment w:val="auto"/>
              <w:rPr>
                <w:rFonts w:eastAsia="仿宋_GB2312"/>
                <w:color w:val="000000" w:themeColor="text1"/>
                <w:szCs w:val="24"/>
              </w:rPr>
            </w:pPr>
          </w:p>
          <w:p>
            <w:pPr>
              <w:adjustRightInd/>
              <w:spacing w:line="360" w:lineRule="exact"/>
              <w:jc w:val="center"/>
              <w:textAlignment w:val="auto"/>
              <w:rPr>
                <w:rFonts w:eastAsia="仿宋_GB2312"/>
                <w:color w:val="000000" w:themeColor="text1"/>
                <w:szCs w:val="24"/>
              </w:rPr>
            </w:pPr>
          </w:p>
          <w:p>
            <w:pPr>
              <w:pStyle w:val="2"/>
              <w:tabs>
                <w:tab w:val="right" w:leader="dot" w:pos="8400"/>
              </w:tabs>
              <w:ind w:left="480"/>
              <w:rPr>
                <w:rFonts w:eastAsia="仿宋_GB2312"/>
                <w:color w:val="000000" w:themeColor="text1"/>
                <w:szCs w:val="24"/>
              </w:rPr>
            </w:pPr>
          </w:p>
          <w:p>
            <w:pPr>
              <w:adjustRightInd/>
              <w:spacing w:line="360" w:lineRule="exact"/>
              <w:jc w:val="center"/>
              <w:textAlignment w:val="auto"/>
              <w:rPr>
                <w:rFonts w:eastAsia="仿宋_GB2312"/>
                <w:color w:val="000000" w:themeColor="text1"/>
                <w:szCs w:val="24"/>
              </w:rPr>
            </w:pPr>
          </w:p>
          <w:p>
            <w:pPr>
              <w:adjustRightInd/>
              <w:spacing w:line="360" w:lineRule="exact"/>
              <w:jc w:val="center"/>
              <w:textAlignment w:val="auto"/>
              <w:rPr>
                <w:rFonts w:eastAsia="仿宋_GB2312"/>
                <w:color w:val="000000" w:themeColor="text1"/>
                <w:szCs w:val="24"/>
              </w:rPr>
            </w:pPr>
          </w:p>
          <w:p>
            <w:pPr>
              <w:adjustRightInd/>
              <w:spacing w:line="360" w:lineRule="exact"/>
              <w:jc w:val="center"/>
              <w:textAlignment w:val="auto"/>
              <w:rPr>
                <w:rFonts w:eastAsia="仿宋_GB2312"/>
                <w:color w:val="000000" w:themeColor="text1"/>
                <w:szCs w:val="24"/>
              </w:rPr>
            </w:pPr>
            <w:r>
              <w:rPr>
                <w:rFonts w:eastAsia="仿宋_GB2312"/>
                <w:color w:val="000000" w:themeColor="text1"/>
                <w:szCs w:val="24"/>
              </w:rPr>
              <w:t>专</w:t>
            </w:r>
          </w:p>
          <w:p>
            <w:pPr>
              <w:adjustRightInd/>
              <w:spacing w:line="360" w:lineRule="exact"/>
              <w:jc w:val="center"/>
              <w:textAlignment w:val="auto"/>
              <w:rPr>
                <w:rFonts w:eastAsia="仿宋_GB2312"/>
                <w:color w:val="000000" w:themeColor="text1"/>
                <w:szCs w:val="24"/>
              </w:rPr>
            </w:pPr>
            <w:r>
              <w:rPr>
                <w:rFonts w:eastAsia="仿宋_GB2312"/>
                <w:color w:val="000000" w:themeColor="text1"/>
                <w:szCs w:val="24"/>
              </w:rPr>
              <w:t>家</w:t>
            </w:r>
          </w:p>
          <w:p>
            <w:pPr>
              <w:adjustRightInd/>
              <w:spacing w:line="360" w:lineRule="exact"/>
              <w:jc w:val="center"/>
              <w:textAlignment w:val="auto"/>
              <w:rPr>
                <w:rFonts w:eastAsia="仿宋_GB2312"/>
                <w:color w:val="000000" w:themeColor="text1"/>
                <w:szCs w:val="24"/>
              </w:rPr>
            </w:pPr>
            <w:r>
              <w:rPr>
                <w:rFonts w:eastAsia="仿宋_GB2312"/>
                <w:color w:val="000000" w:themeColor="text1"/>
                <w:szCs w:val="24"/>
              </w:rPr>
              <w:t>审</w:t>
            </w:r>
          </w:p>
          <w:p>
            <w:pPr>
              <w:adjustRightInd/>
              <w:spacing w:line="360" w:lineRule="exact"/>
              <w:jc w:val="center"/>
              <w:textAlignment w:val="auto"/>
              <w:rPr>
                <w:rFonts w:eastAsia="仿宋_GB2312"/>
                <w:color w:val="000000" w:themeColor="text1"/>
                <w:szCs w:val="24"/>
              </w:rPr>
            </w:pPr>
            <w:r>
              <w:rPr>
                <w:rFonts w:eastAsia="仿宋_GB2312"/>
                <w:color w:val="000000" w:themeColor="text1"/>
                <w:szCs w:val="24"/>
              </w:rPr>
              <w:t>核</w:t>
            </w:r>
          </w:p>
          <w:p>
            <w:pPr>
              <w:adjustRightInd/>
              <w:spacing w:line="360" w:lineRule="exact"/>
              <w:jc w:val="center"/>
              <w:textAlignment w:val="auto"/>
              <w:rPr>
                <w:rFonts w:eastAsia="仿宋_GB2312"/>
                <w:color w:val="000000" w:themeColor="text1"/>
                <w:szCs w:val="24"/>
              </w:rPr>
            </w:pPr>
            <w:r>
              <w:rPr>
                <w:rFonts w:eastAsia="仿宋_GB2312"/>
                <w:color w:val="000000" w:themeColor="text1"/>
                <w:szCs w:val="24"/>
              </w:rPr>
              <w:t>意</w:t>
            </w:r>
          </w:p>
          <w:p>
            <w:pPr>
              <w:adjustRightInd/>
              <w:spacing w:line="360" w:lineRule="exact"/>
              <w:jc w:val="center"/>
              <w:textAlignment w:val="auto"/>
              <w:rPr>
                <w:rFonts w:eastAsia="仿宋_GB2312"/>
                <w:color w:val="000000" w:themeColor="text1"/>
                <w:szCs w:val="24"/>
              </w:rPr>
            </w:pPr>
            <w:r>
              <w:rPr>
                <w:rFonts w:eastAsia="仿宋_GB2312"/>
                <w:color w:val="000000" w:themeColor="text1"/>
                <w:szCs w:val="24"/>
              </w:rPr>
              <w:t>见</w:t>
            </w:r>
          </w:p>
        </w:tc>
        <w:tc>
          <w:tcPr>
            <w:tcW w:w="3175" w:type="dxa"/>
            <w:gridSpan w:val="2"/>
            <w:tcBorders>
              <w:top w:val="single" w:color="auto" w:sz="4" w:space="0"/>
              <w:left w:val="single" w:color="auto" w:sz="4" w:space="0"/>
              <w:bottom w:val="single" w:color="auto" w:sz="4" w:space="0"/>
              <w:right w:val="single" w:color="auto" w:sz="4" w:space="0"/>
            </w:tcBorders>
            <w:vAlign w:val="center"/>
          </w:tcPr>
          <w:p>
            <w:pPr>
              <w:adjustRightInd/>
              <w:spacing w:line="360" w:lineRule="exact"/>
              <w:textAlignment w:val="auto"/>
              <w:rPr>
                <w:rFonts w:eastAsia="仿宋_GB2312"/>
                <w:color w:val="000000" w:themeColor="text1"/>
                <w:szCs w:val="24"/>
              </w:rPr>
            </w:pPr>
            <w:r>
              <w:rPr>
                <w:rFonts w:eastAsia="仿宋_GB2312"/>
                <w:color w:val="000000" w:themeColor="text1"/>
                <w:szCs w:val="24"/>
              </w:rPr>
              <w:t>是否存在违反水土保持法律法规及技术标准情况</w:t>
            </w:r>
          </w:p>
        </w:tc>
        <w:tc>
          <w:tcPr>
            <w:tcW w:w="5318" w:type="dxa"/>
            <w:tcBorders>
              <w:top w:val="single" w:color="auto" w:sz="4" w:space="0"/>
              <w:left w:val="single" w:color="auto" w:sz="4" w:space="0"/>
              <w:bottom w:val="single" w:color="auto" w:sz="4" w:space="0"/>
              <w:right w:val="single" w:color="auto" w:sz="4" w:space="0"/>
            </w:tcBorders>
            <w:vAlign w:val="center"/>
          </w:tcPr>
          <w:p>
            <w:pPr>
              <w:adjustRightInd/>
              <w:spacing w:line="360" w:lineRule="exact"/>
              <w:textAlignment w:val="auto"/>
              <w:rPr>
                <w:rFonts w:eastAsia="仿宋_GB2312"/>
                <w:color w:val="000000" w:themeColor="text1"/>
                <w:szCs w:val="24"/>
              </w:rPr>
            </w:pPr>
            <w:r>
              <w:rPr>
                <w:rFonts w:hint="eastAsia" w:eastAsia="仿宋_GB2312"/>
                <w:color w:val="000000" w:themeColor="text1"/>
                <w:szCs w:val="24"/>
                <w:lang w:val="en-US" w:eastAsia="zh-CN"/>
              </w:rPr>
              <w:t>是，</w:t>
            </w:r>
            <w:r>
              <w:rPr>
                <w:rFonts w:hint="eastAsia" w:eastAsia="仿宋_GB2312"/>
                <w:color w:val="000000" w:themeColor="text1"/>
                <w:szCs w:val="24"/>
              </w:rPr>
              <w:t>本项目</w:t>
            </w:r>
            <w:r>
              <w:rPr>
                <w:rFonts w:hint="eastAsia" w:eastAsia="仿宋_GB2312"/>
                <w:color w:val="000000" w:themeColor="text1"/>
                <w:szCs w:val="24"/>
                <w:lang w:val="en-US" w:eastAsia="zh-CN"/>
              </w:rPr>
              <w:t>涉及未批先建</w:t>
            </w:r>
            <w:r>
              <w:rPr>
                <w:rFonts w:hint="eastAsia" w:eastAsia="仿宋_GB2312"/>
                <w:color w:val="000000" w:themeColor="text1"/>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766" w:type="dxa"/>
            <w:vMerge w:val="continue"/>
            <w:tcBorders>
              <w:top w:val="single" w:color="auto" w:sz="4" w:space="0"/>
              <w:left w:val="single" w:color="auto" w:sz="4" w:space="0"/>
              <w:bottom w:val="single" w:color="auto" w:sz="4" w:space="0"/>
              <w:right w:val="single" w:color="auto" w:sz="4" w:space="0"/>
            </w:tcBorders>
            <w:vAlign w:val="center"/>
          </w:tcPr>
          <w:p>
            <w:pPr>
              <w:adjustRightInd/>
              <w:spacing w:line="360" w:lineRule="exact"/>
              <w:jc w:val="center"/>
              <w:textAlignment w:val="auto"/>
              <w:rPr>
                <w:rFonts w:eastAsia="仿宋_GB2312"/>
                <w:color w:val="000000" w:themeColor="text1"/>
                <w:szCs w:val="24"/>
              </w:rPr>
            </w:pPr>
          </w:p>
        </w:tc>
        <w:tc>
          <w:tcPr>
            <w:tcW w:w="3175" w:type="dxa"/>
            <w:gridSpan w:val="2"/>
            <w:tcBorders>
              <w:top w:val="single" w:color="auto" w:sz="4" w:space="0"/>
              <w:left w:val="single" w:color="auto" w:sz="4" w:space="0"/>
              <w:bottom w:val="single" w:color="auto" w:sz="4" w:space="0"/>
              <w:right w:val="single" w:color="auto" w:sz="4" w:space="0"/>
            </w:tcBorders>
            <w:vAlign w:val="center"/>
          </w:tcPr>
          <w:p>
            <w:pPr>
              <w:adjustRightInd/>
              <w:spacing w:line="360" w:lineRule="exact"/>
              <w:jc w:val="both"/>
              <w:textAlignment w:val="auto"/>
              <w:rPr>
                <w:rFonts w:eastAsia="仿宋_GB2312"/>
                <w:color w:val="000000" w:themeColor="text1"/>
                <w:szCs w:val="24"/>
              </w:rPr>
            </w:pPr>
            <w:r>
              <w:rPr>
                <w:rFonts w:eastAsia="仿宋_GB2312"/>
                <w:color w:val="000000" w:themeColor="text1"/>
                <w:szCs w:val="24"/>
              </w:rPr>
              <w:t>主体工程水土保持评价</w:t>
            </w:r>
          </w:p>
        </w:tc>
        <w:tc>
          <w:tcPr>
            <w:tcW w:w="5318" w:type="dxa"/>
            <w:tcBorders>
              <w:top w:val="single" w:color="auto" w:sz="4" w:space="0"/>
              <w:left w:val="single" w:color="auto" w:sz="4" w:space="0"/>
              <w:bottom w:val="single" w:color="auto" w:sz="4" w:space="0"/>
              <w:right w:val="single" w:color="auto" w:sz="4" w:space="0"/>
            </w:tcBorders>
            <w:vAlign w:val="center"/>
          </w:tcPr>
          <w:p>
            <w:pPr>
              <w:adjustRightInd/>
              <w:spacing w:line="360" w:lineRule="exact"/>
              <w:jc w:val="both"/>
              <w:textAlignment w:val="auto"/>
              <w:rPr>
                <w:rFonts w:eastAsia="仿宋_GB2312"/>
                <w:color w:val="000000" w:themeColor="text1"/>
                <w:szCs w:val="24"/>
              </w:rPr>
            </w:pPr>
            <w:r>
              <w:rPr>
                <w:rFonts w:eastAsia="仿宋_GB2312"/>
                <w:color w:val="000000" w:themeColor="text1"/>
                <w:szCs w:val="24"/>
              </w:rPr>
              <w:t>（一）基本同意主体工程选址水土保持制约性因素的分析与评价结论。</w:t>
            </w:r>
          </w:p>
          <w:p>
            <w:pPr>
              <w:adjustRightInd/>
              <w:spacing w:line="360" w:lineRule="exact"/>
              <w:jc w:val="both"/>
              <w:textAlignment w:val="auto"/>
              <w:rPr>
                <w:rFonts w:eastAsia="仿宋_GB2312"/>
                <w:color w:val="000000" w:themeColor="text1"/>
                <w:szCs w:val="24"/>
              </w:rPr>
            </w:pPr>
            <w:r>
              <w:rPr>
                <w:rFonts w:eastAsia="仿宋_GB2312"/>
                <w:color w:val="000000" w:themeColor="text1"/>
                <w:szCs w:val="24"/>
              </w:rPr>
              <w:t>（二）基本同意对项目占地、土石方平衡、施工工艺与方法的水土保持分析与评价。</w:t>
            </w:r>
          </w:p>
          <w:p>
            <w:pPr>
              <w:adjustRightInd/>
              <w:spacing w:line="360" w:lineRule="exact"/>
              <w:jc w:val="both"/>
              <w:textAlignment w:val="auto"/>
              <w:rPr>
                <w:rFonts w:eastAsia="仿宋_GB2312"/>
                <w:color w:val="000000" w:themeColor="text1"/>
                <w:szCs w:val="24"/>
              </w:rPr>
            </w:pPr>
            <w:r>
              <w:rPr>
                <w:rFonts w:eastAsia="仿宋_GB2312"/>
                <w:color w:val="000000" w:themeColor="text1"/>
                <w:szCs w:val="24"/>
              </w:rPr>
              <w:t>（三）基本同意对主体工程中具有水土保持功能措施的分析与评价。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6" w:type="dxa"/>
            <w:vMerge w:val="continue"/>
            <w:tcBorders>
              <w:top w:val="single" w:color="auto" w:sz="4" w:space="0"/>
              <w:left w:val="single" w:color="auto" w:sz="4" w:space="0"/>
              <w:bottom w:val="single" w:color="auto" w:sz="4" w:space="0"/>
              <w:right w:val="single" w:color="auto" w:sz="4" w:space="0"/>
            </w:tcBorders>
          </w:tcPr>
          <w:p>
            <w:pPr>
              <w:adjustRightInd/>
              <w:spacing w:line="360" w:lineRule="exact"/>
              <w:textAlignment w:val="auto"/>
              <w:rPr>
                <w:rFonts w:eastAsia="仿宋_GB2312"/>
                <w:color w:val="000000" w:themeColor="text1"/>
                <w:szCs w:val="24"/>
              </w:rPr>
            </w:pPr>
          </w:p>
        </w:tc>
        <w:tc>
          <w:tcPr>
            <w:tcW w:w="3175" w:type="dxa"/>
            <w:gridSpan w:val="2"/>
            <w:tcBorders>
              <w:top w:val="single" w:color="auto" w:sz="4" w:space="0"/>
              <w:left w:val="single" w:color="auto" w:sz="4" w:space="0"/>
              <w:bottom w:val="single" w:color="auto" w:sz="4" w:space="0"/>
              <w:right w:val="single" w:color="auto" w:sz="4" w:space="0"/>
            </w:tcBorders>
            <w:vAlign w:val="center"/>
          </w:tcPr>
          <w:p>
            <w:pPr>
              <w:adjustRightInd/>
              <w:spacing w:line="360" w:lineRule="exact"/>
              <w:jc w:val="both"/>
              <w:textAlignment w:val="auto"/>
              <w:rPr>
                <w:rFonts w:eastAsia="仿宋_GB2312"/>
                <w:color w:val="000000" w:themeColor="text1"/>
                <w:szCs w:val="24"/>
              </w:rPr>
            </w:pPr>
            <w:r>
              <w:rPr>
                <w:rFonts w:eastAsia="仿宋_GB2312"/>
                <w:color w:val="000000" w:themeColor="text1"/>
                <w:szCs w:val="24"/>
              </w:rPr>
              <w:t>防治责任范围和防治分区</w:t>
            </w:r>
          </w:p>
        </w:tc>
        <w:tc>
          <w:tcPr>
            <w:tcW w:w="5318" w:type="dxa"/>
            <w:tcBorders>
              <w:top w:val="single" w:color="auto" w:sz="4" w:space="0"/>
              <w:left w:val="single" w:color="auto" w:sz="4" w:space="0"/>
              <w:bottom w:val="single" w:color="auto" w:sz="4" w:space="0"/>
              <w:right w:val="single" w:color="auto" w:sz="4" w:space="0"/>
            </w:tcBorders>
          </w:tcPr>
          <w:p>
            <w:pPr>
              <w:adjustRightInd/>
              <w:spacing w:line="360" w:lineRule="exact"/>
              <w:jc w:val="both"/>
              <w:textAlignment w:val="auto"/>
              <w:rPr>
                <w:rFonts w:eastAsia="仿宋_GB2312"/>
                <w:color w:val="000000" w:themeColor="text1"/>
                <w:szCs w:val="24"/>
              </w:rPr>
            </w:pPr>
            <w:r>
              <w:rPr>
                <w:rFonts w:eastAsia="仿宋_GB2312"/>
                <w:color w:val="000000" w:themeColor="text1"/>
                <w:szCs w:val="24"/>
              </w:rPr>
              <w:t>（一）本项目水土保持方案确定的防治责任范围与可研批复的内容相符，不存在</w:t>
            </w:r>
            <w:r>
              <w:rPr>
                <w:rFonts w:hint="eastAsia" w:eastAsia="仿宋_GB2312"/>
                <w:color w:val="000000" w:themeColor="text1"/>
                <w:szCs w:val="24"/>
              </w:rPr>
              <w:t>“</w:t>
            </w:r>
            <w:r>
              <w:rPr>
                <w:rFonts w:eastAsia="仿宋_GB2312"/>
                <w:color w:val="000000" w:themeColor="text1"/>
                <w:szCs w:val="24"/>
              </w:rPr>
              <w:t>拆分立项</w:t>
            </w:r>
            <w:r>
              <w:rPr>
                <w:rFonts w:hint="eastAsia" w:eastAsia="仿宋_GB2312"/>
                <w:color w:val="000000" w:themeColor="text1"/>
                <w:szCs w:val="24"/>
              </w:rPr>
              <w:t>”</w:t>
            </w:r>
            <w:r>
              <w:rPr>
                <w:rFonts w:eastAsia="仿宋_GB2312"/>
                <w:color w:val="000000" w:themeColor="text1"/>
                <w:szCs w:val="24"/>
              </w:rPr>
              <w:t>及“以大报小”等问题。</w:t>
            </w:r>
          </w:p>
          <w:p>
            <w:pPr>
              <w:adjustRightInd/>
              <w:spacing w:line="360" w:lineRule="exact"/>
              <w:jc w:val="both"/>
              <w:textAlignment w:val="auto"/>
              <w:rPr>
                <w:rFonts w:eastAsia="仿宋_GB2312"/>
                <w:color w:val="000000" w:themeColor="text1"/>
                <w:szCs w:val="24"/>
              </w:rPr>
            </w:pPr>
            <w:r>
              <w:rPr>
                <w:rFonts w:eastAsia="仿宋_GB2312"/>
                <w:color w:val="000000" w:themeColor="text1"/>
                <w:szCs w:val="24"/>
              </w:rPr>
              <w:t>（二）基本同意本阶段确定的项目水土流失防治责任范围为</w:t>
            </w:r>
            <w:r>
              <w:rPr>
                <w:rFonts w:hint="eastAsia" w:eastAsia="仿宋_GB2312"/>
                <w:color w:val="000000" w:themeColor="text1"/>
                <w:szCs w:val="24"/>
                <w:lang w:val="en-US" w:eastAsia="zh-CN"/>
              </w:rPr>
              <w:t>1.30</w:t>
            </w:r>
            <w:r>
              <w:rPr>
                <w:rFonts w:eastAsia="仿宋_GB2312"/>
                <w:color w:val="000000" w:themeColor="text1"/>
                <w:szCs w:val="24"/>
              </w:rPr>
              <w:t>公顷。</w:t>
            </w:r>
          </w:p>
          <w:p>
            <w:pPr>
              <w:adjustRightInd/>
              <w:spacing w:line="360" w:lineRule="exact"/>
              <w:jc w:val="both"/>
              <w:textAlignment w:val="auto"/>
              <w:rPr>
                <w:rFonts w:eastAsia="仿宋_GB2312"/>
                <w:color w:val="000000" w:themeColor="text1"/>
                <w:szCs w:val="24"/>
              </w:rPr>
            </w:pPr>
            <w:r>
              <w:rPr>
                <w:rFonts w:eastAsia="仿宋_GB2312"/>
                <w:color w:val="000000" w:themeColor="text1"/>
                <w:szCs w:val="24"/>
              </w:rPr>
              <w:t>（三）同意将水土流失防治分区划分为工程建设区</w:t>
            </w:r>
            <w:r>
              <w:rPr>
                <w:rFonts w:hint="eastAsia" w:eastAsia="仿宋_GB2312"/>
                <w:color w:val="000000" w:themeColor="text1"/>
                <w:szCs w:val="24"/>
              </w:rPr>
              <w:t>1</w:t>
            </w:r>
            <w:r>
              <w:rPr>
                <w:rFonts w:eastAsia="仿宋_GB2312"/>
                <w:color w:val="000000" w:themeColor="text1"/>
                <w:szCs w:val="24"/>
              </w:rPr>
              <w:t>个防治分区。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766" w:type="dxa"/>
            <w:vMerge w:val="continue"/>
            <w:tcBorders>
              <w:top w:val="single" w:color="auto" w:sz="4" w:space="0"/>
              <w:left w:val="single" w:color="auto" w:sz="4" w:space="0"/>
              <w:bottom w:val="single" w:color="auto" w:sz="4" w:space="0"/>
              <w:right w:val="single" w:color="auto" w:sz="4" w:space="0"/>
            </w:tcBorders>
          </w:tcPr>
          <w:p>
            <w:pPr>
              <w:adjustRightInd/>
              <w:spacing w:line="360" w:lineRule="exact"/>
              <w:textAlignment w:val="auto"/>
              <w:rPr>
                <w:rFonts w:eastAsia="仿宋_GB2312"/>
                <w:color w:val="000000" w:themeColor="text1"/>
                <w:szCs w:val="24"/>
              </w:rPr>
            </w:pPr>
          </w:p>
        </w:tc>
        <w:tc>
          <w:tcPr>
            <w:tcW w:w="3175" w:type="dxa"/>
            <w:gridSpan w:val="2"/>
            <w:tcBorders>
              <w:top w:val="single" w:color="auto" w:sz="4" w:space="0"/>
              <w:left w:val="single" w:color="auto" w:sz="4" w:space="0"/>
              <w:bottom w:val="single" w:color="auto" w:sz="4" w:space="0"/>
              <w:right w:val="single" w:color="auto" w:sz="4" w:space="0"/>
            </w:tcBorders>
            <w:vAlign w:val="center"/>
          </w:tcPr>
          <w:p>
            <w:pPr>
              <w:adjustRightInd/>
              <w:spacing w:line="360" w:lineRule="exact"/>
              <w:jc w:val="both"/>
              <w:textAlignment w:val="auto"/>
              <w:rPr>
                <w:rFonts w:eastAsia="仿宋_GB2312"/>
                <w:color w:val="000000" w:themeColor="text1"/>
                <w:szCs w:val="24"/>
              </w:rPr>
            </w:pPr>
            <w:r>
              <w:rPr>
                <w:rFonts w:eastAsia="仿宋_GB2312"/>
                <w:color w:val="000000" w:themeColor="text1"/>
                <w:szCs w:val="24"/>
              </w:rPr>
              <w:t>水土流失预测内容、方法和结论</w:t>
            </w:r>
          </w:p>
        </w:tc>
        <w:tc>
          <w:tcPr>
            <w:tcW w:w="5318" w:type="dxa"/>
            <w:tcBorders>
              <w:top w:val="single" w:color="auto" w:sz="4" w:space="0"/>
              <w:left w:val="single" w:color="auto" w:sz="4" w:space="0"/>
              <w:bottom w:val="single" w:color="auto" w:sz="4" w:space="0"/>
              <w:right w:val="single" w:color="auto" w:sz="4" w:space="0"/>
            </w:tcBorders>
          </w:tcPr>
          <w:p>
            <w:pPr>
              <w:adjustRightInd/>
              <w:spacing w:line="360" w:lineRule="exact"/>
              <w:jc w:val="both"/>
              <w:textAlignment w:val="auto"/>
              <w:rPr>
                <w:rFonts w:eastAsia="仿宋_GB2312"/>
                <w:color w:val="000000" w:themeColor="text1"/>
                <w:szCs w:val="24"/>
              </w:rPr>
            </w:pPr>
            <w:r>
              <w:rPr>
                <w:rFonts w:eastAsia="仿宋_GB2312"/>
                <w:color w:val="000000" w:themeColor="text1"/>
                <w:szCs w:val="24"/>
              </w:rPr>
              <w:t>同意水土流失预测内容、方法和结论。经预测，可能造成的土壤流失总量</w:t>
            </w:r>
            <w:r>
              <w:rPr>
                <w:rFonts w:hint="eastAsia" w:eastAsia="仿宋_GB2312"/>
                <w:color w:val="000000" w:themeColor="text1"/>
                <w:szCs w:val="24"/>
                <w:lang w:eastAsia="zh-CN"/>
              </w:rPr>
              <w:t>84.54</w:t>
            </w:r>
            <w:r>
              <w:rPr>
                <w:rFonts w:eastAsia="仿宋_GB2312"/>
                <w:color w:val="000000" w:themeColor="text1"/>
                <w:szCs w:val="24"/>
              </w:rPr>
              <w:t>吨，新增土壤流失量为</w:t>
            </w:r>
            <w:r>
              <w:rPr>
                <w:rFonts w:hint="eastAsia" w:eastAsia="仿宋_GB2312"/>
                <w:color w:val="000000" w:themeColor="text1"/>
                <w:szCs w:val="24"/>
                <w:lang w:eastAsia="zh-CN"/>
              </w:rPr>
              <w:t>75.58</w:t>
            </w:r>
            <w:r>
              <w:rPr>
                <w:rFonts w:eastAsia="仿宋_GB2312"/>
                <w:color w:val="000000" w:themeColor="text1"/>
                <w:szCs w:val="24"/>
              </w:rPr>
              <w:t>吨。</w:t>
            </w:r>
            <w:r>
              <w:rPr>
                <w:rFonts w:hint="eastAsia" w:eastAsia="仿宋_GB2312"/>
                <w:color w:val="000000" w:themeColor="text1"/>
                <w:szCs w:val="24"/>
              </w:rPr>
              <w:t>绿化区域</w:t>
            </w:r>
            <w:r>
              <w:rPr>
                <w:rFonts w:eastAsia="仿宋_GB2312"/>
                <w:color w:val="000000" w:themeColor="text1"/>
                <w:szCs w:val="24"/>
              </w:rPr>
              <w:t>为水土流失防治的重点区域。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6" w:type="dxa"/>
            <w:vMerge w:val="continue"/>
            <w:tcBorders>
              <w:top w:val="single" w:color="auto" w:sz="4" w:space="0"/>
              <w:left w:val="single" w:color="auto" w:sz="4" w:space="0"/>
              <w:bottom w:val="single" w:color="auto" w:sz="4" w:space="0"/>
              <w:right w:val="single" w:color="auto" w:sz="4" w:space="0"/>
            </w:tcBorders>
          </w:tcPr>
          <w:p>
            <w:pPr>
              <w:adjustRightInd/>
              <w:spacing w:line="360" w:lineRule="exact"/>
              <w:textAlignment w:val="auto"/>
              <w:rPr>
                <w:rFonts w:eastAsia="仿宋_GB2312"/>
                <w:color w:val="000000" w:themeColor="text1"/>
                <w:szCs w:val="24"/>
              </w:rPr>
            </w:pPr>
          </w:p>
        </w:tc>
        <w:tc>
          <w:tcPr>
            <w:tcW w:w="3175" w:type="dxa"/>
            <w:gridSpan w:val="2"/>
            <w:tcBorders>
              <w:top w:val="single" w:color="auto" w:sz="4" w:space="0"/>
              <w:left w:val="single" w:color="auto" w:sz="4" w:space="0"/>
              <w:bottom w:val="single" w:color="auto" w:sz="4" w:space="0"/>
              <w:right w:val="single" w:color="auto" w:sz="4" w:space="0"/>
            </w:tcBorders>
            <w:vAlign w:val="center"/>
          </w:tcPr>
          <w:p>
            <w:pPr>
              <w:adjustRightInd/>
              <w:spacing w:line="360" w:lineRule="exact"/>
              <w:jc w:val="both"/>
              <w:textAlignment w:val="auto"/>
              <w:rPr>
                <w:rFonts w:eastAsia="仿宋_GB2312"/>
                <w:color w:val="000000" w:themeColor="text1"/>
                <w:szCs w:val="24"/>
              </w:rPr>
            </w:pPr>
            <w:r>
              <w:rPr>
                <w:rFonts w:eastAsia="仿宋_GB2312"/>
                <w:color w:val="000000" w:themeColor="text1"/>
                <w:szCs w:val="24"/>
              </w:rPr>
              <w:t>防治标准及防治目标</w:t>
            </w:r>
          </w:p>
        </w:tc>
        <w:tc>
          <w:tcPr>
            <w:tcW w:w="5318" w:type="dxa"/>
            <w:tcBorders>
              <w:top w:val="single" w:color="auto" w:sz="4" w:space="0"/>
              <w:left w:val="single" w:color="auto" w:sz="4" w:space="0"/>
              <w:bottom w:val="single" w:color="auto" w:sz="4" w:space="0"/>
              <w:right w:val="single" w:color="auto" w:sz="4" w:space="0"/>
            </w:tcBorders>
          </w:tcPr>
          <w:p>
            <w:pPr>
              <w:spacing w:line="240" w:lineRule="auto"/>
              <w:rPr>
                <w:rFonts w:eastAsia="仿宋_GB2312"/>
                <w:color w:val="000000" w:themeColor="text1"/>
                <w:szCs w:val="24"/>
              </w:rPr>
            </w:pPr>
            <w:r>
              <w:rPr>
                <w:rFonts w:eastAsia="仿宋_GB2312"/>
                <w:color w:val="000000" w:themeColor="text1"/>
                <w:szCs w:val="24"/>
              </w:rPr>
              <w:t>同意执行东北黑土区水土流失防治</w:t>
            </w:r>
            <w:r>
              <w:rPr>
                <w:rFonts w:hint="eastAsia" w:eastAsia="仿宋_GB2312"/>
                <w:color w:val="000000" w:themeColor="text1"/>
                <w:szCs w:val="24"/>
              </w:rPr>
              <w:t>一</w:t>
            </w:r>
            <w:r>
              <w:rPr>
                <w:rFonts w:eastAsia="仿宋_GB2312"/>
                <w:color w:val="000000" w:themeColor="text1"/>
                <w:szCs w:val="24"/>
              </w:rPr>
              <w:t>级标准。同意设计水平年水土流失防治指标为：水土流失治理度</w:t>
            </w:r>
            <w:r>
              <w:rPr>
                <w:rFonts w:hint="eastAsia" w:eastAsia="仿宋_GB2312"/>
                <w:color w:val="000000" w:themeColor="text1"/>
              </w:rPr>
              <w:t>97％，土壤流失控制比1.0，渣土防护率98%，林草植被恢复率97％，林草覆盖率</w:t>
            </w:r>
            <w:r>
              <w:rPr>
                <w:rFonts w:hint="eastAsia" w:eastAsia="仿宋_GB2312"/>
                <w:color w:val="000000" w:themeColor="text1"/>
                <w:lang w:val="en-US" w:eastAsia="zh-CN"/>
              </w:rPr>
              <w:t>26</w:t>
            </w:r>
            <w:r>
              <w:rPr>
                <w:rFonts w:hint="eastAsia" w:eastAsia="仿宋_GB2312"/>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766" w:type="dxa"/>
            <w:vMerge w:val="continue"/>
            <w:tcBorders>
              <w:top w:val="single" w:color="auto" w:sz="4" w:space="0"/>
              <w:left w:val="single" w:color="auto" w:sz="4" w:space="0"/>
              <w:bottom w:val="single" w:color="auto" w:sz="4" w:space="0"/>
              <w:right w:val="single" w:color="auto" w:sz="4" w:space="0"/>
            </w:tcBorders>
          </w:tcPr>
          <w:p>
            <w:pPr>
              <w:adjustRightInd/>
              <w:spacing w:line="360" w:lineRule="exact"/>
              <w:textAlignment w:val="auto"/>
              <w:rPr>
                <w:rFonts w:eastAsia="仿宋_GB2312"/>
                <w:color w:val="000000" w:themeColor="text1"/>
                <w:szCs w:val="24"/>
              </w:rPr>
            </w:pPr>
          </w:p>
        </w:tc>
        <w:tc>
          <w:tcPr>
            <w:tcW w:w="3175" w:type="dxa"/>
            <w:gridSpan w:val="2"/>
            <w:tcBorders>
              <w:top w:val="single" w:color="auto" w:sz="4" w:space="0"/>
              <w:left w:val="single" w:color="auto" w:sz="4" w:space="0"/>
              <w:bottom w:val="single" w:color="auto" w:sz="4" w:space="0"/>
              <w:right w:val="single" w:color="auto" w:sz="4" w:space="0"/>
            </w:tcBorders>
            <w:vAlign w:val="center"/>
          </w:tcPr>
          <w:p>
            <w:pPr>
              <w:adjustRightInd/>
              <w:spacing w:line="360" w:lineRule="exact"/>
              <w:jc w:val="both"/>
              <w:textAlignment w:val="auto"/>
              <w:rPr>
                <w:rFonts w:eastAsia="仿宋_GB2312"/>
                <w:color w:val="000000" w:themeColor="text1"/>
                <w:szCs w:val="24"/>
              </w:rPr>
            </w:pPr>
            <w:r>
              <w:rPr>
                <w:rFonts w:eastAsia="仿宋_GB2312"/>
                <w:color w:val="000000" w:themeColor="text1"/>
                <w:szCs w:val="24"/>
              </w:rPr>
              <w:t>措施体系及分区防治措施布设</w:t>
            </w:r>
          </w:p>
        </w:tc>
        <w:tc>
          <w:tcPr>
            <w:tcW w:w="5318" w:type="dxa"/>
            <w:tcBorders>
              <w:top w:val="single" w:color="auto" w:sz="4" w:space="0"/>
              <w:left w:val="single" w:color="auto" w:sz="4" w:space="0"/>
              <w:bottom w:val="single" w:color="auto" w:sz="4" w:space="0"/>
              <w:right w:val="single" w:color="auto" w:sz="4" w:space="0"/>
            </w:tcBorders>
          </w:tcPr>
          <w:p>
            <w:pPr>
              <w:adjustRightInd/>
              <w:spacing w:line="360" w:lineRule="exact"/>
              <w:jc w:val="both"/>
              <w:textAlignment w:val="auto"/>
              <w:rPr>
                <w:rFonts w:eastAsia="仿宋_GB2312"/>
                <w:color w:val="000000" w:themeColor="text1"/>
                <w:szCs w:val="24"/>
              </w:rPr>
            </w:pPr>
            <w:r>
              <w:rPr>
                <w:rFonts w:eastAsia="仿宋_GB2312"/>
                <w:color w:val="000000" w:themeColor="text1"/>
                <w:szCs w:val="24"/>
              </w:rPr>
              <w:t>基本同意措施体系及防治措施布设，主要措施包括</w:t>
            </w:r>
            <w:r>
              <w:rPr>
                <w:rFonts w:hint="eastAsia" w:eastAsia="仿宋_GB2312"/>
                <w:color w:val="000000" w:themeColor="text1"/>
                <w:szCs w:val="24"/>
              </w:rPr>
              <w:t>雨水管线及雨水口、</w:t>
            </w:r>
            <w:r>
              <w:rPr>
                <w:rFonts w:eastAsia="仿宋_GB2312"/>
                <w:color w:val="000000" w:themeColor="text1"/>
                <w:szCs w:val="24"/>
              </w:rPr>
              <w:t>临时堆土防护、</w:t>
            </w:r>
            <w:r>
              <w:rPr>
                <w:rFonts w:hint="eastAsia" w:eastAsia="仿宋_GB2312"/>
                <w:color w:val="000000" w:themeColor="text1"/>
                <w:szCs w:val="24"/>
              </w:rPr>
              <w:t>绿化用土回覆、全面整地和绿化</w:t>
            </w:r>
            <w:r>
              <w:rPr>
                <w:rFonts w:eastAsia="仿宋_GB2312"/>
                <w:color w:val="000000" w:themeColor="text1"/>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766" w:type="dxa"/>
            <w:vMerge w:val="continue"/>
            <w:tcBorders>
              <w:top w:val="single" w:color="auto" w:sz="4" w:space="0"/>
              <w:left w:val="single" w:color="auto" w:sz="4" w:space="0"/>
              <w:bottom w:val="single" w:color="auto" w:sz="4" w:space="0"/>
              <w:right w:val="single" w:color="auto" w:sz="4" w:space="0"/>
            </w:tcBorders>
          </w:tcPr>
          <w:p>
            <w:pPr>
              <w:adjustRightInd/>
              <w:spacing w:line="360" w:lineRule="exact"/>
              <w:textAlignment w:val="auto"/>
              <w:rPr>
                <w:rFonts w:eastAsia="仿宋_GB2312"/>
                <w:color w:val="000000" w:themeColor="text1"/>
                <w:szCs w:val="24"/>
              </w:rPr>
            </w:pPr>
          </w:p>
        </w:tc>
        <w:tc>
          <w:tcPr>
            <w:tcW w:w="3175" w:type="dxa"/>
            <w:gridSpan w:val="2"/>
            <w:tcBorders>
              <w:top w:val="single" w:color="auto" w:sz="4" w:space="0"/>
              <w:left w:val="single" w:color="auto" w:sz="4" w:space="0"/>
              <w:bottom w:val="single" w:color="auto" w:sz="4" w:space="0"/>
              <w:right w:val="single" w:color="auto" w:sz="4" w:space="0"/>
            </w:tcBorders>
            <w:vAlign w:val="center"/>
          </w:tcPr>
          <w:p>
            <w:pPr>
              <w:adjustRightInd/>
              <w:spacing w:line="360" w:lineRule="exact"/>
              <w:jc w:val="both"/>
              <w:textAlignment w:val="auto"/>
              <w:rPr>
                <w:rFonts w:eastAsia="仿宋_GB2312"/>
                <w:color w:val="000000" w:themeColor="text1"/>
                <w:szCs w:val="24"/>
              </w:rPr>
            </w:pPr>
            <w:r>
              <w:rPr>
                <w:rFonts w:eastAsia="仿宋_GB2312"/>
                <w:color w:val="000000" w:themeColor="text1"/>
                <w:szCs w:val="24"/>
              </w:rPr>
              <w:t>施工组织管理</w:t>
            </w:r>
          </w:p>
        </w:tc>
        <w:tc>
          <w:tcPr>
            <w:tcW w:w="5318" w:type="dxa"/>
            <w:tcBorders>
              <w:top w:val="single" w:color="auto" w:sz="4" w:space="0"/>
              <w:left w:val="single" w:color="auto" w:sz="4" w:space="0"/>
              <w:bottom w:val="single" w:color="auto" w:sz="4" w:space="0"/>
              <w:right w:val="single" w:color="auto" w:sz="4" w:space="0"/>
            </w:tcBorders>
            <w:vAlign w:val="center"/>
          </w:tcPr>
          <w:p>
            <w:pPr>
              <w:adjustRightInd/>
              <w:spacing w:line="360" w:lineRule="exact"/>
              <w:jc w:val="both"/>
              <w:textAlignment w:val="auto"/>
              <w:rPr>
                <w:rFonts w:eastAsia="仿宋_GB2312"/>
                <w:color w:val="000000" w:themeColor="text1"/>
                <w:szCs w:val="24"/>
              </w:rPr>
            </w:pPr>
            <w:r>
              <w:rPr>
                <w:rFonts w:eastAsia="仿宋_GB2312"/>
                <w:color w:val="000000" w:themeColor="text1"/>
                <w:szCs w:val="24"/>
              </w:rPr>
              <w:t>同意本工程施工组织管理。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766" w:type="dxa"/>
            <w:vMerge w:val="continue"/>
            <w:tcBorders>
              <w:top w:val="single" w:color="auto" w:sz="4" w:space="0"/>
              <w:left w:val="single" w:color="auto" w:sz="4" w:space="0"/>
              <w:bottom w:val="single" w:color="auto" w:sz="4" w:space="0"/>
              <w:right w:val="single" w:color="auto" w:sz="4" w:space="0"/>
            </w:tcBorders>
          </w:tcPr>
          <w:p>
            <w:pPr>
              <w:adjustRightInd/>
              <w:spacing w:line="360" w:lineRule="exact"/>
              <w:textAlignment w:val="auto"/>
              <w:rPr>
                <w:rFonts w:eastAsia="仿宋_GB2312"/>
                <w:color w:val="000000" w:themeColor="text1"/>
                <w:szCs w:val="24"/>
              </w:rPr>
            </w:pPr>
          </w:p>
        </w:tc>
        <w:tc>
          <w:tcPr>
            <w:tcW w:w="3175" w:type="dxa"/>
            <w:gridSpan w:val="2"/>
            <w:tcBorders>
              <w:top w:val="single" w:color="auto" w:sz="4" w:space="0"/>
              <w:left w:val="single" w:color="auto" w:sz="4" w:space="0"/>
              <w:bottom w:val="single" w:color="auto" w:sz="4" w:space="0"/>
              <w:right w:val="single" w:color="auto" w:sz="4" w:space="0"/>
            </w:tcBorders>
            <w:vAlign w:val="center"/>
          </w:tcPr>
          <w:p>
            <w:pPr>
              <w:adjustRightInd/>
              <w:spacing w:line="360" w:lineRule="exact"/>
              <w:jc w:val="both"/>
              <w:textAlignment w:val="auto"/>
              <w:rPr>
                <w:rFonts w:eastAsia="仿宋_GB2312"/>
                <w:color w:val="000000" w:themeColor="text1"/>
                <w:szCs w:val="24"/>
              </w:rPr>
            </w:pPr>
            <w:r>
              <w:rPr>
                <w:rFonts w:eastAsia="仿宋_GB2312"/>
                <w:color w:val="000000" w:themeColor="text1"/>
                <w:szCs w:val="24"/>
              </w:rPr>
              <w:t>水土保持监测</w:t>
            </w:r>
          </w:p>
        </w:tc>
        <w:tc>
          <w:tcPr>
            <w:tcW w:w="5318" w:type="dxa"/>
            <w:tcBorders>
              <w:top w:val="single" w:color="auto" w:sz="4" w:space="0"/>
              <w:left w:val="single" w:color="auto" w:sz="4" w:space="0"/>
              <w:bottom w:val="single" w:color="auto" w:sz="4" w:space="0"/>
              <w:right w:val="single" w:color="auto" w:sz="4" w:space="0"/>
            </w:tcBorders>
          </w:tcPr>
          <w:p>
            <w:pPr>
              <w:pStyle w:val="10"/>
              <w:rPr>
                <w:rFonts w:eastAsia="仿宋_GB2312"/>
                <w:color w:val="000000" w:themeColor="text1"/>
                <w:szCs w:val="24"/>
              </w:rPr>
            </w:pPr>
            <w:r>
              <w:rPr>
                <w:rFonts w:eastAsia="仿宋_GB2312"/>
                <w:color w:val="000000" w:themeColor="text1"/>
                <w:szCs w:val="24"/>
              </w:rPr>
              <w:t>基本同意水土保持监测范围、时段、内容和方法。本项目主要采用</w:t>
            </w:r>
            <w:r>
              <w:rPr>
                <w:rFonts w:hint="eastAsia" w:eastAsia="仿宋_GB2312"/>
                <w:color w:val="000000" w:themeColor="text1"/>
                <w:szCs w:val="24"/>
              </w:rPr>
              <w:t>历史遥感影像分析、资料查阅、</w:t>
            </w:r>
            <w:r>
              <w:rPr>
                <w:rFonts w:eastAsia="仿宋_GB2312"/>
                <w:color w:val="000000" w:themeColor="text1"/>
                <w:szCs w:val="24"/>
              </w:rPr>
              <w:t>地面观测、实地调查量测与无人机遥感相结合的方法。</w:t>
            </w:r>
            <w:r>
              <w:rPr>
                <w:rFonts w:eastAsia="仿宋_GB2312"/>
                <w:color w:val="000000" w:themeColor="text1"/>
                <w:kern w:val="2"/>
                <w:szCs w:val="24"/>
              </w:rPr>
              <w:t>确定</w:t>
            </w:r>
            <w:r>
              <w:rPr>
                <w:rFonts w:eastAsia="仿宋_GB2312"/>
                <w:color w:val="000000" w:themeColor="text1"/>
                <w:szCs w:val="24"/>
              </w:rPr>
              <w:t>施工期为水土保持监测重点时段，监测重点</w:t>
            </w:r>
            <w:r>
              <w:rPr>
                <w:rFonts w:hint="eastAsia" w:eastAsia="仿宋_GB2312"/>
                <w:color w:val="000000" w:themeColor="text1"/>
                <w:szCs w:val="24"/>
              </w:rPr>
              <w:t>区域</w:t>
            </w:r>
            <w:r>
              <w:rPr>
                <w:rFonts w:eastAsia="仿宋_GB2312"/>
                <w:color w:val="000000" w:themeColor="text1"/>
                <w:szCs w:val="24"/>
              </w:rPr>
              <w:t>为</w:t>
            </w:r>
            <w:r>
              <w:rPr>
                <w:rFonts w:hint="eastAsia" w:eastAsia="仿宋_GB2312"/>
                <w:color w:val="000000" w:themeColor="text1"/>
                <w:szCs w:val="24"/>
              </w:rPr>
              <w:t>绿化区域</w:t>
            </w:r>
            <w:r>
              <w:rPr>
                <w:rFonts w:eastAsia="仿宋_GB2312"/>
                <w:color w:val="000000" w:themeColor="text1"/>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766" w:type="dxa"/>
            <w:vMerge w:val="continue"/>
            <w:tcBorders>
              <w:top w:val="single" w:color="auto" w:sz="4" w:space="0"/>
              <w:left w:val="single" w:color="auto" w:sz="4" w:space="0"/>
              <w:bottom w:val="single" w:color="auto" w:sz="4" w:space="0"/>
              <w:right w:val="single" w:color="auto" w:sz="4" w:space="0"/>
            </w:tcBorders>
          </w:tcPr>
          <w:p>
            <w:pPr>
              <w:adjustRightInd/>
              <w:spacing w:line="360" w:lineRule="exact"/>
              <w:textAlignment w:val="auto"/>
              <w:rPr>
                <w:rFonts w:eastAsia="仿宋_GB2312"/>
                <w:color w:val="000000" w:themeColor="text1"/>
                <w:szCs w:val="24"/>
              </w:rPr>
            </w:pPr>
          </w:p>
        </w:tc>
        <w:tc>
          <w:tcPr>
            <w:tcW w:w="3175" w:type="dxa"/>
            <w:gridSpan w:val="2"/>
            <w:tcBorders>
              <w:top w:val="single" w:color="auto" w:sz="4" w:space="0"/>
              <w:left w:val="single" w:color="auto" w:sz="4" w:space="0"/>
              <w:bottom w:val="single" w:color="auto" w:sz="4" w:space="0"/>
              <w:right w:val="single" w:color="auto" w:sz="4" w:space="0"/>
            </w:tcBorders>
            <w:vAlign w:val="center"/>
          </w:tcPr>
          <w:p>
            <w:pPr>
              <w:adjustRightInd/>
              <w:spacing w:line="360" w:lineRule="exact"/>
              <w:jc w:val="both"/>
              <w:textAlignment w:val="auto"/>
              <w:rPr>
                <w:rFonts w:eastAsia="仿宋_GB2312"/>
                <w:color w:val="000000" w:themeColor="text1"/>
                <w:szCs w:val="24"/>
              </w:rPr>
            </w:pPr>
            <w:r>
              <w:rPr>
                <w:rFonts w:eastAsia="仿宋_GB2312"/>
                <w:color w:val="000000" w:themeColor="text1"/>
                <w:szCs w:val="24"/>
              </w:rPr>
              <w:t>投资估算及效益分析</w:t>
            </w:r>
          </w:p>
        </w:tc>
        <w:tc>
          <w:tcPr>
            <w:tcW w:w="5318" w:type="dxa"/>
            <w:tcBorders>
              <w:top w:val="single" w:color="auto" w:sz="4" w:space="0"/>
              <w:left w:val="single" w:color="auto" w:sz="4" w:space="0"/>
              <w:bottom w:val="single" w:color="auto" w:sz="4" w:space="0"/>
              <w:right w:val="single" w:color="auto" w:sz="4" w:space="0"/>
            </w:tcBorders>
            <w:vAlign w:val="center"/>
          </w:tcPr>
          <w:p>
            <w:pPr>
              <w:adjustRightInd/>
              <w:spacing w:line="360" w:lineRule="exact"/>
              <w:jc w:val="both"/>
              <w:textAlignment w:val="auto"/>
              <w:rPr>
                <w:rFonts w:eastAsia="仿宋_GB2312"/>
                <w:color w:val="000000" w:themeColor="text1"/>
                <w:szCs w:val="24"/>
              </w:rPr>
            </w:pPr>
            <w:r>
              <w:rPr>
                <w:rFonts w:eastAsia="仿宋_GB2312"/>
                <w:color w:val="000000" w:themeColor="text1"/>
                <w:szCs w:val="24"/>
              </w:rPr>
              <w:t>同意水土保持投资估算的编制依据和方法。基本同意建设期水土保持总投资为</w:t>
            </w:r>
            <w:r>
              <w:rPr>
                <w:rFonts w:hint="eastAsia" w:eastAsia="仿宋_GB2312"/>
                <w:color w:val="000000" w:themeColor="text1"/>
                <w:szCs w:val="24"/>
                <w:lang w:eastAsia="zh-CN"/>
              </w:rPr>
              <w:t>57.15</w:t>
            </w:r>
            <w:r>
              <w:rPr>
                <w:rFonts w:eastAsia="仿宋_GB2312"/>
                <w:color w:val="000000" w:themeColor="text1"/>
                <w:szCs w:val="24"/>
              </w:rPr>
              <w:t>万元，水土保持补偿费</w:t>
            </w:r>
            <w:r>
              <w:rPr>
                <w:rFonts w:hint="eastAsia" w:eastAsia="仿宋_GB2312"/>
                <w:color w:val="000000" w:themeColor="text1"/>
                <w:szCs w:val="24"/>
                <w:lang w:eastAsia="zh-CN"/>
              </w:rPr>
              <w:t>0.59</w:t>
            </w:r>
            <w:r>
              <w:rPr>
                <w:rFonts w:eastAsia="仿宋_GB2312"/>
                <w:color w:val="000000" w:themeColor="text1"/>
                <w:szCs w:val="24"/>
              </w:rPr>
              <w:t>万元。</w:t>
            </w:r>
          </w:p>
          <w:p>
            <w:pPr>
              <w:adjustRightInd/>
              <w:spacing w:line="360" w:lineRule="exact"/>
              <w:jc w:val="both"/>
              <w:textAlignment w:val="auto"/>
              <w:rPr>
                <w:rFonts w:eastAsia="仿宋_GB2312"/>
                <w:color w:val="000000" w:themeColor="text1"/>
                <w:szCs w:val="24"/>
              </w:rPr>
            </w:pPr>
            <w:r>
              <w:rPr>
                <w:rFonts w:eastAsia="仿宋_GB2312"/>
                <w:color w:val="000000" w:themeColor="text1"/>
                <w:szCs w:val="24"/>
              </w:rPr>
              <w:t>基本同意水土保持效益分析结论。建设区水土流失可基本得到控制，生态环境得到一定程度恢复。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1541" w:type="dxa"/>
            <w:gridSpan w:val="2"/>
            <w:vMerge w:val="restart"/>
            <w:tcBorders>
              <w:top w:val="single" w:color="auto" w:sz="4" w:space="0"/>
              <w:left w:val="single" w:color="auto" w:sz="4" w:space="0"/>
              <w:right w:val="single" w:color="auto" w:sz="4" w:space="0"/>
            </w:tcBorders>
          </w:tcPr>
          <w:p>
            <w:pPr>
              <w:adjustRightInd/>
              <w:spacing w:line="560" w:lineRule="exact"/>
              <w:textAlignment w:val="auto"/>
              <w:rPr>
                <w:rFonts w:eastAsia="仿宋_GB2312"/>
                <w:color w:val="000000" w:themeColor="text1"/>
                <w:szCs w:val="24"/>
              </w:rPr>
            </w:pPr>
          </w:p>
        </w:tc>
        <w:tc>
          <w:tcPr>
            <w:tcW w:w="7718" w:type="dxa"/>
            <w:gridSpan w:val="2"/>
            <w:tcBorders>
              <w:top w:val="single" w:color="auto" w:sz="4" w:space="0"/>
              <w:left w:val="single" w:color="auto" w:sz="4" w:space="0"/>
              <w:bottom w:val="single" w:color="auto" w:sz="4" w:space="0"/>
              <w:right w:val="single" w:color="auto" w:sz="4" w:space="0"/>
            </w:tcBorders>
          </w:tcPr>
          <w:p>
            <w:pPr>
              <w:adjustRightInd/>
              <w:spacing w:line="360" w:lineRule="exact"/>
              <w:jc w:val="both"/>
              <w:textAlignment w:val="auto"/>
              <w:rPr>
                <w:rFonts w:eastAsia="仿宋_GB2312"/>
                <w:color w:val="000000" w:themeColor="text1"/>
                <w:szCs w:val="24"/>
              </w:rPr>
            </w:pPr>
            <w:r>
              <w:rPr>
                <w:rFonts w:eastAsia="仿宋_GB2312"/>
                <w:color w:val="000000" w:themeColor="text1"/>
                <w:szCs w:val="24"/>
              </w:rPr>
              <w:t>项目所在地水行政主管部门意见建议：</w:t>
            </w:r>
          </w:p>
          <w:p>
            <w:pPr>
              <w:adjustRightInd/>
              <w:spacing w:line="360" w:lineRule="exact"/>
              <w:jc w:val="both"/>
              <w:textAlignment w:val="auto"/>
              <w:rPr>
                <w:rFonts w:eastAsia="仿宋_GB2312"/>
                <w:color w:val="000000" w:themeColor="text1"/>
                <w:szCs w:val="24"/>
              </w:rPr>
            </w:pPr>
            <w:r>
              <w:rPr>
                <w:rFonts w:eastAsia="仿宋_GB2312"/>
                <w:color w:val="000000" w:themeColor="text1"/>
                <w:szCs w:val="24"/>
              </w:rPr>
              <w:t>经与</w:t>
            </w:r>
            <w:r>
              <w:rPr>
                <w:rFonts w:hint="eastAsia" w:eastAsia="仿宋_GB2312"/>
                <w:color w:val="000000" w:themeColor="text1"/>
                <w:szCs w:val="24"/>
              </w:rPr>
              <w:t>农安县</w:t>
            </w:r>
            <w:r>
              <w:rPr>
                <w:rFonts w:eastAsia="仿宋_GB2312"/>
                <w:color w:val="000000" w:themeColor="text1"/>
                <w:szCs w:val="24"/>
              </w:rPr>
              <w:t>水利局沟通，本项目不存在违反水土保持技术标准的情况，同意开展水土保持方案编制、审查及备案。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1" w:hRule="atLeast"/>
        </w:trPr>
        <w:tc>
          <w:tcPr>
            <w:tcW w:w="1541" w:type="dxa"/>
            <w:gridSpan w:val="2"/>
            <w:vMerge w:val="continue"/>
            <w:tcBorders>
              <w:top w:val="single" w:color="auto" w:sz="4" w:space="0"/>
              <w:left w:val="single" w:color="auto" w:sz="4" w:space="0"/>
              <w:bottom w:val="single" w:color="auto" w:sz="4" w:space="0"/>
              <w:right w:val="single" w:color="auto" w:sz="4" w:space="0"/>
            </w:tcBorders>
          </w:tcPr>
          <w:p>
            <w:pPr>
              <w:adjustRightInd/>
              <w:spacing w:line="560" w:lineRule="exact"/>
              <w:textAlignment w:val="auto"/>
              <w:rPr>
                <w:rFonts w:eastAsia="仿宋_GB2312"/>
                <w:color w:val="000000" w:themeColor="text1"/>
                <w:szCs w:val="24"/>
              </w:rPr>
            </w:pPr>
          </w:p>
        </w:tc>
        <w:tc>
          <w:tcPr>
            <w:tcW w:w="7718" w:type="dxa"/>
            <w:gridSpan w:val="2"/>
            <w:tcBorders>
              <w:top w:val="single" w:color="auto" w:sz="4" w:space="0"/>
              <w:left w:val="single" w:color="auto" w:sz="4" w:space="0"/>
              <w:bottom w:val="nil"/>
              <w:right w:val="single" w:color="auto" w:sz="4" w:space="0"/>
            </w:tcBorders>
            <w:vAlign w:val="center"/>
          </w:tcPr>
          <w:p>
            <w:pPr>
              <w:adjustRightInd/>
              <w:spacing w:line="360" w:lineRule="exact"/>
              <w:jc w:val="both"/>
              <w:textAlignment w:val="auto"/>
              <w:rPr>
                <w:rFonts w:eastAsia="仿宋_GB2312"/>
                <w:color w:val="000000" w:themeColor="text1"/>
                <w:szCs w:val="24"/>
              </w:rPr>
            </w:pPr>
            <w:r>
              <w:rPr>
                <w:rFonts w:eastAsia="仿宋_GB2312"/>
                <w:color w:val="000000" w:themeColor="text1"/>
                <w:szCs w:val="24"/>
              </w:rPr>
              <w:drawing>
                <wp:anchor distT="0" distB="0" distL="114300" distR="114300" simplePos="0" relativeHeight="251684864" behindDoc="0" locked="0" layoutInCell="1" allowOverlap="1">
                  <wp:simplePos x="0" y="0"/>
                  <wp:positionH relativeFrom="column">
                    <wp:posOffset>191770</wp:posOffset>
                  </wp:positionH>
                  <wp:positionV relativeFrom="paragraph">
                    <wp:posOffset>1140460</wp:posOffset>
                  </wp:positionV>
                  <wp:extent cx="2584450" cy="1631315"/>
                  <wp:effectExtent l="0" t="0" r="6350" b="6985"/>
                  <wp:wrapNone/>
                  <wp:docPr id="10" name="图片 10" descr="fea5140ac9ecf3c9cfda3c79a288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ea5140ac9ecf3c9cfda3c79a28825a"/>
                          <pic:cNvPicPr>
                            <a:picLocks noChangeAspect="1"/>
                          </pic:cNvPicPr>
                        </pic:nvPicPr>
                        <pic:blipFill>
                          <a:blip r:embed="rId44"/>
                          <a:stretch>
                            <a:fillRect/>
                          </a:stretch>
                        </pic:blipFill>
                        <pic:spPr>
                          <a:xfrm>
                            <a:off x="0" y="0"/>
                            <a:ext cx="2584450" cy="1631315"/>
                          </a:xfrm>
                          <a:prstGeom prst="rect">
                            <a:avLst/>
                          </a:prstGeom>
                        </pic:spPr>
                      </pic:pic>
                    </a:graphicData>
                  </a:graphic>
                </wp:anchor>
              </w:drawing>
            </w:r>
            <w:r>
              <w:rPr>
                <w:rFonts w:eastAsia="仿宋_GB2312"/>
                <w:color w:val="000000" w:themeColor="text1"/>
                <w:szCs w:val="24"/>
              </w:rPr>
              <w:t>该水土保持方案报告表符合水土保持法律法规、技术标准及有关文件的规定，同意</w:t>
            </w:r>
            <w:r>
              <w:rPr>
                <w:rFonts w:hint="eastAsia" w:eastAsia="仿宋_GB2312"/>
                <w:color w:val="000000" w:themeColor="text1"/>
                <w:szCs w:val="24"/>
                <w:lang w:eastAsia="zh-CN"/>
              </w:rPr>
              <w:t>农安县东兴实业有限公司蒸压加气泥凝块年产40万立方项目</w:t>
            </w:r>
            <w:r>
              <w:rPr>
                <w:rFonts w:eastAsia="仿宋_GB2312"/>
                <w:color w:val="000000" w:themeColor="text1"/>
                <w:szCs w:val="24"/>
              </w:rPr>
              <w:t>水土保持方案报告表通过技术评审。经向吉林省水利厅、</w:t>
            </w:r>
            <w:r>
              <w:rPr>
                <w:rFonts w:hint="eastAsia" w:eastAsia="仿宋_GB2312"/>
                <w:color w:val="000000" w:themeColor="text1"/>
                <w:szCs w:val="24"/>
              </w:rPr>
              <w:t>农安县</w:t>
            </w:r>
            <w:r>
              <w:rPr>
                <w:rFonts w:eastAsia="仿宋_GB2312"/>
                <w:color w:val="000000" w:themeColor="text1"/>
                <w:szCs w:val="24"/>
              </w:rPr>
              <w:t>水利局汇报、征求意见，同意修改完善后备案。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1541" w:type="dxa"/>
            <w:gridSpan w:val="2"/>
            <w:vMerge w:val="continue"/>
            <w:tcBorders>
              <w:top w:val="single" w:color="auto" w:sz="4" w:space="0"/>
              <w:left w:val="single" w:color="auto" w:sz="4" w:space="0"/>
              <w:bottom w:val="single" w:color="auto" w:sz="4" w:space="0"/>
              <w:right w:val="single" w:color="auto" w:sz="4" w:space="0"/>
            </w:tcBorders>
          </w:tcPr>
          <w:p>
            <w:pPr>
              <w:adjustRightInd/>
              <w:spacing w:line="560" w:lineRule="exact"/>
              <w:textAlignment w:val="auto"/>
              <w:rPr>
                <w:rFonts w:eastAsia="仿宋_GB2312"/>
                <w:color w:val="000000" w:themeColor="text1"/>
                <w:szCs w:val="24"/>
              </w:rPr>
            </w:pPr>
          </w:p>
        </w:tc>
        <w:tc>
          <w:tcPr>
            <w:tcW w:w="7718" w:type="dxa"/>
            <w:gridSpan w:val="2"/>
            <w:tcBorders>
              <w:top w:val="nil"/>
              <w:left w:val="single" w:color="auto" w:sz="4" w:space="0"/>
              <w:bottom w:val="single" w:color="auto" w:sz="4" w:space="0"/>
              <w:right w:val="single" w:color="auto" w:sz="4" w:space="0"/>
            </w:tcBorders>
            <w:vAlign w:val="center"/>
          </w:tcPr>
          <w:p>
            <w:pPr>
              <w:spacing w:line="360" w:lineRule="exact"/>
              <w:ind w:left="5472" w:leftChars="2280"/>
              <w:rPr>
                <w:rFonts w:eastAsia="仿宋_GB2312"/>
                <w:color w:val="000000" w:themeColor="text1"/>
                <w:szCs w:val="24"/>
              </w:rPr>
            </w:pPr>
            <w:r>
              <w:rPr>
                <w:rFonts w:eastAsia="仿宋_GB2312"/>
                <w:color w:val="000000" w:themeColor="text1"/>
                <w:szCs w:val="24"/>
              </w:rPr>
              <w:t>已于</w:t>
            </w:r>
            <w:r>
              <w:rPr>
                <w:rStyle w:val="26"/>
                <w:rFonts w:eastAsia="仿宋_GB2312"/>
                <w:b w:val="0"/>
                <w:color w:val="000000" w:themeColor="text1"/>
                <w:szCs w:val="24"/>
                <w:u w:val="single"/>
                <w:shd w:val="clear" w:color="auto" w:fill="FFFFFF"/>
                <w:lang w:bidi="ar"/>
              </w:rPr>
              <w:t>202</w:t>
            </w:r>
            <w:r>
              <w:rPr>
                <w:rStyle w:val="26"/>
                <w:rFonts w:hint="eastAsia" w:eastAsia="仿宋_GB2312"/>
                <w:b w:val="0"/>
                <w:color w:val="000000" w:themeColor="text1"/>
                <w:szCs w:val="24"/>
                <w:u w:val="single"/>
                <w:shd w:val="clear" w:color="auto" w:fill="FFFFFF"/>
                <w:lang w:val="en-US" w:eastAsia="zh-CN" w:bidi="ar"/>
              </w:rPr>
              <w:t>3</w:t>
            </w:r>
            <w:r>
              <w:rPr>
                <w:rStyle w:val="26"/>
                <w:rFonts w:eastAsia="仿宋_GB2312"/>
                <w:b w:val="0"/>
                <w:color w:val="000000" w:themeColor="text1"/>
                <w:szCs w:val="24"/>
                <w:u w:val="single"/>
                <w:shd w:val="clear" w:color="auto" w:fill="FFFFFF"/>
                <w:lang w:bidi="ar"/>
              </w:rPr>
              <w:t>年</w:t>
            </w:r>
            <w:r>
              <w:rPr>
                <w:rStyle w:val="26"/>
                <w:rFonts w:hint="eastAsia" w:eastAsia="仿宋_GB2312"/>
                <w:b w:val="0"/>
                <w:color w:val="000000" w:themeColor="text1"/>
                <w:szCs w:val="24"/>
                <w:u w:val="single"/>
                <w:shd w:val="clear" w:color="auto" w:fill="FFFFFF"/>
                <w:lang w:val="en-US" w:eastAsia="zh-CN" w:bidi="ar"/>
              </w:rPr>
              <w:t>1</w:t>
            </w:r>
            <w:r>
              <w:rPr>
                <w:rStyle w:val="26"/>
                <w:rFonts w:eastAsia="仿宋_GB2312"/>
                <w:b w:val="0"/>
                <w:color w:val="000000" w:themeColor="text1"/>
                <w:szCs w:val="24"/>
                <w:u w:val="single"/>
                <w:shd w:val="clear" w:color="auto" w:fill="FFFFFF"/>
                <w:lang w:bidi="ar"/>
              </w:rPr>
              <w:t>月</w:t>
            </w:r>
            <w:r>
              <w:rPr>
                <w:rStyle w:val="26"/>
                <w:rFonts w:hint="eastAsia" w:eastAsia="仿宋_GB2312"/>
                <w:b w:val="0"/>
                <w:color w:val="000000" w:themeColor="text1"/>
                <w:szCs w:val="24"/>
                <w:u w:val="single"/>
                <w:shd w:val="clear" w:color="auto" w:fill="FFFFFF"/>
                <w:lang w:bidi="ar"/>
              </w:rPr>
              <w:t xml:space="preserve"> </w:t>
            </w:r>
            <w:r>
              <w:rPr>
                <w:rStyle w:val="26"/>
                <w:rFonts w:hint="eastAsia" w:eastAsia="仿宋_GB2312"/>
                <w:b w:val="0"/>
                <w:color w:val="000000" w:themeColor="text1"/>
                <w:szCs w:val="24"/>
                <w:u w:val="single"/>
                <w:shd w:val="clear" w:color="auto" w:fill="FFFFFF"/>
                <w:lang w:val="en-US" w:eastAsia="zh-CN" w:bidi="ar"/>
              </w:rPr>
              <w:t>31</w:t>
            </w:r>
            <w:r>
              <w:rPr>
                <w:rStyle w:val="26"/>
                <w:rFonts w:hint="eastAsia" w:eastAsia="仿宋_GB2312"/>
                <w:b w:val="0"/>
                <w:color w:val="000000" w:themeColor="text1"/>
                <w:szCs w:val="24"/>
                <w:u w:val="single"/>
                <w:shd w:val="clear" w:color="auto" w:fill="FFFFFF"/>
                <w:lang w:bidi="ar"/>
              </w:rPr>
              <w:t xml:space="preserve"> </w:t>
            </w:r>
            <w:r>
              <w:rPr>
                <w:rStyle w:val="26"/>
                <w:rFonts w:eastAsia="仿宋_GB2312"/>
                <w:b w:val="0"/>
                <w:color w:val="000000" w:themeColor="text1"/>
                <w:szCs w:val="24"/>
                <w:u w:val="single"/>
                <w:shd w:val="clear" w:color="auto" w:fill="FFFFFF"/>
                <w:lang w:bidi="ar"/>
              </w:rPr>
              <w:t>日</w:t>
            </w:r>
            <w:r>
              <w:rPr>
                <w:rFonts w:eastAsia="仿宋_GB2312"/>
                <w:color w:val="000000" w:themeColor="text1"/>
                <w:szCs w:val="24"/>
              </w:rPr>
              <w:t>将有关情况</w:t>
            </w:r>
            <w:r>
              <w:rPr>
                <w:rStyle w:val="26"/>
                <w:rFonts w:eastAsia="仿宋_GB2312"/>
                <w:b w:val="0"/>
                <w:color w:val="000000" w:themeColor="text1"/>
                <w:szCs w:val="24"/>
                <w:shd w:val="clear" w:color="auto" w:fill="FFFFFF"/>
                <w:lang w:bidi="ar"/>
              </w:rPr>
              <w:t>向吉林省水利厅报备。</w:t>
            </w:r>
          </w:p>
          <w:p>
            <w:pPr>
              <w:spacing w:line="560" w:lineRule="exact"/>
              <w:ind w:firstLine="4800" w:firstLineChars="2000"/>
              <w:rPr>
                <w:rFonts w:eastAsia="仿宋_GB2312"/>
                <w:color w:val="000000" w:themeColor="text1"/>
                <w:szCs w:val="24"/>
              </w:rPr>
            </w:pPr>
            <w:r>
              <w:rPr>
                <w:rFonts w:eastAsia="仿宋_GB2312"/>
                <w:color w:val="000000" w:themeColor="text1"/>
                <w:szCs w:val="24"/>
              </w:rPr>
              <w:t xml:space="preserve">专家签名：    </w:t>
            </w:r>
          </w:p>
          <w:p>
            <w:pPr>
              <w:rPr>
                <w:rFonts w:eastAsia="仿宋_GB2312"/>
                <w:color w:val="000000" w:themeColor="text1"/>
                <w:szCs w:val="24"/>
              </w:rPr>
            </w:pPr>
            <w:r>
              <w:rPr>
                <w:rFonts w:eastAsia="仿宋_GB2312"/>
                <w:color w:val="000000" w:themeColor="text1"/>
                <w:szCs w:val="24"/>
              </w:rPr>
              <w:t xml:space="preserve">                                  </w:t>
            </w:r>
          </w:p>
          <w:p>
            <w:pPr>
              <w:jc w:val="center"/>
              <w:rPr>
                <w:rFonts w:eastAsia="仿宋_GB2312"/>
                <w:color w:val="000000" w:themeColor="text1"/>
                <w:szCs w:val="24"/>
              </w:rPr>
            </w:pPr>
            <w:r>
              <w:rPr>
                <w:rFonts w:eastAsia="仿宋_GB2312"/>
                <w:color w:val="000000" w:themeColor="text1"/>
                <w:szCs w:val="24"/>
              </w:rPr>
              <w:t xml:space="preserve">                                               202</w:t>
            </w:r>
            <w:r>
              <w:rPr>
                <w:rFonts w:hint="eastAsia" w:eastAsia="仿宋_GB2312"/>
                <w:color w:val="000000" w:themeColor="text1"/>
                <w:szCs w:val="24"/>
                <w:lang w:val="en-US" w:eastAsia="zh-CN"/>
              </w:rPr>
              <w:t>3</w:t>
            </w:r>
            <w:r>
              <w:rPr>
                <w:rFonts w:eastAsia="仿宋_GB2312"/>
                <w:color w:val="000000" w:themeColor="text1"/>
                <w:szCs w:val="24"/>
              </w:rPr>
              <w:t>年</w:t>
            </w:r>
            <w:r>
              <w:rPr>
                <w:rFonts w:hint="eastAsia" w:eastAsia="仿宋_GB2312"/>
                <w:color w:val="000000" w:themeColor="text1"/>
                <w:szCs w:val="24"/>
                <w:lang w:val="en-US" w:eastAsia="zh-CN"/>
              </w:rPr>
              <w:t xml:space="preserve">  </w:t>
            </w:r>
            <w:r>
              <w:rPr>
                <w:rFonts w:eastAsia="仿宋_GB2312"/>
                <w:color w:val="000000" w:themeColor="text1"/>
                <w:szCs w:val="24"/>
              </w:rPr>
              <w:t>月</w:t>
            </w:r>
            <w:r>
              <w:rPr>
                <w:rFonts w:hint="eastAsia" w:eastAsia="仿宋_GB2312"/>
                <w:color w:val="000000" w:themeColor="text1"/>
                <w:szCs w:val="24"/>
              </w:rPr>
              <w:t xml:space="preserve">  </w:t>
            </w:r>
            <w:r>
              <w:rPr>
                <w:rFonts w:eastAsia="仿宋_GB2312"/>
                <w:color w:val="000000" w:themeColor="text1"/>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7" w:hRule="atLeast"/>
        </w:trPr>
        <w:tc>
          <w:tcPr>
            <w:tcW w:w="1541" w:type="dxa"/>
            <w:gridSpan w:val="2"/>
            <w:tcBorders>
              <w:top w:val="single" w:color="auto" w:sz="4" w:space="0"/>
              <w:left w:val="single" w:color="auto" w:sz="4" w:space="0"/>
              <w:bottom w:val="single" w:color="auto" w:sz="4" w:space="0"/>
              <w:right w:val="single" w:color="auto" w:sz="4" w:space="0"/>
            </w:tcBorders>
            <w:vAlign w:val="center"/>
          </w:tcPr>
          <w:p>
            <w:pPr>
              <w:adjustRightInd/>
              <w:spacing w:line="560" w:lineRule="exact"/>
              <w:jc w:val="center"/>
              <w:textAlignment w:val="auto"/>
              <w:rPr>
                <w:rFonts w:eastAsia="仿宋_GB2312"/>
                <w:color w:val="000000" w:themeColor="text1"/>
                <w:szCs w:val="24"/>
              </w:rPr>
            </w:pPr>
            <w:r>
              <w:rPr>
                <w:rFonts w:eastAsia="仿宋_GB2312"/>
                <w:color w:val="000000" w:themeColor="text1"/>
                <w:szCs w:val="24"/>
              </w:rPr>
              <w:t>备注</w:t>
            </w:r>
          </w:p>
        </w:tc>
        <w:tc>
          <w:tcPr>
            <w:tcW w:w="7718" w:type="dxa"/>
            <w:gridSpan w:val="2"/>
            <w:tcBorders>
              <w:top w:val="single" w:color="auto" w:sz="4" w:space="0"/>
              <w:left w:val="single" w:color="auto" w:sz="4" w:space="0"/>
              <w:bottom w:val="single" w:color="auto" w:sz="4" w:space="0"/>
              <w:right w:val="single" w:color="auto" w:sz="4" w:space="0"/>
            </w:tcBorders>
            <w:vAlign w:val="center"/>
          </w:tcPr>
          <w:p>
            <w:pPr>
              <w:pStyle w:val="2"/>
              <w:tabs>
                <w:tab w:val="right" w:leader="dot" w:pos="8400"/>
              </w:tabs>
              <w:adjustRightInd/>
              <w:spacing w:line="260" w:lineRule="exact"/>
              <w:ind w:left="0" w:leftChars="0" w:firstLine="480" w:firstLineChars="200"/>
              <w:textAlignment w:val="auto"/>
              <w:rPr>
                <w:rFonts w:eastAsia="仿宋_GB2312"/>
                <w:color w:val="000000" w:themeColor="text1"/>
                <w:szCs w:val="24"/>
              </w:rPr>
            </w:pPr>
            <w:r>
              <w:rPr>
                <w:rFonts w:eastAsia="仿宋_GB2312"/>
                <w:color w:val="000000" w:themeColor="text1"/>
                <w:szCs w:val="24"/>
              </w:rPr>
              <w:t>1.水土保持方案技术评审实行专家负责制，专家对签署的意见负责。省级水土保持方案专家库专家（以下简称“省级水土保持专家”）应当按照规定严格审查把关，审慎签署意见。如有多位省级水土保持专家参与技术审查时，须参审省级水土保持专家全部签字同意后方可通过技术审查。</w:t>
            </w:r>
          </w:p>
          <w:p>
            <w:pPr>
              <w:pStyle w:val="2"/>
              <w:tabs>
                <w:tab w:val="right" w:leader="dot" w:pos="8400"/>
              </w:tabs>
              <w:adjustRightInd/>
              <w:spacing w:line="260" w:lineRule="exact"/>
              <w:ind w:left="0" w:leftChars="0" w:firstLine="480" w:firstLineChars="200"/>
              <w:textAlignment w:val="auto"/>
              <w:rPr>
                <w:rFonts w:eastAsia="仿宋_GB2312"/>
                <w:color w:val="000000" w:themeColor="text1"/>
                <w:szCs w:val="24"/>
              </w:rPr>
            </w:pPr>
            <w:r>
              <w:rPr>
                <w:rFonts w:eastAsia="仿宋_GB2312"/>
                <w:color w:val="000000" w:themeColor="text1"/>
                <w:szCs w:val="24"/>
              </w:rPr>
              <w:t>2.对实行承诺制管理项目的水土保持相关材料进行技术审查时，负责审查的省级水土保持专家应当主动向相关水行政主管部门反馈情况并征求意见建议后，方可签署审查意见。对于不符合要求的，应当签署不同意意见或者拒绝签字。事后发现问题能够及时向水行政主管部门报告并配合纠正的，可视情况减轻或免于相关责任。</w:t>
            </w:r>
          </w:p>
          <w:p>
            <w:pPr>
              <w:pStyle w:val="2"/>
              <w:tabs>
                <w:tab w:val="right" w:leader="dot" w:pos="8400"/>
              </w:tabs>
              <w:adjustRightInd/>
              <w:spacing w:line="260" w:lineRule="exact"/>
              <w:ind w:left="0" w:leftChars="0" w:firstLine="480" w:firstLineChars="200"/>
              <w:textAlignment w:val="auto"/>
              <w:rPr>
                <w:rFonts w:eastAsia="仿宋_GB2312"/>
                <w:color w:val="000000" w:themeColor="text1"/>
                <w:szCs w:val="24"/>
              </w:rPr>
            </w:pPr>
            <w:r>
              <w:rPr>
                <w:rFonts w:eastAsia="仿宋_GB2312"/>
                <w:color w:val="000000" w:themeColor="text1"/>
                <w:szCs w:val="24"/>
              </w:rPr>
              <w:t>3.各级水行政主管部门对于省级水土保持专家审查的水土保持方案（含变更）、水土保持后续设计、水土保持设施自主验收报备材料以及专家技术评审意见等开展监督核查，发现存在不符合《水利部水土保持方案技术评审通过条件》《生产建设项目水土保持设施自主验收规程（试行）》等有关规定的，视情节轻重，予以约谈或者由省级水行政主管部门暂停其省级水土保持方案专家库专家资格；对于存在明显不符合“水土保持相关法规法规及有关文件规定”和“水土保持技术标准、规范和规程要求”而通过技术审查的，或者存在水土保持设施验收不合格问题情形而通过验收的，由省级水行政主管部门取消其省级水土保持方案专家库专家资格。</w:t>
            </w:r>
          </w:p>
          <w:p>
            <w:pPr>
              <w:pStyle w:val="2"/>
              <w:tabs>
                <w:tab w:val="right" w:leader="dot" w:pos="8400"/>
              </w:tabs>
              <w:adjustRightInd/>
              <w:spacing w:line="260" w:lineRule="exact"/>
              <w:ind w:left="0" w:leftChars="0" w:firstLine="480" w:firstLineChars="200"/>
              <w:textAlignment w:val="auto"/>
              <w:rPr>
                <w:rFonts w:eastAsia="仿宋_GB2312"/>
                <w:color w:val="000000" w:themeColor="text1"/>
                <w:szCs w:val="24"/>
              </w:rPr>
            </w:pPr>
            <w:r>
              <w:rPr>
                <w:rFonts w:eastAsia="仿宋_GB2312"/>
                <w:color w:val="000000" w:themeColor="text1"/>
                <w:szCs w:val="24"/>
              </w:rPr>
              <w:t>4.省级水土保持专家应当按照“审查一次报备一次”的要求，向指定工作邮箱（jlsbkjc@163.com）提交《生产建设项目水土保持专家审查报备表》，及时报备情况。省级水行政主管部门对于年度内无故未报备不满3次的，予以约谈；对于无故未报备累计3次以上的，暂停或者取消省级水土保持方案专家库专家资格。</w:t>
            </w:r>
          </w:p>
          <w:p>
            <w:pPr>
              <w:pStyle w:val="2"/>
              <w:tabs>
                <w:tab w:val="right" w:leader="dot" w:pos="8400"/>
              </w:tabs>
              <w:adjustRightInd/>
              <w:spacing w:line="260" w:lineRule="exact"/>
              <w:ind w:left="0" w:leftChars="0" w:firstLine="480" w:firstLineChars="200"/>
              <w:textAlignment w:val="auto"/>
              <w:rPr>
                <w:rFonts w:eastAsia="仿宋_GB2312"/>
                <w:color w:val="000000" w:themeColor="text1"/>
                <w:szCs w:val="24"/>
              </w:rPr>
            </w:pPr>
            <w:r>
              <w:rPr>
                <w:rFonts w:eastAsia="仿宋_GB2312"/>
                <w:color w:val="000000" w:themeColor="text1"/>
                <w:szCs w:val="24"/>
              </w:rPr>
              <w:t>5.省级水行政主管部门对省级水土保持专家库专家年度内审查水土保持方案（含变更）、水土保持后续设计、水土保持设施自主验收报备材料的总数量，以及某阶段时间内集中审查项目的累计数量进行监督核查，对于存在明显不合理情形的将约谈专家说明情况，查实确属未按规定履行职责的或者在暂停省级水土保持专家库专家资格期间依旧审查签字的，予以取消省级水土保持专家库专家资格。</w:t>
            </w:r>
          </w:p>
        </w:tc>
      </w:tr>
    </w:tbl>
    <w:p>
      <w:pPr>
        <w:rPr>
          <w:color w:val="000000" w:themeColor="text1"/>
        </w:rPr>
      </w:pPr>
    </w:p>
    <w:p>
      <w:pPr>
        <w:rPr>
          <w:rFonts w:eastAsia="方正小标宋简体"/>
          <w:b/>
          <w:bCs/>
          <w:color w:val="000000" w:themeColor="text1"/>
          <w:sz w:val="36"/>
          <w:szCs w:val="36"/>
        </w:rPr>
      </w:pPr>
      <w:r>
        <w:rPr>
          <w:rFonts w:eastAsia="方正小标宋简体"/>
          <w:b/>
          <w:bCs/>
          <w:color w:val="000000" w:themeColor="text1"/>
          <w:sz w:val="36"/>
          <w:szCs w:val="36"/>
        </w:rPr>
        <w:br w:type="page"/>
      </w:r>
    </w:p>
    <w:p>
      <w:pPr>
        <w:pStyle w:val="2"/>
        <w:ind w:left="480"/>
        <w:rPr>
          <w:color w:val="000000" w:themeColor="text1"/>
        </w:rPr>
      </w:pPr>
    </w:p>
    <w:p>
      <w:pPr>
        <w:spacing w:line="700" w:lineRule="exact"/>
        <w:jc w:val="center"/>
        <w:rPr>
          <w:rFonts w:hint="eastAsia" w:eastAsia="方正小标宋简体"/>
          <w:b/>
          <w:bCs/>
          <w:color w:val="000000" w:themeColor="text1"/>
          <w:sz w:val="36"/>
          <w:szCs w:val="36"/>
          <w:lang w:eastAsia="zh-CN"/>
        </w:rPr>
      </w:pPr>
      <w:r>
        <w:rPr>
          <w:rFonts w:hint="eastAsia" w:eastAsia="方正小标宋简体"/>
          <w:b/>
          <w:bCs/>
          <w:color w:val="000000" w:themeColor="text1"/>
          <w:sz w:val="36"/>
          <w:szCs w:val="36"/>
          <w:lang w:eastAsia="zh-CN"/>
        </w:rPr>
        <w:t>农安县东兴实业有限公司蒸压加气泥凝块年产40万立方项目</w:t>
      </w:r>
    </w:p>
    <w:p>
      <w:pPr>
        <w:spacing w:line="700" w:lineRule="exact"/>
        <w:jc w:val="center"/>
        <w:rPr>
          <w:rFonts w:eastAsia="方正小标宋简体"/>
          <w:b/>
          <w:bCs/>
          <w:color w:val="000000" w:themeColor="text1"/>
          <w:sz w:val="44"/>
          <w:szCs w:val="44"/>
        </w:rPr>
      </w:pPr>
      <w:r>
        <w:rPr>
          <w:rFonts w:eastAsia="方正小标宋简体"/>
          <w:b/>
          <w:bCs/>
          <w:color w:val="000000" w:themeColor="text1"/>
          <w:sz w:val="36"/>
          <w:szCs w:val="36"/>
        </w:rPr>
        <w:t>水土保持行政许可承诺书</w:t>
      </w:r>
    </w:p>
    <w:p>
      <w:pPr>
        <w:spacing w:line="560" w:lineRule="exact"/>
        <w:jc w:val="center"/>
        <w:rPr>
          <w:rFonts w:eastAsia="楷体_GB2312"/>
          <w:color w:val="000000" w:themeColor="text1"/>
          <w:szCs w:val="24"/>
        </w:rPr>
      </w:pPr>
      <w:r>
        <w:rPr>
          <w:rFonts w:eastAsia="楷体_GB2312"/>
          <w:color w:val="000000" w:themeColor="text1"/>
          <w:sz w:val="32"/>
          <w:szCs w:val="32"/>
        </w:rPr>
        <w:t>编号：</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1179"/>
        <w:gridCol w:w="6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9" w:type="dxa"/>
            <w:vMerge w:val="restart"/>
            <w:vAlign w:val="center"/>
          </w:tcPr>
          <w:p>
            <w:pPr>
              <w:widowControl/>
              <w:spacing w:line="44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项目</w:t>
            </w:r>
          </w:p>
          <w:p>
            <w:pPr>
              <w:widowControl/>
              <w:spacing w:line="44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名称</w:t>
            </w:r>
          </w:p>
        </w:tc>
        <w:tc>
          <w:tcPr>
            <w:tcW w:w="7970" w:type="dxa"/>
            <w:gridSpan w:val="2"/>
            <w:vAlign w:val="center"/>
          </w:tcPr>
          <w:p>
            <w:pPr>
              <w:widowControl/>
              <w:spacing w:line="440" w:lineRule="exact"/>
              <w:jc w:val="center"/>
              <w:rPr>
                <w:rStyle w:val="26"/>
                <w:rFonts w:hint="eastAsia" w:eastAsia="楷体"/>
                <w:b w:val="0"/>
                <w:color w:val="000000" w:themeColor="text1"/>
                <w:szCs w:val="24"/>
                <w:shd w:val="clear" w:color="auto" w:fill="FFFFFF"/>
                <w:lang w:eastAsia="zh-CN"/>
              </w:rPr>
            </w:pPr>
            <w:r>
              <w:rPr>
                <w:rStyle w:val="26"/>
                <w:rFonts w:hint="eastAsia" w:eastAsia="楷体"/>
                <w:b w:val="0"/>
                <w:color w:val="000000" w:themeColor="text1"/>
                <w:szCs w:val="24"/>
                <w:shd w:val="clear" w:color="auto" w:fill="FFFFFF"/>
                <w:lang w:eastAsia="zh-CN"/>
              </w:rPr>
              <w:t>农安县东兴实业有限公司蒸压加气泥凝块年产40万立方项目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9" w:type="dxa"/>
            <w:vMerge w:val="continue"/>
            <w:vAlign w:val="center"/>
          </w:tcPr>
          <w:p>
            <w:pPr>
              <w:widowControl/>
              <w:spacing w:line="440" w:lineRule="exact"/>
              <w:jc w:val="center"/>
              <w:rPr>
                <w:rStyle w:val="26"/>
                <w:rFonts w:eastAsia="楷体"/>
                <w:b w:val="0"/>
                <w:color w:val="000000" w:themeColor="text1"/>
                <w:szCs w:val="24"/>
                <w:shd w:val="clear" w:color="auto" w:fill="FFFFFF"/>
              </w:rPr>
            </w:pPr>
          </w:p>
        </w:tc>
        <w:tc>
          <w:tcPr>
            <w:tcW w:w="7970" w:type="dxa"/>
            <w:gridSpan w:val="2"/>
            <w:vAlign w:val="center"/>
          </w:tcPr>
          <w:p>
            <w:pPr>
              <w:widowControl/>
              <w:spacing w:line="440" w:lineRule="exact"/>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《吉林省企业投资项目备案信息登记表》（备案流水号为：</w:t>
            </w:r>
            <w:r>
              <w:rPr>
                <w:rStyle w:val="26"/>
                <w:rFonts w:hint="eastAsia" w:eastAsia="楷体"/>
                <w:b w:val="0"/>
                <w:color w:val="000000" w:themeColor="text1"/>
                <w:szCs w:val="24"/>
                <w:shd w:val="clear" w:color="auto" w:fill="FFFFFF"/>
                <w:lang w:eastAsia="zh-CN"/>
              </w:rPr>
              <w:t>2021060922012203102752</w:t>
            </w:r>
            <w:r>
              <w:rPr>
                <w:rStyle w:val="26"/>
                <w:rFonts w:eastAsia="楷体"/>
                <w:b w:val="0"/>
                <w:color w:val="000000" w:themeColor="text1"/>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9" w:type="dxa"/>
            <w:vMerge w:val="restart"/>
            <w:vAlign w:val="center"/>
          </w:tcPr>
          <w:p>
            <w:pPr>
              <w:widowControl/>
              <w:spacing w:line="44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建设</w:t>
            </w:r>
          </w:p>
          <w:p>
            <w:pPr>
              <w:widowControl/>
              <w:spacing w:line="44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地点</w:t>
            </w:r>
          </w:p>
        </w:tc>
        <w:tc>
          <w:tcPr>
            <w:tcW w:w="7970" w:type="dxa"/>
            <w:gridSpan w:val="2"/>
            <w:vAlign w:val="center"/>
          </w:tcPr>
          <w:p>
            <w:pPr>
              <w:widowControl/>
              <w:spacing w:line="320" w:lineRule="exact"/>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本项目位于</w:t>
            </w:r>
            <w:r>
              <w:rPr>
                <w:rStyle w:val="26"/>
                <w:rFonts w:hint="eastAsia" w:eastAsia="楷体"/>
                <w:b w:val="0"/>
                <w:color w:val="000000" w:themeColor="text1"/>
                <w:szCs w:val="24"/>
                <w:shd w:val="clear" w:color="auto" w:fill="FFFFFF"/>
                <w:lang w:eastAsia="zh-CN"/>
              </w:rPr>
              <w:t>长春农安经济开发区（西区）烧锅镇东兴村以东、长白线以南、加油站以西、烧锅镇东兴村以北</w:t>
            </w:r>
            <w:r>
              <w:rPr>
                <w:rStyle w:val="26"/>
                <w:rFonts w:hint="eastAsia" w:eastAsia="楷体"/>
                <w:b w:val="0"/>
                <w:color w:val="000000" w:themeColor="text1"/>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9" w:type="dxa"/>
            <w:vMerge w:val="continue"/>
            <w:vAlign w:val="center"/>
          </w:tcPr>
          <w:p>
            <w:pPr>
              <w:widowControl/>
              <w:spacing w:line="440" w:lineRule="exact"/>
              <w:jc w:val="center"/>
              <w:rPr>
                <w:rStyle w:val="26"/>
                <w:rFonts w:eastAsia="楷体"/>
                <w:b w:val="0"/>
                <w:color w:val="000000" w:themeColor="text1"/>
                <w:szCs w:val="24"/>
                <w:shd w:val="clear" w:color="auto" w:fill="FFFFFF"/>
              </w:rPr>
            </w:pPr>
          </w:p>
        </w:tc>
        <w:tc>
          <w:tcPr>
            <w:tcW w:w="7970" w:type="dxa"/>
            <w:gridSpan w:val="2"/>
            <w:tcBorders>
              <w:bottom w:val="single" w:color="auto" w:sz="4" w:space="0"/>
            </w:tcBorders>
            <w:vAlign w:val="center"/>
          </w:tcPr>
          <w:p>
            <w:pPr>
              <w:widowControl/>
              <w:spacing w:line="560" w:lineRule="exact"/>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经度</w:t>
            </w:r>
            <w:r>
              <w:rPr>
                <w:rStyle w:val="26"/>
                <w:rFonts w:hint="eastAsia" w:eastAsia="楷体"/>
                <w:b w:val="0"/>
                <w:color w:val="000000" w:themeColor="text1"/>
                <w:szCs w:val="24"/>
                <w:shd w:val="clear" w:color="auto" w:fill="FFFFFF"/>
              </w:rPr>
              <w:t>：</w:t>
            </w:r>
            <w:r>
              <w:rPr>
                <w:rStyle w:val="26"/>
                <w:rFonts w:hint="eastAsia" w:eastAsia="楷体"/>
                <w:b w:val="0"/>
                <w:color w:val="000000" w:themeColor="text1"/>
                <w:szCs w:val="24"/>
                <w:highlight w:val="none"/>
                <w:shd w:val="clear" w:color="auto" w:fill="FFFFFF"/>
                <w:lang w:eastAsia="zh-CN"/>
              </w:rPr>
              <w:t>125.045888</w:t>
            </w:r>
            <w:r>
              <w:rPr>
                <w:rStyle w:val="26"/>
                <w:rFonts w:hint="eastAsia" w:eastAsia="楷体"/>
                <w:b w:val="0"/>
                <w:color w:val="000000" w:themeColor="text1"/>
                <w:szCs w:val="24"/>
                <w:highlight w:val="none"/>
                <w:shd w:val="clear" w:color="auto" w:fill="FFFFFF"/>
              </w:rPr>
              <w:t>°         纬度：</w:t>
            </w:r>
            <w:r>
              <w:rPr>
                <w:rStyle w:val="26"/>
                <w:rFonts w:hint="eastAsia" w:eastAsia="楷体"/>
                <w:b w:val="0"/>
                <w:color w:val="000000" w:themeColor="text1"/>
                <w:szCs w:val="24"/>
                <w:highlight w:val="none"/>
                <w:shd w:val="clear" w:color="auto" w:fill="FFFFFF"/>
                <w:lang w:eastAsia="zh-CN"/>
              </w:rPr>
              <w:t>43.989634</w:t>
            </w:r>
            <w:r>
              <w:rPr>
                <w:rStyle w:val="26"/>
                <w:rFonts w:hint="eastAsia" w:eastAsia="楷体"/>
                <w:b w:val="0"/>
                <w:color w:val="000000" w:themeColor="text1"/>
                <w:szCs w:val="24"/>
                <w:highlight w:val="none"/>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9" w:type="dxa"/>
            <w:vMerge w:val="restart"/>
            <w:tcBorders>
              <w:bottom w:val="single" w:color="auto" w:sz="4" w:space="0"/>
              <w:right w:val="single" w:color="auto" w:sz="4" w:space="0"/>
            </w:tcBorders>
            <w:vAlign w:val="center"/>
          </w:tcPr>
          <w:p>
            <w:pPr>
              <w:widowControl/>
              <w:spacing w:line="44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实行</w:t>
            </w:r>
          </w:p>
          <w:p>
            <w:pPr>
              <w:widowControl/>
              <w:spacing w:line="44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承诺制管理</w:t>
            </w:r>
          </w:p>
          <w:p>
            <w:pPr>
              <w:widowControl/>
              <w:spacing w:line="44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项目</w:t>
            </w:r>
          </w:p>
          <w:p>
            <w:pPr>
              <w:widowControl/>
              <w:spacing w:line="44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分类</w:t>
            </w:r>
          </w:p>
          <w:p>
            <w:pPr>
              <w:widowControl/>
              <w:spacing w:line="44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（注：仅需根据项目实际选择填报对应内容）</w:t>
            </w:r>
          </w:p>
        </w:tc>
        <w:tc>
          <w:tcPr>
            <w:tcW w:w="7970" w:type="dxa"/>
            <w:gridSpan w:val="2"/>
            <w:tcBorders>
              <w:top w:val="single" w:color="auto" w:sz="4" w:space="0"/>
              <w:left w:val="single" w:color="auto" w:sz="4" w:space="0"/>
              <w:bottom w:val="single" w:color="auto" w:sz="4" w:space="0"/>
              <w:right w:val="single" w:color="auto" w:sz="4" w:space="0"/>
            </w:tcBorders>
            <w:vAlign w:val="center"/>
          </w:tcPr>
          <w:p>
            <w:pPr>
              <w:widowControl/>
              <w:spacing w:line="500" w:lineRule="exact"/>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☑编制水土保持方案报告表的项目(注：必须是完整立项项目，不得拆分)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9" w:type="dxa"/>
            <w:vMerge w:val="continue"/>
            <w:tcBorders>
              <w:top w:val="single" w:color="auto" w:sz="4" w:space="0"/>
              <w:bottom w:val="single" w:color="auto" w:sz="4" w:space="0"/>
              <w:right w:val="single" w:color="auto" w:sz="4" w:space="0"/>
            </w:tcBorders>
            <w:vAlign w:val="center"/>
          </w:tcPr>
          <w:p>
            <w:pPr>
              <w:widowControl/>
              <w:spacing w:line="500" w:lineRule="exact"/>
              <w:ind w:firstLine="480" w:firstLineChars="200"/>
              <w:rPr>
                <w:rFonts w:eastAsia="楷体"/>
                <w:color w:val="000000" w:themeColor="text1"/>
                <w:szCs w:val="24"/>
              </w:rPr>
            </w:pPr>
          </w:p>
        </w:tc>
        <w:tc>
          <w:tcPr>
            <w:tcW w:w="7970"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240" w:firstLineChars="100"/>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注：对于完整立项项目征占地面积在0.5公顷以上5公顷以下或者挖填土石方总量在1千立方米以上5万立方米以下的生产建设项目编制水土保持方案报告表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9" w:type="dxa"/>
            <w:vMerge w:val="continue"/>
            <w:tcBorders>
              <w:top w:val="single" w:color="auto" w:sz="4" w:space="0"/>
              <w:bottom w:val="single" w:color="auto" w:sz="4" w:space="0"/>
              <w:right w:val="single" w:color="auto" w:sz="4" w:space="0"/>
            </w:tcBorders>
            <w:vAlign w:val="center"/>
          </w:tcPr>
          <w:p>
            <w:pPr>
              <w:widowControl/>
              <w:spacing w:line="500" w:lineRule="exact"/>
              <w:ind w:firstLine="480" w:firstLineChars="200"/>
              <w:rPr>
                <w:rStyle w:val="26"/>
                <w:rFonts w:eastAsia="楷体"/>
                <w:b w:val="0"/>
                <w:color w:val="000000" w:themeColor="text1"/>
                <w:szCs w:val="24"/>
                <w:shd w:val="clear" w:color="auto" w:fill="FFFFFF"/>
              </w:rPr>
            </w:pPr>
          </w:p>
        </w:tc>
        <w:tc>
          <w:tcPr>
            <w:tcW w:w="7970" w:type="dxa"/>
            <w:gridSpan w:val="2"/>
            <w:tcBorders>
              <w:top w:val="single" w:color="auto" w:sz="4" w:space="0"/>
              <w:left w:val="single" w:color="auto" w:sz="4" w:space="0"/>
              <w:bottom w:val="single" w:color="auto" w:sz="4" w:space="0"/>
              <w:right w:val="single" w:color="auto" w:sz="4" w:space="0"/>
            </w:tcBorders>
            <w:vAlign w:val="center"/>
          </w:tcPr>
          <w:p>
            <w:pPr>
              <w:widowControl/>
              <w:spacing w:line="500" w:lineRule="exact"/>
              <w:rPr>
                <w:rStyle w:val="26"/>
                <w:rFonts w:eastAsia="楷体"/>
                <w:b w:val="0"/>
                <w:color w:val="000000" w:themeColor="text1"/>
                <w:szCs w:val="24"/>
                <w:shd w:val="clear" w:color="auto" w:fill="FFFFFF"/>
              </w:rPr>
            </w:pPr>
            <w:r>
              <w:rPr>
                <w:rStyle w:val="26"/>
                <w:rFonts w:hint="eastAsia" w:eastAsia="楷体"/>
                <w:b w:val="0"/>
                <w:color w:val="000000" w:themeColor="text1"/>
                <w:szCs w:val="24"/>
                <w:shd w:val="clear" w:color="auto" w:fill="FFFFFF"/>
              </w:rPr>
              <w:t>□</w:t>
            </w:r>
            <w:r>
              <w:rPr>
                <w:rStyle w:val="26"/>
                <w:rFonts w:eastAsia="楷体"/>
                <w:b w:val="0"/>
                <w:color w:val="000000" w:themeColor="text1"/>
                <w:szCs w:val="24"/>
                <w:shd w:val="clear" w:color="auto" w:fill="FFFFFF"/>
              </w:rPr>
              <w:t>已实施水土保持区域评估范围内的项目(注：应当完整项目处于该区域内)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9" w:type="dxa"/>
            <w:vMerge w:val="continue"/>
            <w:tcBorders>
              <w:top w:val="single" w:color="auto" w:sz="4" w:space="0"/>
              <w:bottom w:val="single" w:color="auto" w:sz="4" w:space="0"/>
              <w:right w:val="single" w:color="auto" w:sz="4" w:space="0"/>
            </w:tcBorders>
            <w:vAlign w:val="center"/>
          </w:tcPr>
          <w:p>
            <w:pPr>
              <w:widowControl/>
              <w:spacing w:line="500" w:lineRule="exact"/>
              <w:ind w:firstLine="480" w:firstLineChars="200"/>
              <w:rPr>
                <w:rStyle w:val="26"/>
                <w:rFonts w:eastAsia="楷体"/>
                <w:b w:val="0"/>
                <w:color w:val="000000" w:themeColor="text1"/>
                <w:szCs w:val="24"/>
                <w:shd w:val="clear" w:color="auto" w:fill="FFFFFF"/>
              </w:rPr>
            </w:pPr>
          </w:p>
        </w:tc>
        <w:tc>
          <w:tcPr>
            <w:tcW w:w="7970" w:type="dxa"/>
            <w:gridSpan w:val="2"/>
            <w:tcBorders>
              <w:top w:val="single" w:color="auto" w:sz="4" w:space="0"/>
              <w:left w:val="single" w:color="auto" w:sz="4" w:space="0"/>
              <w:bottom w:val="single" w:color="auto" w:sz="4" w:space="0"/>
              <w:right w:val="single" w:color="auto" w:sz="4" w:space="0"/>
            </w:tcBorders>
            <w:vAlign w:val="center"/>
          </w:tcPr>
          <w:p>
            <w:pPr>
              <w:widowControl/>
              <w:spacing w:line="440" w:lineRule="exact"/>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开发区名称：无    水土保持区域评估报告审查批复文件文号及时间：无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9" w:type="dxa"/>
            <w:vMerge w:val="continue"/>
            <w:tcBorders>
              <w:top w:val="single" w:color="auto" w:sz="4" w:space="0"/>
              <w:bottom w:val="single" w:color="auto" w:sz="4" w:space="0"/>
              <w:right w:val="single" w:color="auto" w:sz="4" w:space="0"/>
            </w:tcBorders>
            <w:vAlign w:val="center"/>
          </w:tcPr>
          <w:p>
            <w:pPr>
              <w:widowControl/>
              <w:spacing w:line="500" w:lineRule="exact"/>
              <w:ind w:firstLine="480" w:firstLineChars="200"/>
              <w:rPr>
                <w:rStyle w:val="26"/>
                <w:rFonts w:eastAsia="楷体"/>
                <w:b w:val="0"/>
                <w:color w:val="000000" w:themeColor="text1"/>
                <w:szCs w:val="24"/>
                <w:shd w:val="clear" w:color="auto" w:fill="FFFFFF"/>
              </w:rPr>
            </w:pPr>
          </w:p>
        </w:tc>
        <w:tc>
          <w:tcPr>
            <w:tcW w:w="7970" w:type="dxa"/>
            <w:gridSpan w:val="2"/>
            <w:tcBorders>
              <w:top w:val="single" w:color="auto" w:sz="4" w:space="0"/>
              <w:left w:val="single" w:color="auto" w:sz="4" w:space="0"/>
              <w:bottom w:val="single" w:color="auto" w:sz="4" w:space="0"/>
              <w:right w:val="single" w:color="auto" w:sz="4" w:space="0"/>
            </w:tcBorders>
            <w:vAlign w:val="center"/>
          </w:tcPr>
          <w:p>
            <w:pPr>
              <w:widowControl/>
              <w:spacing w:line="500" w:lineRule="exact"/>
              <w:rPr>
                <w:rStyle w:val="26"/>
                <w:rFonts w:eastAsia="楷体"/>
                <w:b w:val="0"/>
                <w:color w:val="000000" w:themeColor="text1"/>
                <w:szCs w:val="24"/>
                <w:shd w:val="clear" w:color="auto" w:fill="FFFFFF"/>
              </w:rPr>
            </w:pPr>
            <w:r>
              <w:rPr>
                <w:rStyle w:val="26"/>
                <w:rFonts w:hint="eastAsia" w:eastAsia="楷体"/>
                <w:b w:val="0"/>
                <w:color w:val="000000" w:themeColor="text1"/>
                <w:szCs w:val="24"/>
                <w:shd w:val="clear" w:color="auto" w:fill="FFFFFF"/>
              </w:rPr>
              <w:t>□</w:t>
            </w:r>
            <w:r>
              <w:rPr>
                <w:rStyle w:val="26"/>
                <w:rFonts w:eastAsia="楷体"/>
                <w:b w:val="0"/>
                <w:color w:val="000000" w:themeColor="text1"/>
                <w:szCs w:val="24"/>
                <w:shd w:val="clear" w:color="auto" w:fill="FFFFFF"/>
              </w:rPr>
              <w:t>符合条件的开发区范围内项目(注：应当完整项目处于开发区内)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9" w:type="dxa"/>
            <w:vMerge w:val="continue"/>
            <w:tcBorders>
              <w:top w:val="single" w:color="auto" w:sz="4" w:space="0"/>
              <w:bottom w:val="single" w:color="auto" w:sz="4" w:space="0"/>
              <w:right w:val="single" w:color="auto" w:sz="4" w:space="0"/>
            </w:tcBorders>
            <w:vAlign w:val="center"/>
          </w:tcPr>
          <w:p>
            <w:pPr>
              <w:widowControl/>
              <w:spacing w:line="500" w:lineRule="exact"/>
              <w:ind w:firstLine="480" w:firstLineChars="200"/>
              <w:rPr>
                <w:rStyle w:val="26"/>
                <w:rFonts w:eastAsia="楷体"/>
                <w:b w:val="0"/>
                <w:color w:val="000000" w:themeColor="text1"/>
                <w:szCs w:val="24"/>
                <w:shd w:val="clear" w:color="auto" w:fill="FFFFFF"/>
              </w:rPr>
            </w:pPr>
          </w:p>
        </w:tc>
        <w:tc>
          <w:tcPr>
            <w:tcW w:w="7970" w:type="dxa"/>
            <w:gridSpan w:val="2"/>
            <w:tcBorders>
              <w:top w:val="single" w:color="auto" w:sz="4" w:space="0"/>
              <w:left w:val="single" w:color="auto" w:sz="4" w:space="0"/>
              <w:bottom w:val="single" w:color="auto" w:sz="4" w:space="0"/>
              <w:right w:val="single" w:color="auto" w:sz="4" w:space="0"/>
            </w:tcBorders>
            <w:vAlign w:val="center"/>
          </w:tcPr>
          <w:p>
            <w:pPr>
              <w:widowControl/>
              <w:spacing w:line="500" w:lineRule="exact"/>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开发区名称：无      批复设立开发区文件文号和时间：无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9" w:type="dxa"/>
            <w:vMerge w:val="continue"/>
            <w:tcBorders>
              <w:top w:val="single" w:color="auto" w:sz="4" w:space="0"/>
              <w:bottom w:val="single" w:color="auto" w:sz="4" w:space="0"/>
              <w:right w:val="single" w:color="auto" w:sz="4" w:space="0"/>
            </w:tcBorders>
            <w:vAlign w:val="center"/>
          </w:tcPr>
          <w:p>
            <w:pPr>
              <w:widowControl/>
              <w:spacing w:line="500" w:lineRule="exact"/>
              <w:ind w:firstLine="480" w:firstLineChars="200"/>
              <w:rPr>
                <w:rStyle w:val="26"/>
                <w:rFonts w:eastAsia="楷体"/>
                <w:b w:val="0"/>
                <w:color w:val="000000" w:themeColor="text1"/>
                <w:szCs w:val="24"/>
                <w:shd w:val="clear" w:color="auto" w:fill="FFFFFF"/>
              </w:rPr>
            </w:pPr>
          </w:p>
        </w:tc>
        <w:tc>
          <w:tcPr>
            <w:tcW w:w="7970" w:type="dxa"/>
            <w:gridSpan w:val="2"/>
            <w:tcBorders>
              <w:top w:val="single" w:color="auto" w:sz="4" w:space="0"/>
              <w:left w:val="single" w:color="auto" w:sz="4" w:space="0"/>
              <w:bottom w:val="single" w:color="auto" w:sz="4" w:space="0"/>
              <w:right w:val="single" w:color="auto" w:sz="4" w:space="0"/>
            </w:tcBorders>
            <w:vAlign w:val="center"/>
          </w:tcPr>
          <w:p>
            <w:pPr>
              <w:widowControl/>
              <w:spacing w:line="500" w:lineRule="exact"/>
              <w:rPr>
                <w:rStyle w:val="26"/>
                <w:rFonts w:eastAsia="楷体"/>
                <w:b w:val="0"/>
                <w:color w:val="000000" w:themeColor="text1"/>
                <w:szCs w:val="24"/>
                <w:shd w:val="clear" w:color="auto" w:fill="FFFFFF"/>
              </w:rPr>
            </w:pPr>
            <w:r>
              <w:rPr>
                <w:rStyle w:val="26"/>
                <w:rFonts w:hint="eastAsia" w:eastAsia="楷体"/>
                <w:b w:val="0"/>
                <w:color w:val="000000" w:themeColor="text1"/>
                <w:szCs w:val="24"/>
                <w:shd w:val="clear" w:color="auto" w:fill="FFFFFF"/>
              </w:rPr>
              <w:t>□</w:t>
            </w:r>
            <w:r>
              <w:rPr>
                <w:rStyle w:val="26"/>
                <w:rFonts w:eastAsia="楷体"/>
                <w:b w:val="0"/>
                <w:color w:val="000000" w:themeColor="text1"/>
                <w:szCs w:val="24"/>
                <w:shd w:val="clear" w:color="auto" w:fill="FFFFFF"/>
              </w:rPr>
              <w:t>社会低风险工业类工程建设项目和社会投资小型工程项目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9" w:type="dxa"/>
            <w:vMerge w:val="continue"/>
            <w:tcBorders>
              <w:top w:val="single" w:color="auto" w:sz="4" w:space="0"/>
              <w:bottom w:val="single" w:color="auto" w:sz="4" w:space="0"/>
              <w:right w:val="single" w:color="auto" w:sz="4" w:space="0"/>
            </w:tcBorders>
            <w:vAlign w:val="center"/>
          </w:tcPr>
          <w:p>
            <w:pPr>
              <w:widowControl/>
              <w:spacing w:line="500" w:lineRule="exact"/>
              <w:ind w:firstLine="480" w:firstLineChars="200"/>
              <w:rPr>
                <w:rStyle w:val="26"/>
                <w:rFonts w:eastAsia="楷体"/>
                <w:b w:val="0"/>
                <w:color w:val="000000" w:themeColor="text1"/>
                <w:szCs w:val="24"/>
                <w:shd w:val="clear" w:color="auto" w:fill="FFFFFF"/>
              </w:rPr>
            </w:pPr>
          </w:p>
        </w:tc>
        <w:tc>
          <w:tcPr>
            <w:tcW w:w="7970" w:type="dxa"/>
            <w:gridSpan w:val="2"/>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240" w:firstLineChars="100"/>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注：符合《关于进一步优化社会投资低风险工业类工程建设项目审批服务 助力企业复工复产的实施意见（试行）》（吉政数联〔2020〕7号）、《吉林省人民政府办公厅关于印发吉林省全面开展工程建设项目审批制度改革实施方案的通知》（吉政办发〔2019〕30号）等有关要求的项目。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9" w:type="dxa"/>
            <w:vMerge w:val="continue"/>
            <w:tcBorders>
              <w:top w:val="single" w:color="auto" w:sz="4" w:space="0"/>
              <w:bottom w:val="single" w:color="auto" w:sz="4" w:space="0"/>
              <w:right w:val="single" w:color="auto" w:sz="4" w:space="0"/>
            </w:tcBorders>
            <w:vAlign w:val="center"/>
          </w:tcPr>
          <w:p>
            <w:pPr>
              <w:widowControl/>
              <w:spacing w:line="500" w:lineRule="exact"/>
              <w:ind w:firstLine="480" w:firstLineChars="200"/>
              <w:rPr>
                <w:rStyle w:val="26"/>
                <w:rFonts w:eastAsia="楷体"/>
                <w:b w:val="0"/>
                <w:color w:val="000000" w:themeColor="text1"/>
                <w:szCs w:val="24"/>
                <w:shd w:val="clear" w:color="auto" w:fill="FFFFFF"/>
              </w:rPr>
            </w:pPr>
          </w:p>
        </w:tc>
        <w:tc>
          <w:tcPr>
            <w:tcW w:w="7970" w:type="dxa"/>
            <w:gridSpan w:val="2"/>
            <w:tcBorders>
              <w:top w:val="single" w:color="auto" w:sz="4" w:space="0"/>
              <w:left w:val="single" w:color="auto" w:sz="4" w:space="0"/>
              <w:bottom w:val="single" w:color="auto" w:sz="4" w:space="0"/>
              <w:right w:val="single" w:color="auto" w:sz="4" w:space="0"/>
            </w:tcBorders>
            <w:vAlign w:val="center"/>
          </w:tcPr>
          <w:p>
            <w:pPr>
              <w:widowControl/>
              <w:spacing w:line="500" w:lineRule="exact"/>
              <w:rPr>
                <w:rStyle w:val="26"/>
                <w:rFonts w:eastAsia="楷体"/>
                <w:b w:val="0"/>
                <w:color w:val="000000" w:themeColor="text1"/>
                <w:szCs w:val="24"/>
                <w:shd w:val="clear" w:color="auto" w:fill="FFFFFF"/>
              </w:rPr>
            </w:pPr>
            <w:r>
              <w:rPr>
                <w:rStyle w:val="26"/>
                <w:rFonts w:hint="eastAsia" w:eastAsia="楷体"/>
                <w:b w:val="0"/>
                <w:color w:val="000000" w:themeColor="text1"/>
                <w:szCs w:val="24"/>
                <w:shd w:val="clear" w:color="auto" w:fill="FFFFFF"/>
              </w:rPr>
              <w:t>□</w:t>
            </w:r>
            <w:r>
              <w:rPr>
                <w:rStyle w:val="26"/>
                <w:rFonts w:eastAsia="楷体"/>
                <w:b w:val="0"/>
                <w:color w:val="000000" w:themeColor="text1"/>
                <w:szCs w:val="24"/>
                <w:shd w:val="clear" w:color="auto" w:fill="FFFFFF"/>
              </w:rPr>
              <w:t>法律法规规定实行承诺制管理的其他生产建设项目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9" w:type="dxa"/>
            <w:vMerge w:val="continue"/>
            <w:tcBorders>
              <w:top w:val="single" w:color="auto" w:sz="4" w:space="0"/>
              <w:right w:val="single" w:color="auto" w:sz="4" w:space="0"/>
            </w:tcBorders>
            <w:vAlign w:val="center"/>
          </w:tcPr>
          <w:p>
            <w:pPr>
              <w:widowControl/>
              <w:spacing w:line="500" w:lineRule="exact"/>
              <w:ind w:firstLine="480" w:firstLineChars="200"/>
              <w:rPr>
                <w:rStyle w:val="26"/>
                <w:rFonts w:eastAsia="楷体"/>
                <w:b w:val="0"/>
                <w:color w:val="000000" w:themeColor="text1"/>
                <w:szCs w:val="24"/>
                <w:shd w:val="clear" w:color="auto" w:fill="FFFFFF"/>
              </w:rPr>
            </w:pPr>
          </w:p>
        </w:tc>
        <w:tc>
          <w:tcPr>
            <w:tcW w:w="7970" w:type="dxa"/>
            <w:gridSpan w:val="2"/>
            <w:tcBorders>
              <w:top w:val="single" w:color="auto" w:sz="4" w:space="0"/>
              <w:left w:val="single" w:color="auto" w:sz="4" w:space="0"/>
              <w:bottom w:val="single" w:color="auto" w:sz="4" w:space="0"/>
              <w:right w:val="single" w:color="auto" w:sz="4" w:space="0"/>
            </w:tcBorders>
            <w:vAlign w:val="center"/>
          </w:tcPr>
          <w:p>
            <w:pPr>
              <w:widowControl/>
              <w:spacing w:line="500" w:lineRule="exact"/>
              <w:ind w:firstLine="240" w:firstLineChars="100"/>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具体情况说明：无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9" w:type="dxa"/>
            <w:vMerge w:val="restart"/>
            <w:vAlign w:val="center"/>
          </w:tcPr>
          <w:p>
            <w:pPr>
              <w:widowControl/>
              <w:spacing w:line="44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生产</w:t>
            </w:r>
          </w:p>
          <w:p>
            <w:pPr>
              <w:widowControl/>
              <w:spacing w:line="44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建设</w:t>
            </w:r>
          </w:p>
          <w:p>
            <w:pPr>
              <w:widowControl/>
              <w:spacing w:line="44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单位</w:t>
            </w:r>
          </w:p>
          <w:p>
            <w:pPr>
              <w:widowControl/>
              <w:spacing w:line="44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相关</w:t>
            </w:r>
          </w:p>
          <w:p>
            <w:pPr>
              <w:widowControl/>
              <w:spacing w:line="44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信息</w:t>
            </w:r>
          </w:p>
        </w:tc>
        <w:tc>
          <w:tcPr>
            <w:tcW w:w="7970" w:type="dxa"/>
            <w:gridSpan w:val="2"/>
            <w:vAlign w:val="center"/>
          </w:tcPr>
          <w:p>
            <w:pPr>
              <w:widowControl/>
              <w:spacing w:line="560" w:lineRule="exact"/>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生产建设单位名称：</w:t>
            </w:r>
            <w:r>
              <w:rPr>
                <w:rStyle w:val="26"/>
                <w:rFonts w:hint="eastAsia" w:eastAsia="楷体"/>
                <w:b w:val="0"/>
                <w:color w:val="000000" w:themeColor="text1"/>
                <w:szCs w:val="24"/>
                <w:shd w:val="clear" w:color="auto" w:fill="FFFFFF"/>
                <w:lang w:eastAsia="zh-CN"/>
              </w:rPr>
              <w:t>农安县东兴实业有限公司</w:t>
            </w:r>
            <w:r>
              <w:rPr>
                <w:rStyle w:val="26"/>
                <w:rFonts w:eastAsia="楷体"/>
                <w:b w:val="0"/>
                <w:color w:val="000000" w:themeColor="text1"/>
                <w:szCs w:val="24"/>
                <w:shd w:val="clear" w:color="auto" w:fill="FFFFFF"/>
              </w:rPr>
              <w:t>，法人无变更。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9" w:type="dxa"/>
            <w:vMerge w:val="continue"/>
          </w:tcPr>
          <w:p>
            <w:pPr>
              <w:widowControl/>
              <w:spacing w:line="560" w:lineRule="exact"/>
              <w:rPr>
                <w:rStyle w:val="26"/>
                <w:rFonts w:eastAsia="楷体"/>
                <w:b w:val="0"/>
                <w:color w:val="000000" w:themeColor="text1"/>
                <w:szCs w:val="24"/>
                <w:shd w:val="clear" w:color="auto" w:fill="FFFFFF"/>
              </w:rPr>
            </w:pPr>
          </w:p>
        </w:tc>
        <w:tc>
          <w:tcPr>
            <w:tcW w:w="7970" w:type="dxa"/>
            <w:gridSpan w:val="2"/>
            <w:vAlign w:val="center"/>
          </w:tcPr>
          <w:p>
            <w:pPr>
              <w:widowControl/>
              <w:spacing w:line="560" w:lineRule="exact"/>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统一社会信用代码：</w:t>
            </w:r>
            <w:r>
              <w:rPr>
                <w:rStyle w:val="26"/>
                <w:rFonts w:hint="eastAsia" w:eastAsia="楷体"/>
                <w:b w:val="0"/>
                <w:color w:val="000000" w:themeColor="text1"/>
                <w:szCs w:val="24"/>
                <w:shd w:val="clear" w:color="auto" w:fill="FFFFFF"/>
                <w:lang w:eastAsia="zh-CN"/>
              </w:rPr>
              <w:t>91220122MA84NDFW3W</w:t>
            </w:r>
            <w:r>
              <w:rPr>
                <w:rStyle w:val="26"/>
                <w:rFonts w:eastAsia="楷体"/>
                <w:b w:val="0"/>
                <w:color w:val="000000" w:themeColor="text1"/>
                <w:szCs w:val="24"/>
                <w:shd w:val="clear" w:color="auto" w:fill="FFFFFF"/>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9" w:type="dxa"/>
            <w:vMerge w:val="continue"/>
          </w:tcPr>
          <w:p>
            <w:pPr>
              <w:widowControl/>
              <w:spacing w:line="560" w:lineRule="exact"/>
              <w:rPr>
                <w:rStyle w:val="26"/>
                <w:rFonts w:eastAsia="楷体"/>
                <w:b w:val="0"/>
                <w:color w:val="000000" w:themeColor="text1"/>
                <w:szCs w:val="24"/>
                <w:shd w:val="clear" w:color="auto" w:fill="FFFFFF"/>
              </w:rPr>
            </w:pPr>
          </w:p>
        </w:tc>
        <w:tc>
          <w:tcPr>
            <w:tcW w:w="7970" w:type="dxa"/>
            <w:gridSpan w:val="2"/>
            <w:vAlign w:val="center"/>
          </w:tcPr>
          <w:p>
            <w:pPr>
              <w:widowControl/>
              <w:spacing w:line="560" w:lineRule="exact"/>
              <w:rPr>
                <w:rStyle w:val="26"/>
                <w:rFonts w:eastAsia="楷体"/>
                <w:b w:val="0"/>
                <w:color w:val="000000" w:themeColor="text1"/>
                <w:szCs w:val="24"/>
                <w:highlight w:val="yellow"/>
                <w:shd w:val="clear" w:color="auto" w:fill="FFFFFF"/>
              </w:rPr>
            </w:pPr>
            <w:r>
              <w:rPr>
                <w:rStyle w:val="26"/>
                <w:rFonts w:eastAsia="楷体"/>
                <w:b w:val="0"/>
                <w:color w:val="000000" w:themeColor="text1"/>
                <w:szCs w:val="24"/>
                <w:shd w:val="clear" w:color="auto" w:fill="FFFFFF"/>
              </w:rPr>
              <w:t>地    址：</w:t>
            </w:r>
            <w:r>
              <w:rPr>
                <w:rStyle w:val="26"/>
                <w:rFonts w:hint="eastAsia" w:eastAsia="楷体"/>
                <w:b w:val="0"/>
                <w:color w:val="000000" w:themeColor="text1"/>
                <w:szCs w:val="24"/>
                <w:shd w:val="clear" w:color="auto" w:fill="FFFFFF"/>
              </w:rPr>
              <w:t>吉林省农安县农安镇农副产品贸易中心综合楼3/2-39</w:t>
            </w:r>
          </w:p>
          <w:p>
            <w:pPr>
              <w:widowControl/>
              <w:spacing w:line="560" w:lineRule="exact"/>
              <w:rPr>
                <w:rStyle w:val="26"/>
                <w:rFonts w:hint="eastAsia" w:eastAsia="楷体"/>
                <w:b w:val="0"/>
                <w:color w:val="000000" w:themeColor="text1"/>
                <w:szCs w:val="24"/>
                <w:shd w:val="clear" w:color="auto" w:fill="FFFFFF"/>
                <w:lang w:eastAsia="zh-CN"/>
              </w:rPr>
            </w:pPr>
            <w:r>
              <w:rPr>
                <w:rStyle w:val="26"/>
                <w:rFonts w:eastAsia="楷体"/>
                <w:b w:val="0"/>
                <w:color w:val="000000" w:themeColor="text1"/>
                <w:szCs w:val="24"/>
                <w:shd w:val="clear" w:color="auto" w:fill="FFFFFF"/>
              </w:rPr>
              <w:t>电子信箱：</w:t>
            </w:r>
            <w:r>
              <w:rPr>
                <w:rStyle w:val="26"/>
                <w:rFonts w:hint="eastAsia" w:eastAsia="楷体"/>
                <w:b w:val="0"/>
                <w:color w:val="000000" w:themeColor="text1"/>
                <w:szCs w:val="24"/>
                <w:shd w:val="clear" w:color="auto" w:fill="FFFFFF"/>
                <w:lang w:eastAsia="zh-CN"/>
              </w:rPr>
              <w:t>812439296@qq.com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9" w:type="dxa"/>
            <w:vMerge w:val="continue"/>
          </w:tcPr>
          <w:p>
            <w:pPr>
              <w:widowControl/>
              <w:spacing w:line="560" w:lineRule="exact"/>
              <w:rPr>
                <w:rStyle w:val="26"/>
                <w:rFonts w:eastAsia="楷体"/>
                <w:b w:val="0"/>
                <w:color w:val="000000" w:themeColor="text1"/>
                <w:szCs w:val="24"/>
                <w:shd w:val="clear" w:color="auto" w:fill="FFFFFF"/>
              </w:rPr>
            </w:pPr>
          </w:p>
        </w:tc>
        <w:tc>
          <w:tcPr>
            <w:tcW w:w="7970" w:type="dxa"/>
            <w:gridSpan w:val="2"/>
            <w:vAlign w:val="center"/>
          </w:tcPr>
          <w:p>
            <w:pPr>
              <w:widowControl/>
              <w:spacing w:line="560" w:lineRule="exact"/>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法人代表：</w:t>
            </w:r>
            <w:r>
              <w:rPr>
                <w:rStyle w:val="26"/>
                <w:rFonts w:hint="eastAsia" w:eastAsia="楷体"/>
                <w:b w:val="0"/>
                <w:color w:val="000000" w:themeColor="text1"/>
                <w:szCs w:val="24"/>
                <w:shd w:val="clear" w:color="auto" w:fill="FFFFFF"/>
                <w:lang w:eastAsia="zh-CN"/>
              </w:rPr>
              <w:t xml:space="preserve">徐淑春 </w:t>
            </w:r>
            <w:r>
              <w:rPr>
                <w:rStyle w:val="26"/>
                <w:rFonts w:eastAsia="楷体"/>
                <w:b w:val="0"/>
                <w:color w:val="000000" w:themeColor="text1"/>
                <w:szCs w:val="24"/>
                <w:shd w:val="clear" w:color="auto" w:fill="FFFFFF"/>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9" w:type="dxa"/>
            <w:vMerge w:val="continue"/>
          </w:tcPr>
          <w:p>
            <w:pPr>
              <w:widowControl/>
              <w:spacing w:line="560" w:lineRule="exact"/>
              <w:rPr>
                <w:rStyle w:val="26"/>
                <w:rFonts w:eastAsia="楷体"/>
                <w:b w:val="0"/>
                <w:color w:val="000000" w:themeColor="text1"/>
                <w:szCs w:val="24"/>
                <w:shd w:val="clear" w:color="auto" w:fill="FFFFFF"/>
              </w:rPr>
            </w:pPr>
          </w:p>
        </w:tc>
        <w:tc>
          <w:tcPr>
            <w:tcW w:w="7970" w:type="dxa"/>
            <w:gridSpan w:val="2"/>
            <w:vAlign w:val="center"/>
          </w:tcPr>
          <w:p>
            <w:pPr>
              <w:widowControl/>
              <w:spacing w:line="400" w:lineRule="exact"/>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授权经办人姓名：</w:t>
            </w:r>
            <w:r>
              <w:rPr>
                <w:rStyle w:val="26"/>
                <w:rFonts w:hint="eastAsia" w:eastAsia="楷体"/>
                <w:b w:val="0"/>
                <w:color w:val="000000" w:themeColor="text1"/>
                <w:szCs w:val="24"/>
                <w:shd w:val="clear" w:color="auto" w:fill="FFFFFF"/>
                <w:lang w:eastAsia="zh-CN"/>
              </w:rPr>
              <w:t>付瑶</w:t>
            </w:r>
            <w:r>
              <w:rPr>
                <w:rStyle w:val="26"/>
                <w:rFonts w:eastAsia="楷体"/>
                <w:b w:val="0"/>
                <w:color w:val="000000" w:themeColor="text1"/>
                <w:szCs w:val="24"/>
                <w:shd w:val="clear" w:color="auto" w:fill="FFFFFF"/>
              </w:rPr>
              <w:t xml:space="preserve">    联系电话：</w:t>
            </w:r>
            <w:r>
              <w:rPr>
                <w:rStyle w:val="26"/>
                <w:rFonts w:hint="eastAsia" w:eastAsia="楷体"/>
                <w:b w:val="0"/>
                <w:color w:val="000000" w:themeColor="text1"/>
                <w:szCs w:val="24"/>
                <w:shd w:val="clear" w:color="auto" w:fill="FFFFFF"/>
                <w:lang w:eastAsia="zh-CN"/>
              </w:rPr>
              <w:t>13041397777</w:t>
            </w:r>
            <w:r>
              <w:rPr>
                <w:rStyle w:val="26"/>
                <w:rFonts w:eastAsia="楷体"/>
                <w:b w:val="0"/>
                <w:color w:val="000000" w:themeColor="text1"/>
                <w:szCs w:val="24"/>
                <w:shd w:val="clear" w:color="auto" w:fill="FFFFFF"/>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9" w:type="dxa"/>
            <w:vMerge w:val="continue"/>
          </w:tcPr>
          <w:p>
            <w:pPr>
              <w:widowControl/>
              <w:spacing w:line="560" w:lineRule="exact"/>
              <w:rPr>
                <w:rStyle w:val="26"/>
                <w:rFonts w:eastAsia="楷体"/>
                <w:b w:val="0"/>
                <w:color w:val="000000" w:themeColor="text1"/>
                <w:szCs w:val="24"/>
                <w:shd w:val="clear" w:color="auto" w:fill="FFFFFF"/>
              </w:rPr>
            </w:pPr>
          </w:p>
        </w:tc>
        <w:tc>
          <w:tcPr>
            <w:tcW w:w="7970" w:type="dxa"/>
            <w:gridSpan w:val="2"/>
            <w:vAlign w:val="center"/>
          </w:tcPr>
          <w:p>
            <w:pPr>
              <w:widowControl/>
              <w:spacing w:line="300" w:lineRule="exact"/>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（是</w:t>
            </w:r>
            <w:r>
              <w:rPr>
                <w:rStyle w:val="26"/>
                <w:rFonts w:hint="eastAsia" w:eastAsia="楷体"/>
                <w:b w:val="0"/>
                <w:color w:val="000000" w:themeColor="text1"/>
                <w:szCs w:val="24"/>
                <w:shd w:val="clear" w:color="auto" w:fill="FFFFFF"/>
              </w:rPr>
              <w:t>□</w:t>
            </w:r>
            <w:r>
              <w:rPr>
                <w:rStyle w:val="26"/>
                <w:rFonts w:eastAsia="楷体"/>
                <w:b w:val="0"/>
                <w:color w:val="000000" w:themeColor="text1"/>
                <w:szCs w:val="24"/>
                <w:shd w:val="clear" w:color="auto" w:fill="FFFFFF"/>
              </w:rPr>
              <w:t xml:space="preserve"> 否☑）属于带方案出让土地的生产建设项目。</w:t>
            </w:r>
          </w:p>
          <w:p>
            <w:pPr>
              <w:widowControl/>
              <w:spacing w:line="300" w:lineRule="exact"/>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注：对带方案（或水土保持后续设计）出让土地的生产建设项目,如相关手续完备且不涉及重大变更，只需向相应水行政主管部门及时报备有关情况并承诺相应的水土保持责任，不需重新办理水土保持方案审批和水土保持后续设计审核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atLeast"/>
          <w:jc w:val="center"/>
        </w:trPr>
        <w:tc>
          <w:tcPr>
            <w:tcW w:w="1109" w:type="dxa"/>
            <w:vMerge w:val="continue"/>
            <w:vAlign w:val="center"/>
          </w:tcPr>
          <w:p>
            <w:pPr>
              <w:widowControl/>
              <w:spacing w:line="440" w:lineRule="exact"/>
              <w:jc w:val="center"/>
              <w:rPr>
                <w:rStyle w:val="26"/>
                <w:rFonts w:eastAsia="楷体"/>
                <w:b w:val="0"/>
                <w:color w:val="000000" w:themeColor="text1"/>
                <w:szCs w:val="24"/>
                <w:shd w:val="clear" w:color="auto" w:fill="FFFFFF"/>
              </w:rPr>
            </w:pPr>
          </w:p>
        </w:tc>
        <w:tc>
          <w:tcPr>
            <w:tcW w:w="1179" w:type="dxa"/>
            <w:vAlign w:val="center"/>
          </w:tcPr>
          <w:p>
            <w:pPr>
              <w:widowControl/>
              <w:spacing w:line="36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违法违规问题处理情况说明</w:t>
            </w:r>
          </w:p>
        </w:tc>
        <w:tc>
          <w:tcPr>
            <w:tcW w:w="6791" w:type="dxa"/>
            <w:vAlign w:val="center"/>
          </w:tcPr>
          <w:p>
            <w:pPr>
              <w:widowControl/>
              <w:spacing w:line="40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（是</w:t>
            </w:r>
            <w:r>
              <w:rPr>
                <w:rStyle w:val="26"/>
                <w:rFonts w:hint="eastAsia" w:eastAsia="楷体"/>
                <w:b w:val="0"/>
                <w:color w:val="000000" w:themeColor="text1"/>
                <w:szCs w:val="24"/>
                <w:shd w:val="clear" w:color="auto" w:fill="FFFFFF"/>
                <w:lang w:eastAsia="zh-CN"/>
              </w:rPr>
              <w:t>☑</w:t>
            </w:r>
            <w:r>
              <w:rPr>
                <w:rStyle w:val="26"/>
                <w:rFonts w:eastAsia="楷体"/>
                <w:b w:val="0"/>
                <w:color w:val="000000" w:themeColor="text1"/>
                <w:szCs w:val="24"/>
                <w:shd w:val="clear" w:color="auto" w:fill="FFFFFF"/>
              </w:rPr>
              <w:t xml:space="preserve">  否</w:t>
            </w:r>
            <w:r>
              <w:rPr>
                <w:rStyle w:val="26"/>
                <w:rFonts w:hint="eastAsia" w:eastAsia="楷体"/>
                <w:b w:val="0"/>
                <w:color w:val="000000" w:themeColor="text1"/>
                <w:szCs w:val="24"/>
                <w:shd w:val="clear" w:color="auto" w:fill="FFFFFF"/>
                <w:lang w:eastAsia="zh-CN"/>
              </w:rPr>
              <w:t>□</w:t>
            </w:r>
            <w:r>
              <w:rPr>
                <w:rStyle w:val="26"/>
                <w:rFonts w:eastAsia="楷体"/>
                <w:b w:val="0"/>
                <w:color w:val="000000" w:themeColor="text1"/>
                <w:szCs w:val="24"/>
                <w:shd w:val="clear" w:color="auto" w:fill="FFFFFF"/>
              </w:rPr>
              <w:t>）存在违法违规问题</w:t>
            </w:r>
          </w:p>
          <w:p>
            <w:pPr>
              <w:widowControl/>
              <w:spacing w:line="280" w:lineRule="exact"/>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存在违法违规问题及处理情况：</w:t>
            </w:r>
            <w:r>
              <w:rPr>
                <w:rStyle w:val="26"/>
                <w:rFonts w:hint="eastAsia" w:eastAsia="楷体"/>
                <w:b w:val="0"/>
                <w:color w:val="000000" w:themeColor="text1"/>
                <w:szCs w:val="24"/>
                <w:shd w:val="clear" w:color="auto" w:fill="FFFFFF"/>
              </w:rPr>
              <w:t>涉及未批先建；</w:t>
            </w:r>
            <w:r>
              <w:rPr>
                <w:rStyle w:val="26"/>
                <w:rFonts w:eastAsia="楷体"/>
                <w:b w:val="0"/>
                <w:color w:val="000000" w:themeColor="text1"/>
                <w:szCs w:val="24"/>
                <w:shd w:val="clear" w:color="auto" w:fill="FFFFFF"/>
              </w:rPr>
              <w:t xml:space="preserve">（注：严格水土保持方案审批，对不符合水土保持法律法规、技术标准等要求的一律不予许可，严守生态红线。严格水土保持方案变更管理，对存在违法违规行为的要先行进行查处）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9" w:type="dxa"/>
            <w:vMerge w:val="restart"/>
            <w:vAlign w:val="center"/>
          </w:tcPr>
          <w:p>
            <w:pPr>
              <w:widowControl/>
              <w:spacing w:line="44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水土</w:t>
            </w:r>
          </w:p>
          <w:p>
            <w:pPr>
              <w:widowControl/>
              <w:spacing w:line="44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保持</w:t>
            </w:r>
          </w:p>
          <w:p>
            <w:pPr>
              <w:widowControl/>
              <w:spacing w:line="44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方案</w:t>
            </w:r>
          </w:p>
          <w:p>
            <w:pPr>
              <w:widowControl/>
              <w:spacing w:line="44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公开</w:t>
            </w:r>
          </w:p>
          <w:p>
            <w:pPr>
              <w:widowControl/>
              <w:spacing w:line="44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情况</w:t>
            </w:r>
          </w:p>
        </w:tc>
        <w:tc>
          <w:tcPr>
            <w:tcW w:w="7970" w:type="dxa"/>
            <w:gridSpan w:val="2"/>
            <w:vAlign w:val="center"/>
          </w:tcPr>
          <w:p>
            <w:pPr>
              <w:widowControl/>
              <w:spacing w:line="560" w:lineRule="exact"/>
              <w:rPr>
                <w:rFonts w:eastAsia="楷体"/>
                <w:bCs/>
                <w:color w:val="000000" w:themeColor="text1"/>
                <w:szCs w:val="24"/>
                <w:shd w:val="clear" w:color="auto" w:fill="FFFFFF"/>
              </w:rPr>
            </w:pPr>
            <w:r>
              <w:rPr>
                <w:rStyle w:val="26"/>
                <w:rFonts w:eastAsia="楷体"/>
                <w:b w:val="0"/>
                <w:color w:val="000000" w:themeColor="text1"/>
                <w:szCs w:val="24"/>
                <w:shd w:val="clear" w:color="auto" w:fill="FFFFFF"/>
              </w:rPr>
              <w:t xml:space="preserve">   </w:t>
            </w:r>
            <w:r>
              <w:rPr>
                <w:rStyle w:val="26"/>
                <w:rFonts w:hint="eastAsia" w:eastAsia="楷体"/>
                <w:b w:val="0"/>
                <w:color w:val="000000" w:themeColor="text1"/>
                <w:szCs w:val="24"/>
                <w:shd w:val="clear" w:color="auto" w:fill="FFFFFF"/>
              </w:rPr>
              <w:t>□</w:t>
            </w:r>
            <w:r>
              <w:rPr>
                <w:rStyle w:val="26"/>
                <w:rFonts w:eastAsia="楷体"/>
                <w:b w:val="0"/>
                <w:color w:val="000000" w:themeColor="text1"/>
                <w:szCs w:val="24"/>
                <w:shd w:val="clear" w:color="auto" w:fill="FFFFFF"/>
              </w:rPr>
              <w:t xml:space="preserve">水土保持方案报告书   ☑水土保持方案报告表   </w:t>
            </w:r>
            <w:r>
              <w:rPr>
                <w:rStyle w:val="26"/>
                <w:rFonts w:hint="eastAsia" w:eastAsia="楷体"/>
                <w:b w:val="0"/>
                <w:color w:val="000000" w:themeColor="text1"/>
                <w:szCs w:val="24"/>
                <w:shd w:val="clear" w:color="auto" w:fill="FFFFFF"/>
              </w:rPr>
              <w:t>□</w:t>
            </w:r>
            <w:r>
              <w:rPr>
                <w:rStyle w:val="26"/>
                <w:rFonts w:eastAsia="楷体"/>
                <w:b w:val="0"/>
                <w:color w:val="000000" w:themeColor="text1"/>
                <w:szCs w:val="24"/>
                <w:shd w:val="clear" w:color="auto" w:fill="FFFFFF"/>
              </w:rPr>
              <w:t xml:space="preserve">补充编报方案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109" w:type="dxa"/>
            <w:vMerge w:val="continue"/>
            <w:vAlign w:val="center"/>
          </w:tcPr>
          <w:p>
            <w:pPr>
              <w:widowControl/>
              <w:spacing w:line="440" w:lineRule="exact"/>
              <w:jc w:val="center"/>
              <w:rPr>
                <w:rStyle w:val="26"/>
                <w:rFonts w:eastAsia="楷体"/>
                <w:b w:val="0"/>
                <w:color w:val="000000" w:themeColor="text1"/>
                <w:szCs w:val="24"/>
                <w:shd w:val="clear" w:color="auto" w:fill="FFFFFF"/>
              </w:rPr>
            </w:pPr>
          </w:p>
        </w:tc>
        <w:tc>
          <w:tcPr>
            <w:tcW w:w="7970" w:type="dxa"/>
            <w:gridSpan w:val="2"/>
            <w:vAlign w:val="center"/>
          </w:tcPr>
          <w:p>
            <w:pPr>
              <w:widowControl/>
              <w:spacing w:line="560" w:lineRule="exact"/>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水土保持方案编制单位：</w:t>
            </w:r>
            <w:r>
              <w:rPr>
                <w:rStyle w:val="26"/>
                <w:rFonts w:hint="eastAsia" w:eastAsia="楷体"/>
                <w:b w:val="0"/>
                <w:color w:val="000000" w:themeColor="text1"/>
                <w:szCs w:val="24"/>
                <w:shd w:val="clear" w:color="auto" w:fill="FFFFFF"/>
              </w:rPr>
              <w:t>吉林省玖伏环境科技有限公司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9" w:type="dxa"/>
            <w:vMerge w:val="continue"/>
          </w:tcPr>
          <w:p>
            <w:pPr>
              <w:widowControl/>
              <w:spacing w:line="440" w:lineRule="exact"/>
              <w:jc w:val="center"/>
              <w:rPr>
                <w:rStyle w:val="26"/>
                <w:rFonts w:eastAsia="楷体"/>
                <w:b w:val="0"/>
                <w:color w:val="000000" w:themeColor="text1"/>
                <w:szCs w:val="24"/>
                <w:shd w:val="clear" w:color="auto" w:fill="FFFFFF"/>
              </w:rPr>
            </w:pPr>
          </w:p>
        </w:tc>
        <w:tc>
          <w:tcPr>
            <w:tcW w:w="7970" w:type="dxa"/>
            <w:gridSpan w:val="2"/>
            <w:vAlign w:val="center"/>
          </w:tcPr>
          <w:p>
            <w:pPr>
              <w:widowControl/>
              <w:spacing w:line="400" w:lineRule="exact"/>
              <w:rPr>
                <w:rFonts w:eastAsia="楷体"/>
                <w:bCs/>
                <w:color w:val="000000" w:themeColor="text1"/>
                <w:szCs w:val="24"/>
                <w:shd w:val="clear" w:color="auto" w:fill="FFFFFF"/>
              </w:rPr>
            </w:pPr>
            <w:r>
              <w:rPr>
                <w:rStyle w:val="26"/>
                <w:rFonts w:eastAsia="楷体"/>
                <w:b w:val="0"/>
                <w:color w:val="000000" w:themeColor="text1"/>
                <w:szCs w:val="24"/>
                <w:shd w:val="clear" w:color="auto" w:fill="FFFFFF"/>
              </w:rPr>
              <w:t>完整立项项目水土保持防治责任范围为：</w:t>
            </w:r>
            <w:r>
              <w:rPr>
                <w:rStyle w:val="26"/>
                <w:rFonts w:hint="eastAsia" w:eastAsia="楷体"/>
                <w:b w:val="0"/>
                <w:color w:val="000000" w:themeColor="text1"/>
                <w:szCs w:val="24"/>
                <w:shd w:val="clear" w:color="auto" w:fill="FFFFFF"/>
                <w:lang w:val="en-US" w:eastAsia="zh-CN"/>
              </w:rPr>
              <w:t>1.30</w:t>
            </w:r>
            <w:r>
              <w:rPr>
                <w:rStyle w:val="26"/>
                <w:rFonts w:eastAsia="楷体"/>
                <w:b w:val="0"/>
                <w:color w:val="000000" w:themeColor="text1"/>
                <w:szCs w:val="24"/>
                <w:shd w:val="clear" w:color="auto" w:fill="FFFFFF"/>
              </w:rPr>
              <w:t xml:space="preserve">公顷，挖填土石方总量为： </w:t>
            </w:r>
            <w:r>
              <w:rPr>
                <w:rStyle w:val="26"/>
                <w:rFonts w:hint="eastAsia" w:eastAsia="楷体"/>
                <w:b w:val="0"/>
                <w:color w:val="000000" w:themeColor="text1"/>
                <w:szCs w:val="24"/>
                <w:shd w:val="clear" w:color="auto" w:fill="FFFFFF"/>
                <w:lang w:val="en-US" w:eastAsia="zh-CN"/>
              </w:rPr>
              <w:t>1.02</w:t>
            </w:r>
            <w:r>
              <w:rPr>
                <w:rStyle w:val="26"/>
                <w:rFonts w:eastAsia="楷体"/>
                <w:b w:val="0"/>
                <w:color w:val="000000" w:themeColor="text1"/>
                <w:szCs w:val="24"/>
                <w:shd w:val="clear" w:color="auto" w:fill="FFFFFF"/>
              </w:rPr>
              <w:t>万立方米。按规定核算水土保持补偿费金额为：</w:t>
            </w:r>
            <w:r>
              <w:rPr>
                <w:rStyle w:val="26"/>
                <w:rFonts w:hint="eastAsia" w:eastAsia="楷体"/>
                <w:b w:val="0"/>
                <w:color w:val="000000" w:themeColor="text1"/>
                <w:szCs w:val="24"/>
                <w:shd w:val="clear" w:color="auto" w:fill="FFFFFF"/>
                <w:lang w:eastAsia="zh-CN"/>
              </w:rPr>
              <w:t>0.59</w:t>
            </w:r>
            <w:r>
              <w:rPr>
                <w:rStyle w:val="26"/>
                <w:rFonts w:eastAsia="楷体"/>
                <w:b w:val="0"/>
                <w:color w:val="000000" w:themeColor="text1"/>
                <w:szCs w:val="24"/>
                <w:shd w:val="clear" w:color="auto" w:fill="FFFFFF"/>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109" w:type="dxa"/>
            <w:vMerge w:val="continue"/>
          </w:tcPr>
          <w:p>
            <w:pPr>
              <w:widowControl/>
              <w:spacing w:line="440" w:lineRule="exact"/>
              <w:jc w:val="center"/>
              <w:rPr>
                <w:rStyle w:val="26"/>
                <w:rFonts w:eastAsia="楷体"/>
                <w:b w:val="0"/>
                <w:color w:val="000000" w:themeColor="text1"/>
                <w:szCs w:val="24"/>
                <w:shd w:val="clear" w:color="auto" w:fill="FFFFFF"/>
              </w:rPr>
            </w:pPr>
          </w:p>
        </w:tc>
        <w:tc>
          <w:tcPr>
            <w:tcW w:w="7970" w:type="dxa"/>
            <w:gridSpan w:val="2"/>
            <w:vAlign w:val="center"/>
          </w:tcPr>
          <w:p>
            <w:pPr>
              <w:widowControl/>
              <w:spacing w:line="360" w:lineRule="exact"/>
              <w:rPr>
                <w:rFonts w:eastAsia="楷体"/>
                <w:bCs/>
                <w:color w:val="000000" w:themeColor="text1"/>
                <w:szCs w:val="24"/>
                <w:shd w:val="clear" w:color="auto" w:fill="FFFFFF"/>
              </w:rPr>
            </w:pPr>
            <w:r>
              <w:rPr>
                <w:rStyle w:val="26"/>
                <w:rFonts w:eastAsia="楷体"/>
                <w:b w:val="0"/>
                <w:color w:val="000000" w:themeColor="text1"/>
                <w:szCs w:val="24"/>
                <w:shd w:val="clear" w:color="auto" w:fill="FFFFFF"/>
              </w:rPr>
              <w:t>公示网站：http://www.yanshougs.com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9" w:type="dxa"/>
            <w:vMerge w:val="continue"/>
          </w:tcPr>
          <w:p>
            <w:pPr>
              <w:widowControl/>
              <w:spacing w:line="440" w:lineRule="exact"/>
              <w:jc w:val="center"/>
              <w:rPr>
                <w:rStyle w:val="26"/>
                <w:rFonts w:eastAsia="楷体"/>
                <w:b w:val="0"/>
                <w:color w:val="000000" w:themeColor="text1"/>
                <w:szCs w:val="24"/>
                <w:shd w:val="clear" w:color="auto" w:fill="FFFFFF"/>
              </w:rPr>
            </w:pPr>
          </w:p>
        </w:tc>
        <w:tc>
          <w:tcPr>
            <w:tcW w:w="7970" w:type="dxa"/>
            <w:gridSpan w:val="2"/>
            <w:vAlign w:val="center"/>
          </w:tcPr>
          <w:p>
            <w:pPr>
              <w:widowControl/>
              <w:spacing w:line="360" w:lineRule="exact"/>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起止时间：202</w:t>
            </w:r>
            <w:r>
              <w:rPr>
                <w:rStyle w:val="26"/>
                <w:rFonts w:hint="eastAsia" w:eastAsia="楷体"/>
                <w:b w:val="0"/>
                <w:color w:val="000000" w:themeColor="text1"/>
                <w:szCs w:val="24"/>
                <w:shd w:val="clear" w:color="auto" w:fill="FFFFFF"/>
                <w:lang w:val="en-US" w:eastAsia="zh-CN"/>
              </w:rPr>
              <w:t>3</w:t>
            </w:r>
            <w:r>
              <w:rPr>
                <w:rStyle w:val="26"/>
                <w:rFonts w:eastAsia="楷体"/>
                <w:b w:val="0"/>
                <w:color w:val="000000" w:themeColor="text1"/>
                <w:szCs w:val="24"/>
                <w:shd w:val="clear" w:color="auto" w:fill="FFFFFF"/>
              </w:rPr>
              <w:t>年</w:t>
            </w:r>
            <w:r>
              <w:rPr>
                <w:rStyle w:val="26"/>
                <w:rFonts w:hint="eastAsia" w:eastAsia="楷体"/>
                <w:b w:val="0"/>
                <w:color w:val="000000" w:themeColor="text1"/>
                <w:szCs w:val="24"/>
                <w:shd w:val="clear" w:color="auto" w:fill="FFFFFF"/>
                <w:lang w:val="en-US" w:eastAsia="zh-CN"/>
              </w:rPr>
              <w:t>2</w:t>
            </w:r>
            <w:r>
              <w:rPr>
                <w:rStyle w:val="26"/>
                <w:rFonts w:eastAsia="楷体"/>
                <w:b w:val="0"/>
                <w:color w:val="000000" w:themeColor="text1"/>
                <w:szCs w:val="24"/>
                <w:shd w:val="clear" w:color="auto" w:fill="FFFFFF"/>
              </w:rPr>
              <w:t>月</w:t>
            </w:r>
            <w:r>
              <w:rPr>
                <w:rStyle w:val="26"/>
                <w:rFonts w:hint="eastAsia" w:eastAsia="楷体"/>
                <w:b w:val="0"/>
                <w:color w:val="000000" w:themeColor="text1"/>
                <w:szCs w:val="24"/>
                <w:shd w:val="clear" w:color="auto" w:fill="FFFFFF"/>
                <w:lang w:val="en-US" w:eastAsia="zh-CN"/>
              </w:rPr>
              <w:t>2</w:t>
            </w:r>
            <w:r>
              <w:rPr>
                <w:rStyle w:val="26"/>
                <w:rFonts w:eastAsia="楷体"/>
                <w:b w:val="0"/>
                <w:color w:val="000000" w:themeColor="text1"/>
                <w:szCs w:val="24"/>
                <w:shd w:val="clear" w:color="auto" w:fill="FFFFFF"/>
              </w:rPr>
              <w:t>日至202</w:t>
            </w:r>
            <w:r>
              <w:rPr>
                <w:rStyle w:val="26"/>
                <w:rFonts w:hint="eastAsia" w:eastAsia="楷体"/>
                <w:b w:val="0"/>
                <w:color w:val="000000" w:themeColor="text1"/>
                <w:szCs w:val="24"/>
                <w:shd w:val="clear" w:color="auto" w:fill="FFFFFF"/>
              </w:rPr>
              <w:t>2</w:t>
            </w:r>
            <w:r>
              <w:rPr>
                <w:rStyle w:val="26"/>
                <w:rFonts w:eastAsia="楷体"/>
                <w:b w:val="0"/>
                <w:color w:val="000000" w:themeColor="text1"/>
                <w:szCs w:val="24"/>
                <w:shd w:val="clear" w:color="auto" w:fill="FFFFFF"/>
              </w:rPr>
              <w:t>年</w:t>
            </w:r>
            <w:r>
              <w:rPr>
                <w:rStyle w:val="26"/>
                <w:rFonts w:hint="eastAsia" w:eastAsia="楷体"/>
                <w:b w:val="0"/>
                <w:color w:val="000000" w:themeColor="text1"/>
                <w:szCs w:val="24"/>
                <w:shd w:val="clear" w:color="auto" w:fill="FFFFFF"/>
                <w:lang w:val="en-US" w:eastAsia="zh-CN"/>
              </w:rPr>
              <w:t>2</w:t>
            </w:r>
            <w:r>
              <w:rPr>
                <w:rStyle w:val="26"/>
                <w:rFonts w:eastAsia="楷体"/>
                <w:b w:val="0"/>
                <w:color w:val="000000" w:themeColor="text1"/>
                <w:szCs w:val="24"/>
                <w:shd w:val="clear" w:color="auto" w:fill="FFFFFF"/>
              </w:rPr>
              <w:t>月</w:t>
            </w:r>
            <w:r>
              <w:rPr>
                <w:rStyle w:val="26"/>
                <w:rFonts w:hint="eastAsia" w:eastAsia="楷体"/>
                <w:b w:val="0"/>
                <w:color w:val="000000" w:themeColor="text1"/>
                <w:szCs w:val="24"/>
                <w:shd w:val="clear" w:color="auto" w:fill="FFFFFF"/>
                <w:lang w:val="en-US" w:eastAsia="zh-CN"/>
              </w:rPr>
              <w:t>17</w:t>
            </w:r>
            <w:r>
              <w:rPr>
                <w:rStyle w:val="26"/>
                <w:rFonts w:eastAsia="楷体"/>
                <w:b w:val="0"/>
                <w:color w:val="000000" w:themeColor="text1"/>
                <w:szCs w:val="24"/>
                <w:shd w:val="clear" w:color="auto" w:fill="FFFFFF"/>
              </w:rPr>
              <w:t>日</w:t>
            </w:r>
          </w:p>
          <w:p>
            <w:pPr>
              <w:widowControl/>
              <w:spacing w:line="240" w:lineRule="exact"/>
              <w:rPr>
                <w:rFonts w:eastAsia="楷体"/>
                <w:bCs/>
                <w:color w:val="000000" w:themeColor="text1"/>
                <w:szCs w:val="24"/>
                <w:shd w:val="clear" w:color="auto" w:fill="FFFFFF"/>
              </w:rPr>
            </w:pPr>
            <w:r>
              <w:rPr>
                <w:rStyle w:val="26"/>
                <w:rFonts w:eastAsia="楷体"/>
                <w:b w:val="0"/>
                <w:color w:val="000000" w:themeColor="text1"/>
                <w:szCs w:val="24"/>
                <w:shd w:val="clear" w:color="auto" w:fill="FFFFFF"/>
              </w:rPr>
              <w:t>（注：水土保持方案在报批前，生产建设单位应当通过其网站、生产建设项目所在地公共媒体网站或者相关政府网站向社会公开拟报批的水土保持方案全文，且持续公开期限不得少于10个工作日）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109" w:type="dxa"/>
            <w:vMerge w:val="continue"/>
            <w:tcBorders>
              <w:bottom w:val="single" w:color="auto" w:sz="4" w:space="0"/>
            </w:tcBorders>
          </w:tcPr>
          <w:p>
            <w:pPr>
              <w:widowControl/>
              <w:spacing w:line="440" w:lineRule="exact"/>
              <w:jc w:val="center"/>
              <w:rPr>
                <w:rStyle w:val="26"/>
                <w:rFonts w:eastAsia="楷体"/>
                <w:b w:val="0"/>
                <w:color w:val="000000" w:themeColor="text1"/>
                <w:szCs w:val="24"/>
                <w:shd w:val="clear" w:color="auto" w:fill="FFFFFF"/>
              </w:rPr>
            </w:pPr>
          </w:p>
        </w:tc>
        <w:tc>
          <w:tcPr>
            <w:tcW w:w="7970" w:type="dxa"/>
            <w:gridSpan w:val="2"/>
            <w:tcBorders>
              <w:bottom w:val="single" w:color="auto" w:sz="4" w:space="0"/>
            </w:tcBorders>
          </w:tcPr>
          <w:p>
            <w:pPr>
              <w:widowControl/>
              <w:spacing w:line="560" w:lineRule="exact"/>
              <w:rPr>
                <w:rFonts w:eastAsia="楷体"/>
                <w:bCs/>
                <w:color w:val="000000" w:themeColor="text1"/>
                <w:szCs w:val="24"/>
                <w:shd w:val="clear" w:color="auto" w:fill="FFFFFF"/>
              </w:rPr>
            </w:pPr>
            <w:r>
              <w:rPr>
                <w:rStyle w:val="26"/>
                <w:rFonts w:eastAsia="楷体"/>
                <w:b w:val="0"/>
                <w:color w:val="000000" w:themeColor="text1"/>
                <w:szCs w:val="24"/>
                <w:shd w:val="clear" w:color="auto" w:fill="FFFFFF"/>
              </w:rPr>
              <w:t>公众意见接受和处理情况</w:t>
            </w:r>
            <w:bookmarkStart w:id="63" w:name="_GoBack"/>
            <w:bookmarkEnd w:id="63"/>
            <w:r>
              <w:rPr>
                <w:rStyle w:val="26"/>
                <w:rFonts w:eastAsia="楷体"/>
                <w:b w:val="0"/>
                <w:color w:val="000000" w:themeColor="text1"/>
                <w:szCs w:val="24"/>
                <w:shd w:val="clear" w:color="auto" w:fill="FFFFFF"/>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9" w:type="dxa"/>
            <w:vMerge w:val="restart"/>
            <w:tcBorders>
              <w:top w:val="single" w:color="auto" w:sz="4" w:space="0"/>
              <w:left w:val="single" w:color="auto" w:sz="4" w:space="0"/>
              <w:bottom w:val="nil"/>
              <w:right w:val="single" w:color="auto" w:sz="4" w:space="0"/>
            </w:tcBorders>
            <w:vAlign w:val="center"/>
          </w:tcPr>
          <w:p>
            <w:pPr>
              <w:widowControl/>
              <w:spacing w:line="44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省级</w:t>
            </w:r>
          </w:p>
          <w:p>
            <w:pPr>
              <w:widowControl/>
              <w:spacing w:line="44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专家</w:t>
            </w:r>
          </w:p>
          <w:p>
            <w:pPr>
              <w:widowControl/>
              <w:spacing w:line="44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审查</w:t>
            </w:r>
          </w:p>
          <w:p>
            <w:pPr>
              <w:widowControl/>
              <w:spacing w:line="440" w:lineRule="exact"/>
              <w:jc w:val="center"/>
              <w:rPr>
                <w:rFonts w:eastAsia="楷体"/>
                <w:color w:val="000000" w:themeColor="text1"/>
                <w:szCs w:val="24"/>
              </w:rPr>
            </w:pPr>
            <w:r>
              <w:rPr>
                <w:rStyle w:val="26"/>
                <w:rFonts w:eastAsia="楷体"/>
                <w:b w:val="0"/>
                <w:color w:val="000000" w:themeColor="text1"/>
                <w:szCs w:val="24"/>
                <w:shd w:val="clear" w:color="auto" w:fill="FFFFFF"/>
              </w:rPr>
              <w:t>情况</w:t>
            </w:r>
          </w:p>
        </w:tc>
        <w:tc>
          <w:tcPr>
            <w:tcW w:w="7970" w:type="dxa"/>
            <w:gridSpan w:val="2"/>
            <w:tcBorders>
              <w:top w:val="single" w:color="auto" w:sz="4" w:space="0"/>
              <w:left w:val="single" w:color="auto" w:sz="4" w:space="0"/>
              <w:bottom w:val="single" w:color="auto" w:sz="4" w:space="0"/>
              <w:right w:val="single" w:color="auto" w:sz="4" w:space="0"/>
            </w:tcBorders>
            <w:vAlign w:val="center"/>
          </w:tcPr>
          <w:p>
            <w:pPr>
              <w:widowControl/>
              <w:spacing w:line="560" w:lineRule="exact"/>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专家姓名及身份证号码：1.</w:t>
            </w:r>
            <w:r>
              <w:rPr>
                <w:rFonts w:hint="eastAsia" w:eastAsia="仿宋_GB2312"/>
                <w:color w:val="000000" w:themeColor="text1"/>
                <w:szCs w:val="24"/>
              </w:rPr>
              <w:t xml:space="preserve"> </w:t>
            </w:r>
            <w:r>
              <w:rPr>
                <w:rStyle w:val="26"/>
                <w:rFonts w:eastAsia="楷体"/>
                <w:b w:val="0"/>
                <w:color w:val="000000" w:themeColor="text1"/>
                <w:szCs w:val="24"/>
                <w:shd w:val="clear" w:color="auto" w:fill="FFFFFF"/>
              </w:rPr>
              <w:t>；</w:t>
            </w:r>
            <w:r>
              <w:rPr>
                <w:rStyle w:val="26"/>
                <w:rFonts w:hint="eastAsia" w:eastAsia="楷体"/>
                <w:b w:val="0"/>
                <w:color w:val="000000" w:themeColor="text1"/>
                <w:szCs w:val="24"/>
                <w:shd w:val="clear" w:color="auto" w:fill="FFFFFF"/>
              </w:rPr>
              <w:t>刘洪超22072419800320361X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109" w:type="dxa"/>
            <w:vMerge w:val="continue"/>
            <w:tcBorders>
              <w:top w:val="nil"/>
              <w:left w:val="single" w:color="auto" w:sz="4" w:space="0"/>
              <w:bottom w:val="nil"/>
              <w:right w:val="single" w:color="auto" w:sz="4" w:space="0"/>
            </w:tcBorders>
          </w:tcPr>
          <w:p>
            <w:pPr>
              <w:widowControl/>
              <w:spacing w:line="440" w:lineRule="exact"/>
              <w:jc w:val="center"/>
              <w:rPr>
                <w:rStyle w:val="26"/>
                <w:rFonts w:eastAsia="楷体"/>
                <w:b w:val="0"/>
                <w:color w:val="000000" w:themeColor="text1"/>
                <w:szCs w:val="24"/>
                <w:shd w:val="clear" w:color="auto" w:fill="FFFFFF"/>
              </w:rPr>
            </w:pPr>
          </w:p>
        </w:tc>
        <w:tc>
          <w:tcPr>
            <w:tcW w:w="7970" w:type="dxa"/>
            <w:gridSpan w:val="2"/>
            <w:tcBorders>
              <w:top w:val="single" w:color="auto" w:sz="4" w:space="0"/>
              <w:left w:val="single" w:color="auto" w:sz="4" w:space="0"/>
              <w:bottom w:val="single" w:color="auto" w:sz="4" w:space="0"/>
              <w:right w:val="single" w:color="auto" w:sz="4" w:space="0"/>
            </w:tcBorders>
          </w:tcPr>
          <w:p>
            <w:pPr>
              <w:widowControl/>
              <w:spacing w:line="560" w:lineRule="exact"/>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省级专家意见：同意☑   基本同意</w:t>
            </w:r>
            <w:r>
              <w:rPr>
                <w:rStyle w:val="26"/>
                <w:rFonts w:hint="eastAsia" w:eastAsia="楷体"/>
                <w:b w:val="0"/>
                <w:color w:val="000000" w:themeColor="text1"/>
                <w:szCs w:val="24"/>
                <w:shd w:val="clear" w:color="auto" w:fill="FFFFFF"/>
              </w:rPr>
              <w:t>□</w:t>
            </w:r>
            <w:r>
              <w:rPr>
                <w:rStyle w:val="26"/>
                <w:rFonts w:eastAsia="楷体"/>
                <w:b w:val="0"/>
                <w:color w:val="000000" w:themeColor="text1"/>
                <w:szCs w:val="24"/>
                <w:shd w:val="clear" w:color="auto" w:fill="FFFFFF"/>
              </w:rPr>
              <w:t xml:space="preserve">  不同意</w:t>
            </w:r>
            <w:r>
              <w:rPr>
                <w:rStyle w:val="26"/>
                <w:rFonts w:hint="eastAsia" w:eastAsia="楷体"/>
                <w:b w:val="0"/>
                <w:color w:val="000000" w:themeColor="text1"/>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109" w:type="dxa"/>
            <w:vMerge w:val="continue"/>
            <w:tcBorders>
              <w:top w:val="nil"/>
              <w:left w:val="single" w:color="auto" w:sz="4" w:space="0"/>
              <w:bottom w:val="nil"/>
              <w:right w:val="single" w:color="auto" w:sz="4" w:space="0"/>
            </w:tcBorders>
          </w:tcPr>
          <w:p>
            <w:pPr>
              <w:widowControl/>
              <w:spacing w:line="440" w:lineRule="exact"/>
              <w:jc w:val="center"/>
              <w:rPr>
                <w:rStyle w:val="26"/>
                <w:rFonts w:eastAsia="楷体"/>
                <w:b w:val="0"/>
                <w:color w:val="000000" w:themeColor="text1"/>
                <w:szCs w:val="24"/>
                <w:shd w:val="clear" w:color="auto" w:fill="FFFFFF"/>
              </w:rPr>
            </w:pPr>
          </w:p>
        </w:tc>
        <w:tc>
          <w:tcPr>
            <w:tcW w:w="7970" w:type="dxa"/>
            <w:gridSpan w:val="2"/>
            <w:tcBorders>
              <w:top w:val="single" w:color="auto" w:sz="4" w:space="0"/>
              <w:left w:val="single" w:color="auto" w:sz="4" w:space="0"/>
              <w:bottom w:val="nil"/>
              <w:right w:val="single" w:color="auto" w:sz="4" w:space="0"/>
            </w:tcBorders>
          </w:tcPr>
          <w:p>
            <w:pPr>
              <w:widowControl/>
              <w:spacing w:line="560" w:lineRule="exact"/>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省级专家于</w:t>
            </w:r>
            <w:r>
              <w:rPr>
                <w:rStyle w:val="26"/>
                <w:rFonts w:hint="eastAsia" w:eastAsia="楷体"/>
                <w:b w:val="0"/>
                <w:color w:val="000000" w:themeColor="text1"/>
                <w:szCs w:val="24"/>
                <w:shd w:val="clear" w:color="auto" w:fill="FFFFFF"/>
              </w:rPr>
              <w:t>2022</w:t>
            </w:r>
            <w:r>
              <w:rPr>
                <w:rStyle w:val="26"/>
                <w:rFonts w:eastAsia="楷体"/>
                <w:b w:val="0"/>
                <w:color w:val="000000" w:themeColor="text1"/>
                <w:szCs w:val="24"/>
                <w:shd w:val="clear" w:color="auto" w:fill="FFFFFF"/>
              </w:rPr>
              <w:t>年</w:t>
            </w:r>
            <w:r>
              <w:rPr>
                <w:rStyle w:val="26"/>
                <w:rFonts w:hint="eastAsia" w:eastAsia="楷体"/>
                <w:b w:val="0"/>
                <w:color w:val="000000" w:themeColor="text1"/>
                <w:szCs w:val="24"/>
                <w:shd w:val="clear" w:color="auto" w:fill="FFFFFF"/>
                <w:lang w:val="en-US" w:eastAsia="zh-CN"/>
              </w:rPr>
              <w:t>1</w:t>
            </w:r>
            <w:r>
              <w:rPr>
                <w:rStyle w:val="26"/>
                <w:rFonts w:eastAsia="楷体"/>
                <w:b w:val="0"/>
                <w:color w:val="000000" w:themeColor="text1"/>
                <w:szCs w:val="24"/>
                <w:shd w:val="clear" w:color="auto" w:fill="FFFFFF"/>
              </w:rPr>
              <w:t>月</w:t>
            </w:r>
            <w:r>
              <w:rPr>
                <w:rStyle w:val="26"/>
                <w:rFonts w:hint="eastAsia" w:eastAsia="楷体"/>
                <w:b w:val="0"/>
                <w:color w:val="000000" w:themeColor="text1"/>
                <w:szCs w:val="24"/>
                <w:shd w:val="clear" w:color="auto" w:fill="FFFFFF"/>
                <w:lang w:val="en-US" w:eastAsia="zh-CN"/>
              </w:rPr>
              <w:t>31</w:t>
            </w:r>
            <w:r>
              <w:rPr>
                <w:rStyle w:val="26"/>
                <w:rFonts w:eastAsia="楷体"/>
                <w:b w:val="0"/>
                <w:color w:val="000000" w:themeColor="text1"/>
                <w:szCs w:val="24"/>
                <w:shd w:val="clear" w:color="auto" w:fill="FFFFFF"/>
              </w:rPr>
              <w:t>日将有关情况向省级水行政主管部门报备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9" w:type="dxa"/>
            <w:vMerge w:val="continue"/>
            <w:tcBorders>
              <w:top w:val="nil"/>
              <w:left w:val="single" w:color="auto" w:sz="4" w:space="0"/>
              <w:bottom w:val="single" w:color="auto" w:sz="4" w:space="0"/>
              <w:right w:val="single" w:color="auto" w:sz="4" w:space="0"/>
            </w:tcBorders>
          </w:tcPr>
          <w:p>
            <w:pPr>
              <w:widowControl/>
              <w:spacing w:line="440" w:lineRule="exact"/>
              <w:jc w:val="center"/>
              <w:rPr>
                <w:rStyle w:val="26"/>
                <w:rFonts w:eastAsia="楷体"/>
                <w:b w:val="0"/>
                <w:color w:val="000000" w:themeColor="text1"/>
                <w:szCs w:val="24"/>
                <w:shd w:val="clear" w:color="auto" w:fill="FFFFFF"/>
              </w:rPr>
            </w:pPr>
          </w:p>
        </w:tc>
        <w:tc>
          <w:tcPr>
            <w:tcW w:w="7970" w:type="dxa"/>
            <w:gridSpan w:val="2"/>
            <w:tcBorders>
              <w:top w:val="nil"/>
              <w:left w:val="single" w:color="auto" w:sz="4" w:space="0"/>
              <w:bottom w:val="single" w:color="auto" w:sz="4" w:space="0"/>
              <w:right w:val="single" w:color="auto" w:sz="4" w:space="0"/>
            </w:tcBorders>
            <w:vAlign w:val="center"/>
          </w:tcPr>
          <w:p>
            <w:pPr>
              <w:widowControl/>
              <w:spacing w:line="260" w:lineRule="exact"/>
              <w:rPr>
                <w:rStyle w:val="26"/>
                <w:rFonts w:eastAsia="楷体"/>
                <w:b w:val="0"/>
                <w:color w:val="000000" w:themeColor="text1"/>
                <w:szCs w:val="24"/>
                <w:shd w:val="clear" w:color="auto" w:fill="FFFFFF"/>
              </w:rPr>
            </w:pPr>
            <w:r>
              <w:rPr>
                <w:rFonts w:eastAsia="楷体"/>
                <w:color w:val="000000" w:themeColor="text1"/>
                <w:szCs w:val="24"/>
              </w:rPr>
              <w:t>（注：实行承诺制管理项目，应当由生产建设单位从省级水行政主管部门水土保持方案专家库中自行选取至少一名专家签署是否同意意见，专家应当认真审查方案并对签署的意见负责。多位省级专家参与审查时，应全部参审专家同意后方可通过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9" w:type="dxa"/>
            <w:tcBorders>
              <w:top w:val="single" w:color="auto" w:sz="4" w:space="0"/>
            </w:tcBorders>
            <w:vAlign w:val="center"/>
          </w:tcPr>
          <w:p>
            <w:pPr>
              <w:widowControl/>
              <w:spacing w:line="40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生产</w:t>
            </w:r>
          </w:p>
          <w:p>
            <w:pPr>
              <w:widowControl/>
              <w:spacing w:line="40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建设</w:t>
            </w:r>
          </w:p>
          <w:p>
            <w:pPr>
              <w:widowControl/>
              <w:spacing w:line="40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单位</w:t>
            </w:r>
          </w:p>
          <w:p>
            <w:pPr>
              <w:widowControl/>
              <w:spacing w:line="40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承诺</w:t>
            </w:r>
          </w:p>
          <w:p>
            <w:pPr>
              <w:widowControl/>
              <w:spacing w:line="40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内容</w:t>
            </w:r>
          </w:p>
          <w:p>
            <w:pPr>
              <w:widowControl/>
              <w:spacing w:line="320" w:lineRule="exact"/>
              <w:jc w:val="center"/>
              <w:rPr>
                <w:rStyle w:val="26"/>
                <w:rFonts w:eastAsia="楷体"/>
                <w:b w:val="0"/>
                <w:color w:val="000000" w:themeColor="text1"/>
                <w:szCs w:val="24"/>
                <w:shd w:val="clear" w:color="auto" w:fill="FFFFFF"/>
              </w:rPr>
            </w:pPr>
            <w:r>
              <w:rPr>
                <w:rFonts w:eastAsia="楷体"/>
                <w:color w:val="000000" w:themeColor="text1"/>
                <w:szCs w:val="24"/>
              </w:rPr>
              <w:t>（注：生产建设单位承诺内容与审批部门许可决定不可分离）</w:t>
            </w:r>
          </w:p>
        </w:tc>
        <w:tc>
          <w:tcPr>
            <w:tcW w:w="7970" w:type="dxa"/>
            <w:gridSpan w:val="2"/>
            <w:tcBorders>
              <w:top w:val="single" w:color="auto" w:sz="4" w:space="0"/>
            </w:tcBorders>
          </w:tcPr>
          <w:p>
            <w:pPr>
              <w:widowControl/>
              <w:spacing w:line="360" w:lineRule="exact"/>
              <w:ind w:firstLine="480" w:firstLineChars="200"/>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1.已经知晓审批部门告知事项并将认真履行水土保持各项法定义务。</w:t>
            </w:r>
          </w:p>
          <w:p>
            <w:pPr>
              <w:widowControl/>
              <w:spacing w:line="360" w:lineRule="exact"/>
              <w:ind w:firstLine="480" w:firstLineChars="200"/>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2.所提交的水土保持方案等相关材料符合相关法律法规、技术标准及有关文件规定之要求；所填写的信息真实、完整、准确、可靠，所有签字、印章均真实有效；保证</w:t>
            </w:r>
            <w:r>
              <w:rPr>
                <w:rStyle w:val="26"/>
                <w:rFonts w:hint="eastAsia" w:eastAsia="楷体"/>
                <w:bCs w:val="0"/>
                <w:color w:val="000000" w:themeColor="text1"/>
                <w:szCs w:val="24"/>
                <w:shd w:val="clear" w:color="auto" w:fill="FFFFFF"/>
                <w:lang w:eastAsia="zh-CN"/>
              </w:rPr>
              <w:t>农安县东兴实业有限公司蒸压加气泥凝块年产40万立方项目</w:t>
            </w:r>
            <w:r>
              <w:rPr>
                <w:rStyle w:val="26"/>
                <w:rFonts w:eastAsia="楷体"/>
                <w:b w:val="0"/>
                <w:color w:val="000000" w:themeColor="text1"/>
                <w:szCs w:val="24"/>
                <w:shd w:val="clear" w:color="auto" w:fill="FFFFFF"/>
              </w:rPr>
              <w:t>不存在拆分立项、“以大报小”以及其他违法违规问题。</w:t>
            </w:r>
          </w:p>
          <w:p>
            <w:pPr>
              <w:widowControl/>
              <w:spacing w:line="360" w:lineRule="exact"/>
              <w:ind w:firstLine="480" w:firstLineChars="200"/>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3.严格执行水土保持“三同时”制度（项目开工时间：202</w:t>
            </w:r>
            <w:r>
              <w:rPr>
                <w:rStyle w:val="26"/>
                <w:rFonts w:hint="eastAsia" w:eastAsia="楷体"/>
                <w:b w:val="0"/>
                <w:color w:val="000000" w:themeColor="text1"/>
                <w:szCs w:val="24"/>
                <w:shd w:val="clear" w:color="auto" w:fill="FFFFFF"/>
                <w:lang w:val="en-US" w:eastAsia="zh-CN"/>
              </w:rPr>
              <w:t>3</w:t>
            </w:r>
            <w:r>
              <w:rPr>
                <w:rStyle w:val="26"/>
                <w:rFonts w:eastAsia="楷体"/>
                <w:b w:val="0"/>
                <w:color w:val="000000" w:themeColor="text1"/>
                <w:szCs w:val="24"/>
                <w:shd w:val="clear" w:color="auto" w:fill="FFFFFF"/>
              </w:rPr>
              <w:t>年</w:t>
            </w:r>
            <w:r>
              <w:rPr>
                <w:rStyle w:val="26"/>
                <w:rFonts w:hint="eastAsia" w:eastAsia="楷体"/>
                <w:b w:val="0"/>
                <w:color w:val="000000" w:themeColor="text1"/>
                <w:szCs w:val="24"/>
                <w:shd w:val="clear" w:color="auto" w:fill="FFFFFF"/>
                <w:lang w:val="en-US" w:eastAsia="zh-CN"/>
              </w:rPr>
              <w:t>2</w:t>
            </w:r>
            <w:r>
              <w:rPr>
                <w:rStyle w:val="26"/>
                <w:rFonts w:eastAsia="楷体"/>
                <w:b w:val="0"/>
                <w:color w:val="000000" w:themeColor="text1"/>
                <w:szCs w:val="24"/>
                <w:shd w:val="clear" w:color="auto" w:fill="FFFFFF"/>
              </w:rPr>
              <w:t>月），按照所提交的水土保持方案，落实各项水土保持措施，自行安排水土保持监测工作，有效防治项目建设中的水土流失；项目投产使用前完成水土保持设施自主验收并报备。</w:t>
            </w:r>
          </w:p>
          <w:p>
            <w:pPr>
              <w:widowControl/>
              <w:spacing w:line="360" w:lineRule="exact"/>
              <w:ind w:firstLine="480" w:firstLineChars="200"/>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4.水土保持方案发生重大变更的，按规定办理变更手续。</w:t>
            </w:r>
          </w:p>
          <w:p>
            <w:pPr>
              <w:widowControl/>
              <w:spacing w:line="360" w:lineRule="exact"/>
              <w:ind w:firstLine="480" w:firstLineChars="200"/>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5.依法依规按时足额缴纳水土保持补偿费。</w:t>
            </w:r>
          </w:p>
          <w:p>
            <w:pPr>
              <w:widowControl/>
              <w:spacing w:line="360" w:lineRule="exact"/>
              <w:ind w:firstLine="480" w:firstLineChars="200"/>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6.积极配合水土保持监督检查。</w:t>
            </w:r>
          </w:p>
          <w:p>
            <w:pPr>
              <w:widowControl/>
              <w:spacing w:line="360" w:lineRule="exact"/>
              <w:ind w:firstLine="480" w:firstLineChars="200"/>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7.愿意承担作出不实承诺或者未履行承诺的法律责任和失信责任。</w:t>
            </w:r>
          </w:p>
          <w:p>
            <w:pPr>
              <w:widowControl/>
              <w:spacing w:line="360" w:lineRule="exact"/>
              <w:ind w:firstLine="480" w:firstLineChars="200"/>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8.我单位处于非失信被执行状态，所作承诺均为真实意思表示。</w:t>
            </w:r>
          </w:p>
          <w:p>
            <w:pPr>
              <w:widowControl/>
              <w:spacing w:line="360" w:lineRule="exact"/>
              <w:ind w:firstLine="480" w:firstLineChars="200"/>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9.其他需承诺的事项：</w:t>
            </w:r>
          </w:p>
          <w:p>
            <w:pPr>
              <w:widowControl/>
              <w:spacing w:line="420" w:lineRule="exact"/>
              <w:ind w:firstLine="1440" w:firstLineChars="600"/>
              <w:rPr>
                <w:rStyle w:val="26"/>
                <w:rFonts w:eastAsia="楷体"/>
                <w:b w:val="0"/>
                <w:color w:val="000000" w:themeColor="text1"/>
                <w:szCs w:val="24"/>
                <w:shd w:val="clear" w:color="auto" w:fill="FFFFFF"/>
              </w:rPr>
            </w:pPr>
          </w:p>
          <w:p>
            <w:pPr>
              <w:widowControl/>
              <w:spacing w:line="420" w:lineRule="exact"/>
              <w:ind w:firstLine="1440" w:firstLineChars="600"/>
              <w:rPr>
                <w:rFonts w:eastAsia="楷体"/>
                <w:color w:val="000000" w:themeColor="text1"/>
                <w:szCs w:val="24"/>
              </w:rPr>
            </w:pPr>
            <w:r>
              <w:rPr>
                <w:rStyle w:val="26"/>
                <w:rFonts w:eastAsia="楷体"/>
                <w:b w:val="0"/>
                <w:color w:val="000000" w:themeColor="text1"/>
                <w:szCs w:val="24"/>
                <w:shd w:val="clear" w:color="auto" w:fill="FFFFFF"/>
              </w:rPr>
              <w:t>法定代表(签字):</w:t>
            </w:r>
          </w:p>
          <w:p>
            <w:pPr>
              <w:widowControl/>
              <w:spacing w:before="156" w:beforeLines="50" w:line="420" w:lineRule="exact"/>
              <w:ind w:firstLine="1440" w:firstLineChars="600"/>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建设单位(盖章):</w:t>
            </w:r>
          </w:p>
          <w:p>
            <w:pPr>
              <w:widowControl/>
              <w:spacing w:line="400" w:lineRule="exact"/>
              <w:ind w:firstLine="3840" w:firstLineChars="1600"/>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 xml:space="preserve">时间： </w:t>
            </w:r>
            <w:r>
              <w:rPr>
                <w:rStyle w:val="26"/>
                <w:rFonts w:hint="eastAsia" w:eastAsia="楷体"/>
                <w:b w:val="0"/>
                <w:color w:val="000000" w:themeColor="text1"/>
                <w:szCs w:val="24"/>
                <w:shd w:val="clear" w:color="auto" w:fill="FFFFFF"/>
              </w:rPr>
              <w:t xml:space="preserve">    </w:t>
            </w:r>
            <w:r>
              <w:rPr>
                <w:rStyle w:val="26"/>
                <w:rFonts w:eastAsia="楷体"/>
                <w:b w:val="0"/>
                <w:color w:val="000000" w:themeColor="text1"/>
                <w:szCs w:val="24"/>
                <w:shd w:val="clear" w:color="auto" w:fill="FFFFFF"/>
              </w:rPr>
              <w:t>年</w:t>
            </w:r>
            <w:r>
              <w:rPr>
                <w:rStyle w:val="26"/>
                <w:rFonts w:hint="eastAsia" w:eastAsia="楷体"/>
                <w:b w:val="0"/>
                <w:color w:val="000000" w:themeColor="text1"/>
                <w:szCs w:val="24"/>
                <w:shd w:val="clear" w:color="auto" w:fill="FFFFFF"/>
              </w:rPr>
              <w:t xml:space="preserve">    </w:t>
            </w:r>
            <w:r>
              <w:rPr>
                <w:rStyle w:val="26"/>
                <w:rFonts w:eastAsia="楷体"/>
                <w:b w:val="0"/>
                <w:color w:val="000000" w:themeColor="text1"/>
                <w:szCs w:val="24"/>
                <w:shd w:val="clear" w:color="auto" w:fill="FFFFFF"/>
              </w:rPr>
              <w:t>月</w:t>
            </w:r>
            <w:r>
              <w:rPr>
                <w:rStyle w:val="26"/>
                <w:rFonts w:hint="eastAsia" w:eastAsia="楷体"/>
                <w:b w:val="0"/>
                <w:color w:val="000000" w:themeColor="text1"/>
                <w:szCs w:val="24"/>
                <w:shd w:val="clear" w:color="auto" w:fill="FFFFFF"/>
              </w:rPr>
              <w:t xml:space="preserve">    </w:t>
            </w:r>
            <w:r>
              <w:rPr>
                <w:rStyle w:val="26"/>
                <w:rFonts w:eastAsia="楷体"/>
                <w:b w:val="0"/>
                <w:color w:val="000000" w:themeColor="text1"/>
                <w:szCs w:val="24"/>
                <w:shd w:val="clear" w:color="auto" w:fill="FFFFFF"/>
              </w:rPr>
              <w:t xml:space="preserve">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09" w:type="dxa"/>
            <w:vAlign w:val="center"/>
          </w:tcPr>
          <w:p>
            <w:pPr>
              <w:widowControl/>
              <w:spacing w:line="56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审批</w:t>
            </w:r>
          </w:p>
          <w:p>
            <w:pPr>
              <w:widowControl/>
              <w:spacing w:line="56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部门</w:t>
            </w:r>
          </w:p>
          <w:p>
            <w:pPr>
              <w:widowControl/>
              <w:spacing w:line="56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许可</w:t>
            </w:r>
          </w:p>
          <w:p>
            <w:pPr>
              <w:widowControl/>
              <w:spacing w:line="56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决定</w:t>
            </w:r>
          </w:p>
        </w:tc>
        <w:tc>
          <w:tcPr>
            <w:tcW w:w="7970" w:type="dxa"/>
            <w:gridSpan w:val="2"/>
          </w:tcPr>
          <w:p>
            <w:pPr>
              <w:widowControl/>
              <w:spacing w:line="420" w:lineRule="exact"/>
              <w:ind w:firstLine="480" w:firstLineChars="200"/>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申请对象所提交的水土保持方案材料完整、格式符合规定要求，申请对象处于非失信被执行状态，关于</w:t>
            </w:r>
            <w:r>
              <w:rPr>
                <w:rStyle w:val="26"/>
                <w:rFonts w:hint="eastAsia" w:eastAsia="楷体"/>
                <w:bCs w:val="0"/>
                <w:color w:val="000000" w:themeColor="text1"/>
                <w:szCs w:val="24"/>
                <w:shd w:val="clear" w:color="auto" w:fill="FFFFFF"/>
                <w:lang w:eastAsia="zh-CN"/>
              </w:rPr>
              <w:t>农安县东兴实业有限公司蒸压加气泥凝块年产40万立方项目</w:t>
            </w:r>
            <w:r>
              <w:rPr>
                <w:rStyle w:val="26"/>
                <w:rFonts w:eastAsia="楷体"/>
                <w:b w:val="0"/>
                <w:color w:val="000000" w:themeColor="text1"/>
                <w:szCs w:val="24"/>
                <w:shd w:val="clear" w:color="auto" w:fill="FFFFFF"/>
              </w:rPr>
              <w:t>之承诺有效，准予许可。</w:t>
            </w:r>
          </w:p>
          <w:p>
            <w:pPr>
              <w:widowControl/>
              <w:spacing w:line="420" w:lineRule="exact"/>
              <w:jc w:val="center"/>
              <w:rPr>
                <w:rStyle w:val="26"/>
                <w:rFonts w:eastAsia="楷体"/>
                <w:bCs w:val="0"/>
                <w:color w:val="000000" w:themeColor="text1"/>
                <w:szCs w:val="24"/>
                <w:shd w:val="clear" w:color="auto" w:fill="FFFFFF"/>
              </w:rPr>
            </w:pPr>
            <w:r>
              <w:rPr>
                <w:rStyle w:val="26"/>
                <w:rFonts w:eastAsia="楷体"/>
                <w:bCs w:val="0"/>
                <w:color w:val="000000" w:themeColor="text1"/>
                <w:szCs w:val="24"/>
                <w:shd w:val="clear" w:color="auto" w:fill="FFFFFF"/>
              </w:rPr>
              <w:t>（注：水土保持方案中核算本项目水土保持补偿费金额为：</w:t>
            </w:r>
            <w:r>
              <w:rPr>
                <w:rStyle w:val="26"/>
                <w:rFonts w:hint="eastAsia" w:eastAsia="楷体"/>
                <w:bCs w:val="0"/>
                <w:color w:val="000000" w:themeColor="text1"/>
                <w:szCs w:val="24"/>
                <w:shd w:val="clear" w:color="auto" w:fill="FFFFFF"/>
                <w:lang w:eastAsia="zh-CN"/>
              </w:rPr>
              <w:t>0.59</w:t>
            </w:r>
            <w:r>
              <w:rPr>
                <w:rStyle w:val="26"/>
                <w:rFonts w:eastAsia="楷体"/>
                <w:bCs w:val="0"/>
                <w:color w:val="000000" w:themeColor="text1"/>
                <w:szCs w:val="24"/>
                <w:shd w:val="clear" w:color="auto" w:fill="FFFFFF"/>
              </w:rPr>
              <w:t>万元）</w:t>
            </w:r>
          </w:p>
          <w:p>
            <w:pPr>
              <w:widowControl/>
              <w:spacing w:line="420" w:lineRule="exact"/>
              <w:ind w:firstLine="1200" w:firstLineChars="500"/>
              <w:rPr>
                <w:rStyle w:val="26"/>
                <w:rFonts w:eastAsia="楷体"/>
                <w:b w:val="0"/>
                <w:color w:val="000000" w:themeColor="text1"/>
                <w:szCs w:val="24"/>
                <w:shd w:val="clear" w:color="auto" w:fill="FFFFFF"/>
              </w:rPr>
            </w:pPr>
          </w:p>
          <w:p>
            <w:pPr>
              <w:widowControl/>
              <w:spacing w:line="420" w:lineRule="exact"/>
              <w:ind w:firstLine="1200" w:firstLineChars="500"/>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水行政主管部门或和其他审批部门(盖章):</w:t>
            </w:r>
          </w:p>
          <w:p>
            <w:pPr>
              <w:widowControl/>
              <w:spacing w:before="156" w:beforeLines="50" w:after="156" w:afterLines="50" w:line="420" w:lineRule="exact"/>
              <w:ind w:firstLine="3840" w:firstLineChars="1600"/>
              <w:rPr>
                <w:rStyle w:val="26"/>
                <w:rFonts w:eastAsia="楷体"/>
                <w:color w:val="000000" w:themeColor="text1"/>
                <w:szCs w:val="24"/>
                <w:shd w:val="clear" w:color="auto" w:fill="FFFFFF"/>
              </w:rPr>
            </w:pPr>
            <w:r>
              <w:rPr>
                <w:rStyle w:val="26"/>
                <w:rFonts w:eastAsia="楷体"/>
                <w:b w:val="0"/>
                <w:color w:val="000000" w:themeColor="text1"/>
                <w:szCs w:val="24"/>
                <w:shd w:val="clear" w:color="auto" w:fill="FFFFFF"/>
              </w:rPr>
              <w:t xml:space="preserve">时间：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109" w:type="dxa"/>
            <w:vAlign w:val="center"/>
          </w:tcPr>
          <w:p>
            <w:pPr>
              <w:widowControl/>
              <w:spacing w:line="560" w:lineRule="exact"/>
              <w:jc w:val="center"/>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备注</w:t>
            </w:r>
          </w:p>
        </w:tc>
        <w:tc>
          <w:tcPr>
            <w:tcW w:w="7970" w:type="dxa"/>
            <w:gridSpan w:val="2"/>
            <w:shd w:val="clear" w:color="auto" w:fill="auto"/>
            <w:vAlign w:val="center"/>
          </w:tcPr>
          <w:p>
            <w:pPr>
              <w:widowControl/>
              <w:shd w:val="clear" w:color="auto" w:fill="FFFFFF"/>
              <w:spacing w:line="280" w:lineRule="exact"/>
              <w:ind w:firstLine="240" w:firstLineChars="100"/>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1.本表在对应选项“□”中标注“√”或“■”，除编号、许可决定空白部分内容外，均由生产建设单位填写。</w:t>
            </w:r>
          </w:p>
          <w:p>
            <w:pPr>
              <w:widowControl/>
              <w:shd w:val="clear" w:color="auto" w:fill="FFFFFF"/>
              <w:spacing w:line="280" w:lineRule="exact"/>
              <w:ind w:firstLine="240" w:firstLineChars="100"/>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2.审批部门对水土保持行政许可承诺书与水土保持行政许可决定书统一赋予编号。</w:t>
            </w:r>
          </w:p>
          <w:p>
            <w:pPr>
              <w:widowControl/>
              <w:shd w:val="clear" w:color="auto" w:fill="FFFFFF"/>
              <w:spacing w:line="280" w:lineRule="exact"/>
              <w:ind w:firstLine="240" w:firstLineChars="100"/>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3.本表“公众意见接受和处理情况”因内容较多填写不下时，可另附页填写。</w:t>
            </w:r>
          </w:p>
          <w:p>
            <w:pPr>
              <w:widowControl/>
              <w:shd w:val="clear" w:color="auto" w:fill="FFFFFF"/>
              <w:spacing w:line="280" w:lineRule="exact"/>
              <w:ind w:firstLine="240" w:firstLineChars="100"/>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4.本表“生产建设单位承诺内容”和“审批部门许可决定”不可分割，分割无效。</w:t>
            </w:r>
          </w:p>
          <w:p>
            <w:pPr>
              <w:widowControl/>
              <w:shd w:val="clear" w:color="auto" w:fill="FFFFFF"/>
              <w:spacing w:line="280" w:lineRule="exact"/>
              <w:ind w:firstLine="240" w:firstLineChars="100"/>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5.本表一式5份，水行政主管部门（或者其他审批部门）存档3份、生产建设单位和监督检查部门各执1份。</w:t>
            </w:r>
          </w:p>
          <w:p>
            <w:pPr>
              <w:widowControl/>
              <w:shd w:val="clear" w:color="auto" w:fill="FFFFFF"/>
              <w:spacing w:line="280" w:lineRule="exact"/>
              <w:ind w:firstLine="240" w:firstLineChars="100"/>
              <w:rPr>
                <w:rStyle w:val="26"/>
                <w:rFonts w:eastAsia="楷体"/>
                <w:b w:val="0"/>
                <w:color w:val="000000" w:themeColor="text1"/>
                <w:szCs w:val="24"/>
                <w:shd w:val="clear" w:color="auto" w:fill="FFFFFF"/>
              </w:rPr>
            </w:pPr>
            <w:r>
              <w:rPr>
                <w:rStyle w:val="26"/>
                <w:rFonts w:eastAsia="楷体"/>
                <w:b w:val="0"/>
                <w:color w:val="000000" w:themeColor="text1"/>
                <w:szCs w:val="24"/>
                <w:shd w:val="clear" w:color="auto" w:fill="FFFFFF"/>
              </w:rPr>
              <w:t>6.水行政主管部门（或者其他审批部门）对收到的申请材料，仅进行形式审查。</w:t>
            </w:r>
          </w:p>
        </w:tc>
      </w:tr>
    </w:tbl>
    <w:p>
      <w:pPr>
        <w:rPr>
          <w:color w:val="000000" w:themeColor="text1"/>
        </w:rPr>
      </w:pPr>
    </w:p>
    <w:p>
      <w:pPr>
        <w:pStyle w:val="22"/>
        <w:ind w:left="480"/>
        <w:rPr>
          <w:color w:val="000000" w:themeColor="text1"/>
        </w:rPr>
      </w:pPr>
    </w:p>
    <w:p>
      <w:pPr>
        <w:rPr>
          <w:color w:val="000000" w:themeColor="text1"/>
          <w:highlight w:val="cyan"/>
        </w:rPr>
      </w:pPr>
      <w:r>
        <w:rPr>
          <w:rFonts w:hint="eastAsia"/>
          <w:color w:val="000000" w:themeColor="text1"/>
          <w:highlight w:val="cyan"/>
        </w:rPr>
        <w:br w:type="page"/>
      </w:r>
    </w:p>
    <w:p>
      <w:pPr>
        <w:spacing w:after="156" w:afterLines="50"/>
        <w:ind w:right="-552" w:rightChars="-230"/>
        <w:jc w:val="both"/>
        <w:rPr>
          <w:rFonts w:eastAsia="黑体"/>
          <w:b/>
          <w:bCs/>
          <w:color w:val="000000" w:themeColor="text1"/>
          <w:sz w:val="44"/>
          <w:szCs w:val="44"/>
          <w:highlight w:val="cyan"/>
        </w:rPr>
      </w:pPr>
    </w:p>
    <w:p>
      <w:pPr>
        <w:spacing w:after="156" w:afterLines="50"/>
        <w:ind w:right="-552" w:rightChars="-230"/>
        <w:jc w:val="center"/>
        <w:rPr>
          <w:rFonts w:hint="eastAsia" w:eastAsia="宋体"/>
          <w:b/>
          <w:bCs/>
          <w:color w:val="000000" w:themeColor="text1"/>
          <w:sz w:val="44"/>
          <w:szCs w:val="44"/>
          <w:lang w:eastAsia="zh-CN"/>
        </w:rPr>
      </w:pPr>
      <w:r>
        <w:rPr>
          <w:rFonts w:hint="eastAsia"/>
          <w:b/>
          <w:bCs/>
          <w:color w:val="000000" w:themeColor="text1"/>
          <w:sz w:val="44"/>
          <w:szCs w:val="44"/>
          <w:lang w:eastAsia="zh-CN"/>
        </w:rPr>
        <w:t>农安县东兴实业有限公司蒸压加气泥凝块年产40万立方项目</w:t>
      </w:r>
    </w:p>
    <w:p>
      <w:pPr>
        <w:spacing w:after="156" w:afterLines="50"/>
        <w:ind w:right="-552" w:rightChars="-230"/>
        <w:jc w:val="center"/>
        <w:rPr>
          <w:rFonts w:eastAsia="黑体"/>
          <w:color w:val="000000" w:themeColor="text1"/>
          <w:sz w:val="84"/>
        </w:rPr>
      </w:pPr>
      <w:r>
        <w:rPr>
          <w:rFonts w:eastAsia="黑体"/>
          <w:b/>
          <w:bCs/>
          <w:color w:val="000000" w:themeColor="text1"/>
          <w:sz w:val="84"/>
          <w:szCs w:val="84"/>
        </w:rPr>
        <w:t>水土保持方案报告</w:t>
      </w:r>
      <w:r>
        <w:rPr>
          <w:rFonts w:hint="eastAsia" w:eastAsia="黑体"/>
          <w:b/>
          <w:bCs/>
          <w:color w:val="000000" w:themeColor="text1"/>
          <w:sz w:val="84"/>
          <w:szCs w:val="84"/>
        </w:rPr>
        <w:t>表</w:t>
      </w:r>
    </w:p>
    <w:p>
      <w:pPr>
        <w:ind w:right="280"/>
        <w:jc w:val="center"/>
        <w:rPr>
          <w:color w:val="000000" w:themeColor="text1"/>
          <w:sz w:val="21"/>
          <w:szCs w:val="21"/>
        </w:rPr>
      </w:pPr>
    </w:p>
    <w:p>
      <w:pPr>
        <w:ind w:left="280" w:right="280"/>
        <w:jc w:val="center"/>
        <w:rPr>
          <w:b/>
          <w:color w:val="000000" w:themeColor="text1"/>
          <w:sz w:val="72"/>
          <w:szCs w:val="72"/>
        </w:rPr>
      </w:pPr>
      <w:r>
        <w:rPr>
          <w:b/>
          <w:color w:val="000000" w:themeColor="text1"/>
          <w:sz w:val="72"/>
          <w:szCs w:val="72"/>
        </w:rPr>
        <w:t>附 图</w:t>
      </w:r>
    </w:p>
    <w:p>
      <w:pPr>
        <w:ind w:left="280" w:right="280"/>
        <w:jc w:val="center"/>
        <w:rPr>
          <w:color w:val="000000" w:themeColor="text1"/>
          <w:sz w:val="32"/>
        </w:rPr>
      </w:pPr>
    </w:p>
    <w:p>
      <w:pPr>
        <w:ind w:left="280" w:right="280"/>
        <w:jc w:val="center"/>
        <w:rPr>
          <w:color w:val="000000" w:themeColor="text1"/>
          <w:sz w:val="32"/>
        </w:rPr>
      </w:pPr>
    </w:p>
    <w:p>
      <w:pPr>
        <w:ind w:left="280" w:right="280"/>
        <w:jc w:val="center"/>
        <w:rPr>
          <w:color w:val="000000" w:themeColor="text1"/>
          <w:sz w:val="32"/>
        </w:rPr>
      </w:pPr>
    </w:p>
    <w:p>
      <w:pPr>
        <w:pStyle w:val="86"/>
        <w:ind w:firstLine="640"/>
        <w:rPr>
          <w:rFonts w:ascii="Times New Roman" w:hAnsi="Times New Roman" w:cs="Times New Roman"/>
          <w:color w:val="000000" w:themeColor="text1"/>
          <w:sz w:val="32"/>
        </w:rPr>
      </w:pPr>
    </w:p>
    <w:p>
      <w:pPr>
        <w:pStyle w:val="86"/>
        <w:ind w:firstLine="640"/>
        <w:rPr>
          <w:rFonts w:ascii="Times New Roman" w:hAnsi="Times New Roman" w:cs="Times New Roman"/>
          <w:color w:val="000000" w:themeColor="text1"/>
          <w:sz w:val="32"/>
        </w:rPr>
      </w:pPr>
    </w:p>
    <w:p>
      <w:pPr>
        <w:ind w:left="280" w:right="280"/>
        <w:jc w:val="center"/>
        <w:rPr>
          <w:color w:val="000000" w:themeColor="text1"/>
          <w:sz w:val="32"/>
        </w:rPr>
      </w:pPr>
    </w:p>
    <w:p>
      <w:pPr>
        <w:ind w:left="280" w:right="280"/>
        <w:jc w:val="center"/>
        <w:rPr>
          <w:color w:val="000000" w:themeColor="text1"/>
          <w:sz w:val="32"/>
        </w:rPr>
      </w:pPr>
    </w:p>
    <w:p>
      <w:pPr>
        <w:pStyle w:val="86"/>
        <w:ind w:firstLine="0" w:firstLineChars="0"/>
        <w:rPr>
          <w:rFonts w:ascii="Times New Roman" w:hAnsi="Times New Roman" w:cs="Times New Roman"/>
          <w:color w:val="000000" w:themeColor="text1"/>
        </w:rPr>
      </w:pPr>
    </w:p>
    <w:p>
      <w:pPr>
        <w:rPr>
          <w:color w:val="000000" w:themeColor="text1"/>
        </w:rPr>
      </w:pPr>
    </w:p>
    <w:p>
      <w:pPr>
        <w:pStyle w:val="2"/>
        <w:ind w:left="480"/>
        <w:rPr>
          <w:color w:val="000000" w:themeColor="text1"/>
        </w:rPr>
      </w:pPr>
    </w:p>
    <w:p>
      <w:pPr>
        <w:pStyle w:val="2"/>
        <w:ind w:left="0" w:leftChars="0"/>
        <w:rPr>
          <w:color w:val="000000" w:themeColor="text1"/>
        </w:rPr>
      </w:pPr>
    </w:p>
    <w:p>
      <w:pPr>
        <w:rPr>
          <w:color w:val="000000" w:themeColor="text1"/>
        </w:rPr>
      </w:pPr>
    </w:p>
    <w:p>
      <w:pPr>
        <w:pStyle w:val="2"/>
        <w:ind w:left="480"/>
        <w:rPr>
          <w:color w:val="000000" w:themeColor="text1"/>
        </w:rPr>
      </w:pPr>
    </w:p>
    <w:p>
      <w:pPr>
        <w:rPr>
          <w:color w:val="000000" w:themeColor="text1"/>
        </w:rPr>
      </w:pPr>
    </w:p>
    <w:p>
      <w:pPr>
        <w:rPr>
          <w:color w:val="000000" w:themeColor="text1"/>
        </w:rPr>
      </w:pPr>
    </w:p>
    <w:tbl>
      <w:tblPr>
        <w:tblStyle w:val="23"/>
        <w:tblW w:w="0" w:type="auto"/>
        <w:jc w:val="center"/>
        <w:tblLayout w:type="fixed"/>
        <w:tblCellMar>
          <w:top w:w="0" w:type="dxa"/>
          <w:left w:w="108" w:type="dxa"/>
          <w:bottom w:w="0" w:type="dxa"/>
          <w:right w:w="0" w:type="dxa"/>
        </w:tblCellMar>
      </w:tblPr>
      <w:tblGrid>
        <w:gridCol w:w="2091"/>
        <w:gridCol w:w="6999"/>
      </w:tblGrid>
      <w:tr>
        <w:tblPrEx>
          <w:tblCellMar>
            <w:top w:w="0" w:type="dxa"/>
            <w:left w:w="108" w:type="dxa"/>
            <w:bottom w:w="0" w:type="dxa"/>
            <w:right w:w="0" w:type="dxa"/>
          </w:tblCellMar>
        </w:tblPrEx>
        <w:trPr>
          <w:trHeight w:val="558" w:hRule="atLeast"/>
          <w:jc w:val="center"/>
        </w:trPr>
        <w:tc>
          <w:tcPr>
            <w:tcW w:w="2091" w:type="dxa"/>
          </w:tcPr>
          <w:p>
            <w:pPr>
              <w:ind w:left="41" w:leftChars="-99" w:right="160" w:hanging="279" w:hangingChars="87"/>
              <w:jc w:val="right"/>
              <w:rPr>
                <w:b/>
                <w:color w:val="000000" w:themeColor="text1"/>
                <w:sz w:val="32"/>
                <w:szCs w:val="32"/>
              </w:rPr>
            </w:pPr>
            <w:r>
              <w:rPr>
                <w:b/>
                <w:color w:val="000000" w:themeColor="text1"/>
                <w:sz w:val="32"/>
                <w:szCs w:val="32"/>
              </w:rPr>
              <w:t>编制单位：</w:t>
            </w:r>
          </w:p>
        </w:tc>
        <w:tc>
          <w:tcPr>
            <w:tcW w:w="6999" w:type="dxa"/>
          </w:tcPr>
          <w:p>
            <w:pPr>
              <w:ind w:left="279" w:right="280" w:hanging="279" w:hangingChars="87"/>
              <w:jc w:val="distribute"/>
              <w:rPr>
                <w:b/>
                <w:color w:val="000000" w:themeColor="text1"/>
                <w:sz w:val="32"/>
                <w:szCs w:val="32"/>
              </w:rPr>
            </w:pPr>
            <w:r>
              <w:rPr>
                <w:b/>
                <w:color w:val="000000" w:themeColor="text1"/>
                <w:sz w:val="32"/>
                <w:szCs w:val="32"/>
              </w:rPr>
              <w:t>吉林省玖伏环境科技有限公司</w:t>
            </w:r>
          </w:p>
        </w:tc>
      </w:tr>
      <w:tr>
        <w:tblPrEx>
          <w:tblCellMar>
            <w:top w:w="0" w:type="dxa"/>
            <w:left w:w="108" w:type="dxa"/>
            <w:bottom w:w="0" w:type="dxa"/>
            <w:right w:w="0" w:type="dxa"/>
          </w:tblCellMar>
        </w:tblPrEx>
        <w:trPr>
          <w:trHeight w:val="557" w:hRule="atLeast"/>
          <w:jc w:val="center"/>
        </w:trPr>
        <w:tc>
          <w:tcPr>
            <w:tcW w:w="9090" w:type="dxa"/>
            <w:gridSpan w:val="2"/>
          </w:tcPr>
          <w:p>
            <w:pPr>
              <w:ind w:left="280" w:right="280"/>
              <w:jc w:val="center"/>
              <w:rPr>
                <w:color w:val="000000" w:themeColor="text1"/>
                <w:sz w:val="32"/>
                <w:szCs w:val="32"/>
              </w:rPr>
            </w:pPr>
            <w:r>
              <w:rPr>
                <w:b/>
                <w:bCs/>
                <w:color w:val="000000" w:themeColor="text1"/>
                <w:sz w:val="32"/>
                <w:szCs w:val="32"/>
              </w:rPr>
              <w:t>202</w:t>
            </w:r>
            <w:r>
              <w:rPr>
                <w:rFonts w:hint="eastAsia"/>
                <w:b/>
                <w:bCs/>
                <w:color w:val="000000" w:themeColor="text1"/>
                <w:sz w:val="32"/>
                <w:szCs w:val="32"/>
                <w:lang w:val="en-US" w:eastAsia="zh-CN"/>
              </w:rPr>
              <w:t>3</w:t>
            </w:r>
            <w:r>
              <w:rPr>
                <w:b/>
                <w:bCs/>
                <w:color w:val="000000" w:themeColor="text1"/>
                <w:sz w:val="32"/>
                <w:szCs w:val="32"/>
              </w:rPr>
              <w:t>年</w:t>
            </w:r>
            <w:r>
              <w:rPr>
                <w:rFonts w:hint="eastAsia"/>
                <w:b/>
                <w:bCs/>
                <w:color w:val="000000" w:themeColor="text1"/>
                <w:sz w:val="32"/>
                <w:szCs w:val="32"/>
                <w:lang w:val="en-US" w:eastAsia="zh-CN"/>
              </w:rPr>
              <w:t>1</w:t>
            </w:r>
            <w:r>
              <w:rPr>
                <w:b/>
                <w:bCs/>
                <w:color w:val="000000" w:themeColor="text1"/>
                <w:sz w:val="32"/>
                <w:szCs w:val="32"/>
              </w:rPr>
              <w:t>月</w:t>
            </w:r>
          </w:p>
        </w:tc>
      </w:tr>
    </w:tbl>
    <w:p>
      <w:pPr>
        <w:rPr>
          <w:color w:val="000000" w:themeColor="text1"/>
          <w:highlight w:val="cyan"/>
        </w:rPr>
      </w:pPr>
    </w:p>
    <w:sectPr>
      <w:pgSz w:w="11906" w:h="16838"/>
      <w:pgMar w:top="1440" w:right="1758" w:bottom="1440" w:left="1758"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仿宋简体">
    <w:altName w:val="宋体"/>
    <w:panose1 w:val="00000000000000000000"/>
    <w:charset w:val="86"/>
    <w:family w:val="auto"/>
    <w:pitch w:val="default"/>
    <w:sig w:usb0="00000000" w:usb1="00000000" w:usb2="00000010" w:usb3="00000000" w:csb0="00040000" w:csb1="00000000"/>
  </w:font>
  <w:font w:name="serif">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Noto Sans Mono CJK JP Regular">
    <w:altName w:val="微软雅黑"/>
    <w:panose1 w:val="00000000000000000000"/>
    <w:charset w:val="00"/>
    <w:family w:val="swiss"/>
    <w:pitch w:val="default"/>
    <w:sig w:usb0="00000000" w:usb1="00000000" w:usb2="00000000"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方正小标宋简体">
    <w:altName w:val="微软雅黑"/>
    <w:panose1 w:val="00000000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auto" w:sz="4" w:space="0"/>
      </w:pBdr>
      <w:jc w:val="right"/>
    </w:pPr>
    <w:r>
      <w:rPr>
        <w:sz w:val="21"/>
      </w:rPr>
      <w:pict>
        <v:shape id="文本框 1037"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JiepDzAEAAJ0DAAAOAAAAAAAAAAEAIAAAAB4BAABkcnMvZTJv&#10;RG9jLnhtbFBLBQYAAAAABgAGAFkBAABcBQAAAAA=&#10;">
          <v:path/>
          <v:fill on="f" focussize="0,0"/>
          <v:stroke on="f" joinstyle="miter"/>
          <v:imagedata o:title=""/>
          <o:lock v:ext="edit"/>
          <v:textbox inset="0mm,0mm,0mm,0mm" style="mso-fit-shape-to-text:t;">
            <w:txbxContent>
              <w:p>
                <w:pPr>
                  <w:pStyle w:val="16"/>
                </w:pPr>
                <w:r>
                  <w:fldChar w:fldCharType="begin"/>
                </w:r>
                <w:r>
                  <w:instrText xml:space="preserve"> PAGE  \* MERGEFORMAT </w:instrText>
                </w:r>
                <w:r>
                  <w:fldChar w:fldCharType="separate"/>
                </w:r>
                <w:r>
                  <w:t>2</w:t>
                </w:r>
                <w:r>
                  <w:fldChar w:fldCharType="end"/>
                </w:r>
              </w:p>
            </w:txbxContent>
          </v:textbox>
        </v:shape>
      </w:pict>
    </w:r>
    <w:r>
      <w:rPr>
        <w:rFonts w:hint="eastAsia" w:eastAsia="仿宋_GB2312"/>
        <w:color w:val="000000"/>
        <w:sz w:val="21"/>
        <w:szCs w:val="21"/>
      </w:rPr>
      <w:t>吉林省玖伏环境科技有限公司</w:t>
    </w:r>
  </w:p>
  <w:p>
    <w:pPr>
      <w:pStyle w:val="1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auto" w:sz="4" w:space="0"/>
      </w:pBdr>
      <w:wordWrap w:val="0"/>
      <w:jc w:val="right"/>
    </w:pPr>
    <w:r>
      <w:rPr>
        <w:sz w:val="21"/>
      </w:rPr>
      <w:pict>
        <v:shape id="文本框 1054" o:spid="_x0000_s3074"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Ld/924QEAAMIDAAAOAAAA&#10;AAAAAAEAIAAAAB4BAABkcnMvZTJvRG9jLnhtbFBLBQYAAAAABgAGAFkBAABxBQAAAAA=&#10;">
          <v:path/>
          <v:fill on="f" focussize="0,0"/>
          <v:stroke on="f" joinstyle="miter"/>
          <v:imagedata o:title=""/>
          <o:lock v:ext="edit"/>
          <v:textbox inset="0mm,0mm,0mm,0mm" style="mso-fit-shape-to-text:t;">
            <w:txbxContent>
              <w:p>
                <w:pPr>
                  <w:pStyle w:val="16"/>
                </w:pPr>
                <w:r>
                  <w:fldChar w:fldCharType="begin"/>
                </w:r>
                <w:r>
                  <w:instrText xml:space="preserve"> PAGE  \* MERGEFORMAT </w:instrText>
                </w:r>
                <w:r>
                  <w:fldChar w:fldCharType="separate"/>
                </w:r>
                <w:r>
                  <w:t>57</w:t>
                </w:r>
                <w:r>
                  <w:fldChar w:fldCharType="end"/>
                </w:r>
              </w:p>
            </w:txbxContent>
          </v:textbox>
        </v:shape>
      </w:pict>
    </w:r>
    <w:r>
      <w:rPr>
        <w:rFonts w:hint="eastAsia" w:ascii="仿宋_GB2312" w:hAnsi="仿宋_GB2312" w:eastAsia="仿宋_GB2312" w:cs="仿宋_GB2312"/>
        <w:sz w:val="21"/>
        <w:szCs w:val="21"/>
      </w:rPr>
      <w:t>吉林省玖伏环境科技有限公司</w:t>
    </w:r>
  </w:p>
  <w:p>
    <w:pPr>
      <w:pStyle w:val="1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auto" w:sz="4" w:space="0"/>
      </w:pBdr>
      <w:jc w:val="right"/>
    </w:pPr>
    <w:r>
      <w:rPr>
        <w:sz w:val="21"/>
      </w:rPr>
      <w:pict>
        <v:shape id="文本框 1055" o:spid="_x0000_s3073"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9pvMG4QEAAMIDAAAOAAAA&#10;AAAAAAEAIAAAAB4BAABkcnMvZTJvRG9jLnhtbFBLBQYAAAAABgAGAFkBAABxBQAAAAA=&#10;">
          <v:path/>
          <v:fill on="f" focussize="0,0"/>
          <v:stroke on="f" joinstyle="miter"/>
          <v:imagedata o:title=""/>
          <o:lock v:ext="edit"/>
          <v:textbox inset="0mm,0mm,0mm,0mm" style="mso-fit-shape-to-text:t;">
            <w:txbxContent>
              <w:p>
                <w:pPr>
                  <w:pStyle w:val="16"/>
                </w:pPr>
                <w:r>
                  <w:fldChar w:fldCharType="begin"/>
                </w:r>
                <w:r>
                  <w:instrText xml:space="preserve"> PAGE  \* MERGEFORMAT </w:instrText>
                </w:r>
                <w:r>
                  <w:fldChar w:fldCharType="separate"/>
                </w:r>
                <w:r>
                  <w:t>62</w:t>
                </w:r>
                <w:r>
                  <w:fldChar w:fldCharType="end"/>
                </w:r>
              </w:p>
            </w:txbxContent>
          </v:textbox>
        </v:shape>
      </w:pict>
    </w:r>
    <w:r>
      <w:rPr>
        <w:rFonts w:hint="eastAsia" w:ascii="仿宋_GB2312" w:hAnsi="仿宋_GB2312" w:eastAsia="仿宋_GB2312" w:cs="仿宋_GB2312"/>
        <w:sz w:val="21"/>
        <w:szCs w:val="21"/>
      </w:rPr>
      <w:t>吉林省玖伏环境科技有限公司</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left="280" w:right="2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auto" w:sz="4" w:space="0"/>
      </w:pBdr>
      <w:jc w:val="right"/>
    </w:pPr>
    <w:r>
      <w:rPr>
        <w:sz w:val="21"/>
      </w:rPr>
      <w:pict>
        <v:shape id="文本框 1047" o:spid="_x0000_s3081"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AroXY94QEAAMIDAAAOAAAA&#10;AAAAAAEAIAAAAB4BAABkcnMvZTJvRG9jLnhtbFBLBQYAAAAABgAGAFkBAABxBQAAAAA=&#10;">
          <v:path/>
          <v:fill on="f" focussize="0,0"/>
          <v:stroke on="f" joinstyle="miter"/>
          <v:imagedata o:title=""/>
          <o:lock v:ext="edit"/>
          <v:textbox inset="0mm,0mm,0mm,0mm" style="mso-fit-shape-to-text:t;">
            <w:txbxContent>
              <w:p>
                <w:pPr>
                  <w:pStyle w:val="16"/>
                </w:pPr>
                <w:r>
                  <w:fldChar w:fldCharType="begin"/>
                </w:r>
                <w:r>
                  <w:instrText xml:space="preserve"> PAGE  \* MERGEFORMAT </w:instrText>
                </w:r>
                <w:r>
                  <w:fldChar w:fldCharType="separate"/>
                </w:r>
                <w:r>
                  <w:t>9</w:t>
                </w:r>
                <w:r>
                  <w:fldChar w:fldCharType="end"/>
                </w:r>
              </w:p>
            </w:txbxContent>
          </v:textbox>
        </v:shape>
      </w:pict>
    </w:r>
    <w:r>
      <w:rPr>
        <w:rFonts w:hint="eastAsia" w:eastAsia="仿宋_GB2312"/>
        <w:sz w:val="21"/>
        <w:szCs w:val="21"/>
      </w:rPr>
      <w:t>吉林省玖伏环境科技有限公司</w:t>
    </w:r>
    <w:r>
      <w:t xml:space="preserve">                </w:t>
    </w:r>
  </w:p>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auto" w:sz="4" w:space="0"/>
      </w:pBdr>
      <w:jc w:val="right"/>
    </w:pPr>
    <w:r>
      <w:rPr>
        <w:sz w:val="21"/>
      </w:rPr>
      <w:pict>
        <v:shape id="文本框 1048" o:spid="_x0000_s3080"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PmQcFjgAQAAwgMAAA4AAAAA&#10;AAAAAQAgAAAAHgEAAGRycy9lMm9Eb2MueG1sUEsFBgAAAAAGAAYAWQEAAHAFAAAAAA==&#10;">
          <v:path/>
          <v:fill on="f" focussize="0,0"/>
          <v:stroke on="f" joinstyle="miter"/>
          <v:imagedata o:title=""/>
          <o:lock v:ext="edit"/>
          <v:textbox inset="0mm,0mm,0mm,0mm" style="mso-fit-shape-to-text:t;">
            <w:txbxContent>
              <w:p>
                <w:pPr>
                  <w:pStyle w:val="16"/>
                </w:pPr>
                <w:r>
                  <w:fldChar w:fldCharType="begin"/>
                </w:r>
                <w:r>
                  <w:instrText xml:space="preserve"> PAGE  \* MERGEFORMAT </w:instrText>
                </w:r>
                <w:r>
                  <w:fldChar w:fldCharType="separate"/>
                </w:r>
                <w:r>
                  <w:t>22</w:t>
                </w:r>
                <w:r>
                  <w:fldChar w:fldCharType="end"/>
                </w:r>
              </w:p>
            </w:txbxContent>
          </v:textbox>
        </v:shape>
      </w:pict>
    </w:r>
    <w:r>
      <w:rPr>
        <w:rFonts w:hint="eastAsia" w:eastAsia="仿宋_GB2312"/>
        <w:sz w:val="21"/>
        <w:szCs w:val="21"/>
      </w:rPr>
      <w:t>吉林省玖伏环境科技有限公司</w:t>
    </w:r>
  </w:p>
  <w:p>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auto" w:sz="4" w:space="0"/>
      </w:pBdr>
      <w:wordWrap w:val="0"/>
      <w:jc w:val="right"/>
    </w:pPr>
    <w:r>
      <w:rPr>
        <w:sz w:val="21"/>
      </w:rPr>
      <w:pict>
        <v:shape id="文本框 1049" o:spid="_x0000_s3079"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8D2f54QEAAMIDAAAOAAAA&#10;AAAAAAEAIAAAAB4BAABkcnMvZTJvRG9jLnhtbFBLBQYAAAAABgAGAFkBAABxBQAAAAA=&#10;">
          <v:path/>
          <v:fill on="f" focussize="0,0"/>
          <v:stroke on="f" joinstyle="miter"/>
          <v:imagedata o:title=""/>
          <o:lock v:ext="edit"/>
          <v:textbox inset="0mm,0mm,0mm,0mm" style="mso-fit-shape-to-text:t;">
            <w:txbxContent>
              <w:p>
                <w:pPr>
                  <w:pStyle w:val="16"/>
                </w:pPr>
                <w:r>
                  <w:fldChar w:fldCharType="begin"/>
                </w:r>
                <w:r>
                  <w:instrText xml:space="preserve"> PAGE  \* MERGEFORMAT </w:instrText>
                </w:r>
                <w:r>
                  <w:fldChar w:fldCharType="separate"/>
                </w:r>
                <w:r>
                  <w:t>28</w:t>
                </w:r>
                <w:r>
                  <w:fldChar w:fldCharType="end"/>
                </w:r>
              </w:p>
            </w:txbxContent>
          </v:textbox>
        </v:shape>
      </w:pict>
    </w:r>
    <w:r>
      <w:rPr>
        <w:rFonts w:hint="eastAsia" w:ascii="仿宋_GB2312" w:hAnsi="仿宋_GB2312" w:eastAsia="仿宋_GB2312" w:cs="仿宋_GB2312"/>
        <w:sz w:val="21"/>
        <w:szCs w:val="21"/>
      </w:rPr>
      <w:t>吉林省玖伏环境科技有限公司</w:t>
    </w:r>
  </w:p>
  <w:p>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auto" w:sz="4" w:space="0"/>
      </w:pBdr>
      <w:wordWrap w:val="0"/>
      <w:jc w:val="right"/>
    </w:pPr>
    <w:r>
      <w:rPr>
        <w:sz w:val="21"/>
      </w:rPr>
      <w:pict>
        <v:shape id="文本框 1050" o:spid="_x0000_s3078"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DzyZJTgAQAAwgMAAA4AAAAA&#10;AAAAAQAgAAAAHgEAAGRycy9lMm9Eb2MueG1sUEsFBgAAAAAGAAYAWQEAAHAFAAAAAA==&#10;">
          <v:path/>
          <v:fill on="f" focussize="0,0"/>
          <v:stroke on="f" joinstyle="miter"/>
          <v:imagedata o:title=""/>
          <o:lock v:ext="edit"/>
          <v:textbox inset="0mm,0mm,0mm,0mm" style="mso-fit-shape-to-text:t;">
            <w:txbxContent>
              <w:p>
                <w:pPr>
                  <w:pStyle w:val="16"/>
                </w:pPr>
                <w:r>
                  <w:fldChar w:fldCharType="begin"/>
                </w:r>
                <w:r>
                  <w:instrText xml:space="preserve"> PAGE  \* MERGEFORMAT </w:instrText>
                </w:r>
                <w:r>
                  <w:fldChar w:fldCharType="separate"/>
                </w:r>
                <w:r>
                  <w:t>34</w:t>
                </w:r>
                <w:r>
                  <w:fldChar w:fldCharType="end"/>
                </w:r>
              </w:p>
            </w:txbxContent>
          </v:textbox>
        </v:shape>
      </w:pict>
    </w:r>
    <w:r>
      <w:rPr>
        <w:rFonts w:hint="eastAsia" w:ascii="仿宋_GB2312" w:hAnsi="仿宋_GB2312" w:eastAsia="仿宋_GB2312" w:cs="仿宋_GB2312"/>
        <w:sz w:val="21"/>
        <w:szCs w:val="21"/>
      </w:rPr>
      <w:t>吉林省玖伏环境科技有限公司</w:t>
    </w:r>
  </w:p>
  <w:p>
    <w:pPr>
      <w:pStyle w:val="1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auto" w:sz="4" w:space="0"/>
      </w:pBdr>
      <w:wordWrap w:val="0"/>
      <w:jc w:val="right"/>
    </w:pPr>
    <w:r>
      <w:rPr>
        <w:sz w:val="21"/>
      </w:rPr>
      <w:pict>
        <v:shape id="文本框 1051" o:spid="_x0000_s3077"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tuS+d4QEAAMIDAAAOAAAA&#10;AAAAAAEAIAAAAB4BAABkcnMvZTJvRG9jLnhtbFBLBQYAAAAABgAGAFkBAABxBQAAAAA=&#10;">
          <v:path/>
          <v:fill on="f" focussize="0,0"/>
          <v:stroke on="f" joinstyle="miter"/>
          <v:imagedata o:title=""/>
          <o:lock v:ext="edit"/>
          <v:textbox inset="0mm,0mm,0mm,0mm" style="mso-fit-shape-to-text:t;">
            <w:txbxContent>
              <w:p>
                <w:pPr>
                  <w:pStyle w:val="16"/>
                </w:pPr>
                <w:r>
                  <w:fldChar w:fldCharType="begin"/>
                </w:r>
                <w:r>
                  <w:instrText xml:space="preserve"> PAGE  \* MERGEFORMAT </w:instrText>
                </w:r>
                <w:r>
                  <w:fldChar w:fldCharType="separate"/>
                </w:r>
                <w:r>
                  <w:t>41</w:t>
                </w:r>
                <w:r>
                  <w:fldChar w:fldCharType="end"/>
                </w:r>
              </w:p>
            </w:txbxContent>
          </v:textbox>
        </v:shape>
      </w:pict>
    </w:r>
    <w:r>
      <w:rPr>
        <w:rFonts w:hint="eastAsia" w:ascii="仿宋_GB2312" w:hAnsi="仿宋_GB2312" w:eastAsia="仿宋_GB2312" w:cs="仿宋_GB2312"/>
        <w:sz w:val="21"/>
        <w:szCs w:val="21"/>
      </w:rPr>
      <w:t>吉林省玖伏环境科技有限公司</w:t>
    </w:r>
  </w:p>
  <w:p>
    <w:pPr>
      <w:pStyle w:val="1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auto" w:sz="4" w:space="0"/>
      </w:pBdr>
      <w:wordWrap w:val="0"/>
      <w:jc w:val="right"/>
    </w:pPr>
    <w:r>
      <w:rPr>
        <w:sz w:val="21"/>
      </w:rPr>
      <w:pict>
        <v:shape id="文本框 1052" o:spid="_x0000_s307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qQ/gl4QEAAMIDAAAOAAAA&#10;AAAAAAEAIAAAAB4BAABkcnMvZTJvRG9jLnhtbFBLBQYAAAAABgAGAFkBAABxBQAAAAA=&#10;">
          <v:path/>
          <v:fill on="f" focussize="0,0"/>
          <v:stroke on="f" joinstyle="miter"/>
          <v:imagedata o:title=""/>
          <o:lock v:ext="edit"/>
          <v:textbox inset="0mm,0mm,0mm,0mm" style="mso-fit-shape-to-text:t;">
            <w:txbxContent>
              <w:p>
                <w:pPr>
                  <w:pStyle w:val="16"/>
                </w:pPr>
                <w:r>
                  <w:fldChar w:fldCharType="begin"/>
                </w:r>
                <w:r>
                  <w:instrText xml:space="preserve"> PAGE  \* MERGEFORMAT </w:instrText>
                </w:r>
                <w:r>
                  <w:fldChar w:fldCharType="separate"/>
                </w:r>
                <w:r>
                  <w:t>48</w:t>
                </w:r>
                <w:r>
                  <w:fldChar w:fldCharType="end"/>
                </w:r>
              </w:p>
            </w:txbxContent>
          </v:textbox>
        </v:shape>
      </w:pict>
    </w:r>
    <w:r>
      <w:rPr>
        <w:rFonts w:hint="eastAsia" w:ascii="仿宋_GB2312" w:hAnsi="仿宋_GB2312" w:eastAsia="仿宋_GB2312" w:cs="仿宋_GB2312"/>
        <w:sz w:val="21"/>
        <w:szCs w:val="21"/>
      </w:rPr>
      <w:t>吉林省玖伏环境科技有限公司</w:t>
    </w:r>
  </w:p>
  <w:p>
    <w:pPr>
      <w:pStyle w:val="1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auto" w:sz="4" w:space="0"/>
      </w:pBdr>
      <w:ind w:right="26"/>
      <w:jc w:val="both"/>
      <w:rPr>
        <w:rFonts w:ascii="Arial" w:hAnsi="Arial"/>
        <w:sz w:val="15"/>
        <w:szCs w:val="15"/>
      </w:rPr>
    </w:pPr>
    <w:r>
      <w:rPr>
        <w:sz w:val="21"/>
      </w:rPr>
      <w:pict>
        <v:shape id="_x0000_s3075" o:spid="_x0000_s3075"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qQO8qzAEAAJ0DAAAOAAAAAAAAAAEAIAAAAB4BAABkcnMvZTJv&#10;RG9jLnhtbFBLBQYAAAAABgAGAFkBAABcBQAAAAA=&#10;">
          <v:path/>
          <v:fill on="f" focussize="0,0"/>
          <v:stroke on="f" joinstyle="miter"/>
          <v:imagedata o:title=""/>
          <o:lock v:ext="edit"/>
          <v:textbox inset="0mm,0mm,0mm,0mm" style="mso-fit-shape-to-text:t;">
            <w:txbxContent>
              <w:p>
                <w:pPr>
                  <w:pStyle w:val="16"/>
                </w:pPr>
                <w:r>
                  <w:fldChar w:fldCharType="begin"/>
                </w:r>
                <w:r>
                  <w:instrText xml:space="preserve"> PAGE  \* MERGEFORMAT </w:instrText>
                </w:r>
                <w:r>
                  <w:fldChar w:fldCharType="separate"/>
                </w:r>
                <w:r>
                  <w:t>56</w:t>
                </w:r>
                <w:r>
                  <w:fldChar w:fldCharType="end"/>
                </w:r>
              </w:p>
            </w:txbxContent>
          </v:textbox>
        </v:shape>
      </w:pict>
    </w:r>
    <w:r>
      <w:rPr>
        <w:rFonts w:hint="eastAsia" w:eastAsia="仿宋_GB2312"/>
        <w:sz w:val="21"/>
        <w:szCs w:val="21"/>
      </w:rPr>
      <w:t>吉林省玖伏环境科技有限公司</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auto" w:sz="4" w:space="1"/>
      </w:pBdr>
    </w:pPr>
    <w:r>
      <w:rPr>
        <w:rFonts w:hint="eastAsia" w:ascii="仿宋_GB2312" w:hAnsi="仿宋_GB2312" w:eastAsia="仿宋_GB2312" w:cs="仿宋_GB2312"/>
        <w:sz w:val="15"/>
        <w:szCs w:val="15"/>
      </w:rPr>
      <w:t xml:space="preserve">吉林省玖伏环境科技有限公司                                                        </w:t>
    </w:r>
    <w:r>
      <w:rPr>
        <w:rFonts w:hint="eastAsia"/>
      </w:rPr>
      <w:t xml:space="preserve">    </w:t>
    </w:r>
    <w:r>
      <w:fldChar w:fldCharType="begin"/>
    </w:r>
    <w:r>
      <w:instrText xml:space="preserve">PAGE   \* MERGEFORMAT</w:instrText>
    </w:r>
    <w:r>
      <w:fldChar w:fldCharType="separate"/>
    </w:r>
    <w:r>
      <w:rPr>
        <w:lang w:val="zh-CN"/>
      </w:rPr>
      <w:t>30</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0"/>
      </w:pBdr>
    </w:pPr>
    <w:r>
      <w:rPr>
        <w:rFonts w:hint="eastAsia" w:ascii="仿宋_GB2312" w:hAnsi="仿宋_GB2312" w:eastAsia="仿宋_GB2312" w:cs="仿宋_GB2312"/>
        <w:sz w:val="21"/>
        <w:szCs w:val="21"/>
      </w:rPr>
      <w:t>目 录</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1"/>
      </w:pBdr>
    </w:pPr>
    <w:r>
      <w:rPr>
        <w:rFonts w:hint="eastAsia" w:eastAsia="仿宋_GB2312"/>
        <w:sz w:val="21"/>
        <w:szCs w:val="21"/>
      </w:rPr>
      <w:t>7.水土保持投资估算及效益分析</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1"/>
      </w:pBdr>
    </w:pPr>
    <w:r>
      <w:rPr>
        <w:rFonts w:eastAsia="仿宋_GB2312"/>
        <w:sz w:val="21"/>
        <w:szCs w:val="21"/>
      </w:rPr>
      <w:t>8</w:t>
    </w:r>
    <w:r>
      <w:rPr>
        <w:rFonts w:hint="eastAsia" w:eastAsia="仿宋_GB2312"/>
        <w:sz w:val="21"/>
        <w:szCs w:val="21"/>
      </w:rPr>
      <w:t>.</w:t>
    </w:r>
    <w:r>
      <w:rPr>
        <w:rFonts w:eastAsia="仿宋_GB2312"/>
        <w:sz w:val="21"/>
        <w:szCs w:val="21"/>
      </w:rPr>
      <w:t>水土保持管理</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280" w:right="2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1"/>
      </w:pBdr>
    </w:pPr>
    <w:r>
      <w:rPr>
        <w:rFonts w:eastAsia="仿宋_GB2312"/>
        <w:sz w:val="21"/>
        <w:szCs w:val="21"/>
      </w:rPr>
      <w:t>1</w:t>
    </w:r>
    <w:r>
      <w:rPr>
        <w:rFonts w:hint="eastAsia" w:eastAsia="仿宋_GB2312"/>
        <w:sz w:val="21"/>
        <w:szCs w:val="21"/>
      </w:rPr>
      <w:t>.</w:t>
    </w:r>
    <w:r>
      <w:rPr>
        <w:rFonts w:eastAsia="仿宋_GB2312"/>
        <w:sz w:val="21"/>
        <w:szCs w:val="21"/>
      </w:rPr>
      <w:t>综合说明</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1"/>
      </w:pBdr>
    </w:pPr>
    <w:r>
      <w:rPr>
        <w:rFonts w:hint="eastAsia" w:eastAsia="仿宋_GB2312"/>
        <w:sz w:val="21"/>
        <w:szCs w:val="21"/>
      </w:rPr>
      <w:t>2.项目概况</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1"/>
      </w:pBdr>
    </w:pPr>
    <w:r>
      <w:rPr>
        <w:rFonts w:hint="eastAsia" w:eastAsia="仿宋_GB2312"/>
        <w:sz w:val="21"/>
        <w:szCs w:val="21"/>
      </w:rPr>
      <w:t>3.项目水土保持评价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1"/>
      </w:pBdr>
    </w:pPr>
    <w:r>
      <w:rPr>
        <w:rFonts w:hint="eastAsia" w:eastAsia="仿宋_GB2312"/>
        <w:sz w:val="21"/>
        <w:szCs w:val="21"/>
      </w:rPr>
      <w:t>4.水土流失分析与预测</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1"/>
      </w:pBdr>
    </w:pPr>
    <w:r>
      <w:rPr>
        <w:rFonts w:hint="eastAsia" w:eastAsia="仿宋_GB2312"/>
        <w:sz w:val="21"/>
        <w:szCs w:val="21"/>
      </w:rPr>
      <w:t>5.水土保持措施</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1"/>
      </w:pBdr>
    </w:pPr>
    <w:r>
      <w:rPr>
        <w:rFonts w:hint="eastAsia" w:eastAsia="仿宋_GB2312"/>
        <w:sz w:val="21"/>
        <w:szCs w:val="21"/>
      </w:rPr>
      <w:t>6.水土保持监测</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1"/>
      </w:pBdr>
    </w:pPr>
    <w:r>
      <w:rPr>
        <w:rFonts w:eastAsia="仿宋_GB2312"/>
        <w:sz w:val="21"/>
        <w:szCs w:val="21"/>
      </w:rPr>
      <w:t>7 水土保持投资估算及效益分析</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rPr>
        <w:rFonts w:eastAsia="仿宋_GB2312"/>
      </w:rPr>
    </w:pPr>
    <w:r>
      <w:rPr>
        <w:rFonts w:hint="eastAsia" w:eastAsia="仿宋_GB2312"/>
        <w:sz w:val="21"/>
        <w:szCs w:val="21"/>
      </w:rPr>
      <w:t>7</w:t>
    </w:r>
    <w:r>
      <w:rPr>
        <w:rFonts w:eastAsia="仿宋_GB2312"/>
        <w:sz w:val="21"/>
        <w:szCs w:val="21"/>
      </w:rPr>
      <w:t xml:space="preserve"> </w:t>
    </w:r>
    <w:r>
      <w:rPr>
        <w:rFonts w:hint="eastAsia" w:eastAsia="仿宋_GB2312"/>
        <w:sz w:val="21"/>
        <w:szCs w:val="21"/>
      </w:rPr>
      <w:t>水土保持投资估算及效益分析</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DE447A"/>
    <w:multiLevelType w:val="singleLevel"/>
    <w:tmpl w:val="C3DE447A"/>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zNjNDg1MTcxZDU5MjdmMThmOGNiYzI5OGM1YWQzNTUifQ=="/>
  </w:docVars>
  <w:rsids>
    <w:rsidRoot w:val="00172A27"/>
    <w:rsid w:val="00002B04"/>
    <w:rsid w:val="0000322F"/>
    <w:rsid w:val="00003E6B"/>
    <w:rsid w:val="000044BB"/>
    <w:rsid w:val="000048EA"/>
    <w:rsid w:val="00006630"/>
    <w:rsid w:val="00006A0B"/>
    <w:rsid w:val="00010206"/>
    <w:rsid w:val="000103AF"/>
    <w:rsid w:val="000118A8"/>
    <w:rsid w:val="00016E9B"/>
    <w:rsid w:val="00017CBA"/>
    <w:rsid w:val="000211C8"/>
    <w:rsid w:val="00023594"/>
    <w:rsid w:val="000237F3"/>
    <w:rsid w:val="000263C9"/>
    <w:rsid w:val="00026512"/>
    <w:rsid w:val="000306CD"/>
    <w:rsid w:val="00030E4C"/>
    <w:rsid w:val="00031AAC"/>
    <w:rsid w:val="00031C64"/>
    <w:rsid w:val="000339A9"/>
    <w:rsid w:val="00034798"/>
    <w:rsid w:val="00036FBB"/>
    <w:rsid w:val="00042262"/>
    <w:rsid w:val="000446D2"/>
    <w:rsid w:val="00046802"/>
    <w:rsid w:val="000529C5"/>
    <w:rsid w:val="00052C5B"/>
    <w:rsid w:val="000538F1"/>
    <w:rsid w:val="00053A13"/>
    <w:rsid w:val="00053A56"/>
    <w:rsid w:val="000541AA"/>
    <w:rsid w:val="00057BA6"/>
    <w:rsid w:val="00060720"/>
    <w:rsid w:val="0006083A"/>
    <w:rsid w:val="00061776"/>
    <w:rsid w:val="000634E1"/>
    <w:rsid w:val="000641C8"/>
    <w:rsid w:val="00066785"/>
    <w:rsid w:val="00066F31"/>
    <w:rsid w:val="00067EB6"/>
    <w:rsid w:val="00072878"/>
    <w:rsid w:val="00072B6F"/>
    <w:rsid w:val="00072C5B"/>
    <w:rsid w:val="00073044"/>
    <w:rsid w:val="00073076"/>
    <w:rsid w:val="00073570"/>
    <w:rsid w:val="0007536A"/>
    <w:rsid w:val="00076DFC"/>
    <w:rsid w:val="00081664"/>
    <w:rsid w:val="00081872"/>
    <w:rsid w:val="00081960"/>
    <w:rsid w:val="000826D1"/>
    <w:rsid w:val="0008283C"/>
    <w:rsid w:val="00084636"/>
    <w:rsid w:val="00087684"/>
    <w:rsid w:val="000876C2"/>
    <w:rsid w:val="00087941"/>
    <w:rsid w:val="00087FAF"/>
    <w:rsid w:val="00091ED0"/>
    <w:rsid w:val="00093ABE"/>
    <w:rsid w:val="00094943"/>
    <w:rsid w:val="00095895"/>
    <w:rsid w:val="00097E71"/>
    <w:rsid w:val="000A0207"/>
    <w:rsid w:val="000A3C29"/>
    <w:rsid w:val="000A7572"/>
    <w:rsid w:val="000A7D60"/>
    <w:rsid w:val="000B1822"/>
    <w:rsid w:val="000B1EA2"/>
    <w:rsid w:val="000B3BF6"/>
    <w:rsid w:val="000B46A1"/>
    <w:rsid w:val="000B5456"/>
    <w:rsid w:val="000B6B79"/>
    <w:rsid w:val="000B713A"/>
    <w:rsid w:val="000B7DA4"/>
    <w:rsid w:val="000C0D13"/>
    <w:rsid w:val="000C13EA"/>
    <w:rsid w:val="000C1620"/>
    <w:rsid w:val="000C1934"/>
    <w:rsid w:val="000C2A20"/>
    <w:rsid w:val="000C4A5C"/>
    <w:rsid w:val="000D0604"/>
    <w:rsid w:val="000D1F0A"/>
    <w:rsid w:val="000D2676"/>
    <w:rsid w:val="000D27D4"/>
    <w:rsid w:val="000D494C"/>
    <w:rsid w:val="000D4D6D"/>
    <w:rsid w:val="000D58AD"/>
    <w:rsid w:val="000D58C7"/>
    <w:rsid w:val="000D6B7D"/>
    <w:rsid w:val="000E2A0B"/>
    <w:rsid w:val="000E2CA8"/>
    <w:rsid w:val="000E3170"/>
    <w:rsid w:val="000E3606"/>
    <w:rsid w:val="000E6D72"/>
    <w:rsid w:val="000E6EA4"/>
    <w:rsid w:val="000F3835"/>
    <w:rsid w:val="000F3912"/>
    <w:rsid w:val="000F3EA0"/>
    <w:rsid w:val="000F45E8"/>
    <w:rsid w:val="000F4F10"/>
    <w:rsid w:val="000F5E67"/>
    <w:rsid w:val="000F5EE6"/>
    <w:rsid w:val="000F6084"/>
    <w:rsid w:val="000F7025"/>
    <w:rsid w:val="001075B9"/>
    <w:rsid w:val="00110748"/>
    <w:rsid w:val="001108AD"/>
    <w:rsid w:val="00113170"/>
    <w:rsid w:val="001134D1"/>
    <w:rsid w:val="00114B42"/>
    <w:rsid w:val="001150F4"/>
    <w:rsid w:val="00123F86"/>
    <w:rsid w:val="00124745"/>
    <w:rsid w:val="0012492F"/>
    <w:rsid w:val="00124994"/>
    <w:rsid w:val="00126313"/>
    <w:rsid w:val="00127380"/>
    <w:rsid w:val="00130D2C"/>
    <w:rsid w:val="00130DD1"/>
    <w:rsid w:val="00131D21"/>
    <w:rsid w:val="0013334D"/>
    <w:rsid w:val="00135790"/>
    <w:rsid w:val="0013662C"/>
    <w:rsid w:val="0014102F"/>
    <w:rsid w:val="00141F99"/>
    <w:rsid w:val="0014306A"/>
    <w:rsid w:val="001437A3"/>
    <w:rsid w:val="001440F7"/>
    <w:rsid w:val="001453A1"/>
    <w:rsid w:val="0014565D"/>
    <w:rsid w:val="00146498"/>
    <w:rsid w:val="00146ED6"/>
    <w:rsid w:val="0015074F"/>
    <w:rsid w:val="001510B7"/>
    <w:rsid w:val="00153498"/>
    <w:rsid w:val="00153626"/>
    <w:rsid w:val="00153A6A"/>
    <w:rsid w:val="001541C5"/>
    <w:rsid w:val="00155303"/>
    <w:rsid w:val="00156D77"/>
    <w:rsid w:val="00157DF1"/>
    <w:rsid w:val="001602E1"/>
    <w:rsid w:val="0016239C"/>
    <w:rsid w:val="0016281B"/>
    <w:rsid w:val="00165034"/>
    <w:rsid w:val="00165768"/>
    <w:rsid w:val="001659AF"/>
    <w:rsid w:val="00165C4A"/>
    <w:rsid w:val="0016623E"/>
    <w:rsid w:val="00171D71"/>
    <w:rsid w:val="00172A27"/>
    <w:rsid w:val="00173178"/>
    <w:rsid w:val="00173428"/>
    <w:rsid w:val="0017655A"/>
    <w:rsid w:val="00176F92"/>
    <w:rsid w:val="001776FF"/>
    <w:rsid w:val="00180378"/>
    <w:rsid w:val="00180907"/>
    <w:rsid w:val="00181154"/>
    <w:rsid w:val="0018195D"/>
    <w:rsid w:val="00183E49"/>
    <w:rsid w:val="00184022"/>
    <w:rsid w:val="00187744"/>
    <w:rsid w:val="00191456"/>
    <w:rsid w:val="00191E77"/>
    <w:rsid w:val="00192ECF"/>
    <w:rsid w:val="00193498"/>
    <w:rsid w:val="001935BE"/>
    <w:rsid w:val="00193661"/>
    <w:rsid w:val="00194C9A"/>
    <w:rsid w:val="0019575F"/>
    <w:rsid w:val="001958AD"/>
    <w:rsid w:val="001969CA"/>
    <w:rsid w:val="00197653"/>
    <w:rsid w:val="00197BE9"/>
    <w:rsid w:val="001A2D85"/>
    <w:rsid w:val="001A3C37"/>
    <w:rsid w:val="001A4285"/>
    <w:rsid w:val="001A4895"/>
    <w:rsid w:val="001A75F7"/>
    <w:rsid w:val="001A7B86"/>
    <w:rsid w:val="001B0B5B"/>
    <w:rsid w:val="001B15BC"/>
    <w:rsid w:val="001B337E"/>
    <w:rsid w:val="001B4838"/>
    <w:rsid w:val="001B77B0"/>
    <w:rsid w:val="001B7CD0"/>
    <w:rsid w:val="001C0324"/>
    <w:rsid w:val="001C0B96"/>
    <w:rsid w:val="001C0EAF"/>
    <w:rsid w:val="001C47E0"/>
    <w:rsid w:val="001C4896"/>
    <w:rsid w:val="001C5CB2"/>
    <w:rsid w:val="001D009E"/>
    <w:rsid w:val="001D027D"/>
    <w:rsid w:val="001D06AB"/>
    <w:rsid w:val="001D2C8E"/>
    <w:rsid w:val="001D5A6E"/>
    <w:rsid w:val="001D5D70"/>
    <w:rsid w:val="001D6BB9"/>
    <w:rsid w:val="001E00DC"/>
    <w:rsid w:val="001E3C70"/>
    <w:rsid w:val="001E4A25"/>
    <w:rsid w:val="001E4E64"/>
    <w:rsid w:val="001E5071"/>
    <w:rsid w:val="001E5601"/>
    <w:rsid w:val="001E63E2"/>
    <w:rsid w:val="001F2D4D"/>
    <w:rsid w:val="001F38AB"/>
    <w:rsid w:val="001F618D"/>
    <w:rsid w:val="001F6D41"/>
    <w:rsid w:val="001F7734"/>
    <w:rsid w:val="00200A26"/>
    <w:rsid w:val="00202042"/>
    <w:rsid w:val="0020456F"/>
    <w:rsid w:val="00206509"/>
    <w:rsid w:val="0021011F"/>
    <w:rsid w:val="00210234"/>
    <w:rsid w:val="0021330C"/>
    <w:rsid w:val="00213A08"/>
    <w:rsid w:val="00215C6B"/>
    <w:rsid w:val="00221315"/>
    <w:rsid w:val="002217E5"/>
    <w:rsid w:val="00223B83"/>
    <w:rsid w:val="002243D0"/>
    <w:rsid w:val="00224B4A"/>
    <w:rsid w:val="002263A1"/>
    <w:rsid w:val="00226451"/>
    <w:rsid w:val="00226687"/>
    <w:rsid w:val="002276C8"/>
    <w:rsid w:val="00227D71"/>
    <w:rsid w:val="00227FCA"/>
    <w:rsid w:val="002304D4"/>
    <w:rsid w:val="00230F1C"/>
    <w:rsid w:val="002325EA"/>
    <w:rsid w:val="00232C93"/>
    <w:rsid w:val="00234163"/>
    <w:rsid w:val="00240CD1"/>
    <w:rsid w:val="002424E0"/>
    <w:rsid w:val="00242656"/>
    <w:rsid w:val="0024298E"/>
    <w:rsid w:val="00247736"/>
    <w:rsid w:val="00247B7F"/>
    <w:rsid w:val="00251522"/>
    <w:rsid w:val="002515C4"/>
    <w:rsid w:val="00251651"/>
    <w:rsid w:val="002527B8"/>
    <w:rsid w:val="00253B9E"/>
    <w:rsid w:val="002543CF"/>
    <w:rsid w:val="00254861"/>
    <w:rsid w:val="00256D24"/>
    <w:rsid w:val="00261D16"/>
    <w:rsid w:val="00262887"/>
    <w:rsid w:val="002630BB"/>
    <w:rsid w:val="002630EB"/>
    <w:rsid w:val="00263762"/>
    <w:rsid w:val="0026497F"/>
    <w:rsid w:val="00266471"/>
    <w:rsid w:val="00267AD9"/>
    <w:rsid w:val="00267B29"/>
    <w:rsid w:val="00272736"/>
    <w:rsid w:val="0027472F"/>
    <w:rsid w:val="00275A5D"/>
    <w:rsid w:val="00280915"/>
    <w:rsid w:val="00281B9F"/>
    <w:rsid w:val="002832A4"/>
    <w:rsid w:val="00283C1C"/>
    <w:rsid w:val="00286A4E"/>
    <w:rsid w:val="00287034"/>
    <w:rsid w:val="00287DD6"/>
    <w:rsid w:val="002916DB"/>
    <w:rsid w:val="00292470"/>
    <w:rsid w:val="002931CD"/>
    <w:rsid w:val="002943E8"/>
    <w:rsid w:val="0029708F"/>
    <w:rsid w:val="002979D9"/>
    <w:rsid w:val="002A0C7F"/>
    <w:rsid w:val="002A21FC"/>
    <w:rsid w:val="002A2E4D"/>
    <w:rsid w:val="002A55D2"/>
    <w:rsid w:val="002A6617"/>
    <w:rsid w:val="002B2C3E"/>
    <w:rsid w:val="002B62F3"/>
    <w:rsid w:val="002C13EE"/>
    <w:rsid w:val="002C1DF8"/>
    <w:rsid w:val="002C3DAF"/>
    <w:rsid w:val="002C5049"/>
    <w:rsid w:val="002C6651"/>
    <w:rsid w:val="002C7BBA"/>
    <w:rsid w:val="002D0308"/>
    <w:rsid w:val="002D03AE"/>
    <w:rsid w:val="002D2249"/>
    <w:rsid w:val="002D37F2"/>
    <w:rsid w:val="002D799A"/>
    <w:rsid w:val="002E0DD1"/>
    <w:rsid w:val="002E21FA"/>
    <w:rsid w:val="002E2487"/>
    <w:rsid w:val="002E266A"/>
    <w:rsid w:val="002E3238"/>
    <w:rsid w:val="002E46BA"/>
    <w:rsid w:val="002E4CD7"/>
    <w:rsid w:val="002E773E"/>
    <w:rsid w:val="002F0673"/>
    <w:rsid w:val="002F3325"/>
    <w:rsid w:val="002F5394"/>
    <w:rsid w:val="002F64F1"/>
    <w:rsid w:val="003015C4"/>
    <w:rsid w:val="003027F9"/>
    <w:rsid w:val="0030363A"/>
    <w:rsid w:val="00304328"/>
    <w:rsid w:val="00305AA1"/>
    <w:rsid w:val="00306C8D"/>
    <w:rsid w:val="00307930"/>
    <w:rsid w:val="00312F80"/>
    <w:rsid w:val="00315793"/>
    <w:rsid w:val="00317EA3"/>
    <w:rsid w:val="00322D37"/>
    <w:rsid w:val="003235E3"/>
    <w:rsid w:val="00323720"/>
    <w:rsid w:val="003248DF"/>
    <w:rsid w:val="00324CD6"/>
    <w:rsid w:val="00326D36"/>
    <w:rsid w:val="00327783"/>
    <w:rsid w:val="00327B1F"/>
    <w:rsid w:val="00327D51"/>
    <w:rsid w:val="003312E1"/>
    <w:rsid w:val="003327BD"/>
    <w:rsid w:val="0033362A"/>
    <w:rsid w:val="00333A7B"/>
    <w:rsid w:val="0033593F"/>
    <w:rsid w:val="00336663"/>
    <w:rsid w:val="0034078B"/>
    <w:rsid w:val="003416F6"/>
    <w:rsid w:val="00341F11"/>
    <w:rsid w:val="00342153"/>
    <w:rsid w:val="00342A17"/>
    <w:rsid w:val="003431CB"/>
    <w:rsid w:val="00343A40"/>
    <w:rsid w:val="0034587F"/>
    <w:rsid w:val="00345928"/>
    <w:rsid w:val="00345F17"/>
    <w:rsid w:val="00346B84"/>
    <w:rsid w:val="00346E00"/>
    <w:rsid w:val="00347817"/>
    <w:rsid w:val="00347E28"/>
    <w:rsid w:val="0035268A"/>
    <w:rsid w:val="003550D8"/>
    <w:rsid w:val="0035544E"/>
    <w:rsid w:val="00356F48"/>
    <w:rsid w:val="00356F8C"/>
    <w:rsid w:val="003579C9"/>
    <w:rsid w:val="00357DF9"/>
    <w:rsid w:val="00360531"/>
    <w:rsid w:val="00360622"/>
    <w:rsid w:val="00362EB5"/>
    <w:rsid w:val="00363798"/>
    <w:rsid w:val="003639AF"/>
    <w:rsid w:val="00363FF6"/>
    <w:rsid w:val="00364A70"/>
    <w:rsid w:val="00364CD3"/>
    <w:rsid w:val="003662D9"/>
    <w:rsid w:val="00367779"/>
    <w:rsid w:val="00370225"/>
    <w:rsid w:val="00371C33"/>
    <w:rsid w:val="00372051"/>
    <w:rsid w:val="003728CB"/>
    <w:rsid w:val="0037390F"/>
    <w:rsid w:val="00373AA8"/>
    <w:rsid w:val="00373E32"/>
    <w:rsid w:val="00373F39"/>
    <w:rsid w:val="003762BB"/>
    <w:rsid w:val="00376934"/>
    <w:rsid w:val="003770D0"/>
    <w:rsid w:val="003770F4"/>
    <w:rsid w:val="00377325"/>
    <w:rsid w:val="00380904"/>
    <w:rsid w:val="00380ECE"/>
    <w:rsid w:val="003825B8"/>
    <w:rsid w:val="003829F5"/>
    <w:rsid w:val="00383CC6"/>
    <w:rsid w:val="00384925"/>
    <w:rsid w:val="0038702D"/>
    <w:rsid w:val="00390348"/>
    <w:rsid w:val="00392300"/>
    <w:rsid w:val="00392592"/>
    <w:rsid w:val="00395CF4"/>
    <w:rsid w:val="00397E5A"/>
    <w:rsid w:val="003A0A62"/>
    <w:rsid w:val="003A37BD"/>
    <w:rsid w:val="003A5D10"/>
    <w:rsid w:val="003A7F8E"/>
    <w:rsid w:val="003B0B86"/>
    <w:rsid w:val="003B2ADE"/>
    <w:rsid w:val="003B76B6"/>
    <w:rsid w:val="003B7B3E"/>
    <w:rsid w:val="003C009B"/>
    <w:rsid w:val="003C072D"/>
    <w:rsid w:val="003C0979"/>
    <w:rsid w:val="003C13A7"/>
    <w:rsid w:val="003C2F3A"/>
    <w:rsid w:val="003C42B4"/>
    <w:rsid w:val="003C4322"/>
    <w:rsid w:val="003C5362"/>
    <w:rsid w:val="003C5852"/>
    <w:rsid w:val="003C68B6"/>
    <w:rsid w:val="003D4D79"/>
    <w:rsid w:val="003E2144"/>
    <w:rsid w:val="003E22A6"/>
    <w:rsid w:val="003E292D"/>
    <w:rsid w:val="003E35A1"/>
    <w:rsid w:val="003E3D1C"/>
    <w:rsid w:val="003E7D15"/>
    <w:rsid w:val="003F1F1D"/>
    <w:rsid w:val="003F4814"/>
    <w:rsid w:val="003F58E3"/>
    <w:rsid w:val="003F6210"/>
    <w:rsid w:val="003F63D6"/>
    <w:rsid w:val="003F7732"/>
    <w:rsid w:val="0040084A"/>
    <w:rsid w:val="004027E3"/>
    <w:rsid w:val="004030E0"/>
    <w:rsid w:val="00403BA0"/>
    <w:rsid w:val="00404E8C"/>
    <w:rsid w:val="00405C28"/>
    <w:rsid w:val="00407E5A"/>
    <w:rsid w:val="004113E9"/>
    <w:rsid w:val="0041142D"/>
    <w:rsid w:val="00412537"/>
    <w:rsid w:val="00413332"/>
    <w:rsid w:val="00413C72"/>
    <w:rsid w:val="00414033"/>
    <w:rsid w:val="004149FD"/>
    <w:rsid w:val="00415051"/>
    <w:rsid w:val="004156C8"/>
    <w:rsid w:val="00415E9E"/>
    <w:rsid w:val="004206AE"/>
    <w:rsid w:val="0042117C"/>
    <w:rsid w:val="00421AA3"/>
    <w:rsid w:val="00421BDD"/>
    <w:rsid w:val="00422331"/>
    <w:rsid w:val="00426F07"/>
    <w:rsid w:val="004272FF"/>
    <w:rsid w:val="00431AFD"/>
    <w:rsid w:val="00437F22"/>
    <w:rsid w:val="00444019"/>
    <w:rsid w:val="00445852"/>
    <w:rsid w:val="00446865"/>
    <w:rsid w:val="00450384"/>
    <w:rsid w:val="004521D3"/>
    <w:rsid w:val="0045418D"/>
    <w:rsid w:val="00454206"/>
    <w:rsid w:val="0045482F"/>
    <w:rsid w:val="00454C97"/>
    <w:rsid w:val="00455177"/>
    <w:rsid w:val="00455740"/>
    <w:rsid w:val="00460A4E"/>
    <w:rsid w:val="00464770"/>
    <w:rsid w:val="00464BD9"/>
    <w:rsid w:val="004656C9"/>
    <w:rsid w:val="00465ECC"/>
    <w:rsid w:val="00466591"/>
    <w:rsid w:val="00466B57"/>
    <w:rsid w:val="00466FD5"/>
    <w:rsid w:val="004720ED"/>
    <w:rsid w:val="0047265A"/>
    <w:rsid w:val="004732CF"/>
    <w:rsid w:val="00474376"/>
    <w:rsid w:val="004763CC"/>
    <w:rsid w:val="00481BEF"/>
    <w:rsid w:val="00481CA5"/>
    <w:rsid w:val="004834D2"/>
    <w:rsid w:val="00483710"/>
    <w:rsid w:val="00492347"/>
    <w:rsid w:val="00492E18"/>
    <w:rsid w:val="0049382F"/>
    <w:rsid w:val="00493866"/>
    <w:rsid w:val="00494B52"/>
    <w:rsid w:val="004A06ED"/>
    <w:rsid w:val="004A10E2"/>
    <w:rsid w:val="004A1418"/>
    <w:rsid w:val="004A1B94"/>
    <w:rsid w:val="004A1E0B"/>
    <w:rsid w:val="004A44D5"/>
    <w:rsid w:val="004A4D27"/>
    <w:rsid w:val="004A56BA"/>
    <w:rsid w:val="004A6DB5"/>
    <w:rsid w:val="004A74C4"/>
    <w:rsid w:val="004A7B89"/>
    <w:rsid w:val="004B1392"/>
    <w:rsid w:val="004B370F"/>
    <w:rsid w:val="004B4012"/>
    <w:rsid w:val="004B47FF"/>
    <w:rsid w:val="004B4F62"/>
    <w:rsid w:val="004B69C5"/>
    <w:rsid w:val="004C001D"/>
    <w:rsid w:val="004C3C51"/>
    <w:rsid w:val="004C4982"/>
    <w:rsid w:val="004C66E2"/>
    <w:rsid w:val="004C6818"/>
    <w:rsid w:val="004C6E2E"/>
    <w:rsid w:val="004C7BFB"/>
    <w:rsid w:val="004D2479"/>
    <w:rsid w:val="004D42EA"/>
    <w:rsid w:val="004D69CD"/>
    <w:rsid w:val="004E1741"/>
    <w:rsid w:val="004E1B80"/>
    <w:rsid w:val="004E2E74"/>
    <w:rsid w:val="004E3CB1"/>
    <w:rsid w:val="004E5D45"/>
    <w:rsid w:val="004E5FD2"/>
    <w:rsid w:val="004E60D6"/>
    <w:rsid w:val="004E6BFE"/>
    <w:rsid w:val="004E77D3"/>
    <w:rsid w:val="004F3F39"/>
    <w:rsid w:val="004F4C9E"/>
    <w:rsid w:val="004F4D25"/>
    <w:rsid w:val="004F74C5"/>
    <w:rsid w:val="004F7B00"/>
    <w:rsid w:val="00500E5A"/>
    <w:rsid w:val="00504E33"/>
    <w:rsid w:val="00505CF9"/>
    <w:rsid w:val="00511B39"/>
    <w:rsid w:val="00514EBC"/>
    <w:rsid w:val="00515CB0"/>
    <w:rsid w:val="00515CB6"/>
    <w:rsid w:val="005214DA"/>
    <w:rsid w:val="00521F82"/>
    <w:rsid w:val="00522082"/>
    <w:rsid w:val="00522790"/>
    <w:rsid w:val="00525696"/>
    <w:rsid w:val="005276CC"/>
    <w:rsid w:val="00530DA3"/>
    <w:rsid w:val="00531745"/>
    <w:rsid w:val="00533138"/>
    <w:rsid w:val="00533739"/>
    <w:rsid w:val="005337F3"/>
    <w:rsid w:val="00535360"/>
    <w:rsid w:val="0053536E"/>
    <w:rsid w:val="00535781"/>
    <w:rsid w:val="0053686A"/>
    <w:rsid w:val="00536EF3"/>
    <w:rsid w:val="00537690"/>
    <w:rsid w:val="005400BA"/>
    <w:rsid w:val="00543286"/>
    <w:rsid w:val="00543E34"/>
    <w:rsid w:val="00543FC5"/>
    <w:rsid w:val="005456D1"/>
    <w:rsid w:val="00550F4E"/>
    <w:rsid w:val="00550FE7"/>
    <w:rsid w:val="0055203A"/>
    <w:rsid w:val="00552314"/>
    <w:rsid w:val="00552A1F"/>
    <w:rsid w:val="00552F6C"/>
    <w:rsid w:val="00554118"/>
    <w:rsid w:val="005548EE"/>
    <w:rsid w:val="005548F5"/>
    <w:rsid w:val="005548F8"/>
    <w:rsid w:val="00557542"/>
    <w:rsid w:val="00561E3A"/>
    <w:rsid w:val="00563DCC"/>
    <w:rsid w:val="0056437C"/>
    <w:rsid w:val="00566851"/>
    <w:rsid w:val="00566A8F"/>
    <w:rsid w:val="00567328"/>
    <w:rsid w:val="00567AB3"/>
    <w:rsid w:val="00567BA4"/>
    <w:rsid w:val="00570B11"/>
    <w:rsid w:val="005721AF"/>
    <w:rsid w:val="00573299"/>
    <w:rsid w:val="005744B1"/>
    <w:rsid w:val="00575CC5"/>
    <w:rsid w:val="00576F7E"/>
    <w:rsid w:val="00580E9A"/>
    <w:rsid w:val="00583C88"/>
    <w:rsid w:val="00585B7F"/>
    <w:rsid w:val="00585DF2"/>
    <w:rsid w:val="005865E8"/>
    <w:rsid w:val="0058701D"/>
    <w:rsid w:val="00592E0D"/>
    <w:rsid w:val="005959E1"/>
    <w:rsid w:val="00595D40"/>
    <w:rsid w:val="005A0653"/>
    <w:rsid w:val="005A10A0"/>
    <w:rsid w:val="005A2B0A"/>
    <w:rsid w:val="005A3A11"/>
    <w:rsid w:val="005A7422"/>
    <w:rsid w:val="005A7425"/>
    <w:rsid w:val="005B0AED"/>
    <w:rsid w:val="005B1B25"/>
    <w:rsid w:val="005C38AF"/>
    <w:rsid w:val="005C4A1F"/>
    <w:rsid w:val="005C63C9"/>
    <w:rsid w:val="005C780A"/>
    <w:rsid w:val="005D2ACD"/>
    <w:rsid w:val="005D2C1D"/>
    <w:rsid w:val="005D3A71"/>
    <w:rsid w:val="005D511B"/>
    <w:rsid w:val="005D517E"/>
    <w:rsid w:val="005D6CC1"/>
    <w:rsid w:val="005D7CB0"/>
    <w:rsid w:val="005E09C1"/>
    <w:rsid w:val="005E1820"/>
    <w:rsid w:val="005E2484"/>
    <w:rsid w:val="005E33BF"/>
    <w:rsid w:val="005E4022"/>
    <w:rsid w:val="005E4729"/>
    <w:rsid w:val="005E4D45"/>
    <w:rsid w:val="005F2667"/>
    <w:rsid w:val="005F4197"/>
    <w:rsid w:val="005F5971"/>
    <w:rsid w:val="00602AF9"/>
    <w:rsid w:val="00602E21"/>
    <w:rsid w:val="00604143"/>
    <w:rsid w:val="006060BD"/>
    <w:rsid w:val="00606472"/>
    <w:rsid w:val="00607780"/>
    <w:rsid w:val="00610AAE"/>
    <w:rsid w:val="006122AC"/>
    <w:rsid w:val="00612DC4"/>
    <w:rsid w:val="00613481"/>
    <w:rsid w:val="0061425D"/>
    <w:rsid w:val="00614312"/>
    <w:rsid w:val="006144B3"/>
    <w:rsid w:val="0061459A"/>
    <w:rsid w:val="00616DE4"/>
    <w:rsid w:val="006227B5"/>
    <w:rsid w:val="00622D32"/>
    <w:rsid w:val="00623048"/>
    <w:rsid w:val="006230B8"/>
    <w:rsid w:val="00625D00"/>
    <w:rsid w:val="00626AAE"/>
    <w:rsid w:val="006278C9"/>
    <w:rsid w:val="00632CC5"/>
    <w:rsid w:val="00633498"/>
    <w:rsid w:val="0063550A"/>
    <w:rsid w:val="0064096A"/>
    <w:rsid w:val="00640E23"/>
    <w:rsid w:val="00642482"/>
    <w:rsid w:val="00643212"/>
    <w:rsid w:val="00643680"/>
    <w:rsid w:val="0064497F"/>
    <w:rsid w:val="00646BB4"/>
    <w:rsid w:val="00647BBB"/>
    <w:rsid w:val="0065232C"/>
    <w:rsid w:val="00654FC2"/>
    <w:rsid w:val="00656776"/>
    <w:rsid w:val="00656EB8"/>
    <w:rsid w:val="00657478"/>
    <w:rsid w:val="00657F26"/>
    <w:rsid w:val="0066111D"/>
    <w:rsid w:val="00664478"/>
    <w:rsid w:val="00671E0D"/>
    <w:rsid w:val="00671F1E"/>
    <w:rsid w:val="00674509"/>
    <w:rsid w:val="00675053"/>
    <w:rsid w:val="00676209"/>
    <w:rsid w:val="00677AAE"/>
    <w:rsid w:val="00680665"/>
    <w:rsid w:val="006809DC"/>
    <w:rsid w:val="00684614"/>
    <w:rsid w:val="0068545F"/>
    <w:rsid w:val="0068796E"/>
    <w:rsid w:val="00690413"/>
    <w:rsid w:val="0069289F"/>
    <w:rsid w:val="00693C6A"/>
    <w:rsid w:val="00693F6A"/>
    <w:rsid w:val="00693F73"/>
    <w:rsid w:val="006942F9"/>
    <w:rsid w:val="00695948"/>
    <w:rsid w:val="00695BB2"/>
    <w:rsid w:val="0069632C"/>
    <w:rsid w:val="006A34B1"/>
    <w:rsid w:val="006A3ADC"/>
    <w:rsid w:val="006A4004"/>
    <w:rsid w:val="006B0432"/>
    <w:rsid w:val="006B1D2A"/>
    <w:rsid w:val="006B309C"/>
    <w:rsid w:val="006B4326"/>
    <w:rsid w:val="006B664B"/>
    <w:rsid w:val="006B750B"/>
    <w:rsid w:val="006B763D"/>
    <w:rsid w:val="006C0A3E"/>
    <w:rsid w:val="006C1586"/>
    <w:rsid w:val="006C1D31"/>
    <w:rsid w:val="006C2126"/>
    <w:rsid w:val="006C2D7A"/>
    <w:rsid w:val="006C5FED"/>
    <w:rsid w:val="006C6415"/>
    <w:rsid w:val="006C70A7"/>
    <w:rsid w:val="006D12C3"/>
    <w:rsid w:val="006D2152"/>
    <w:rsid w:val="006D3503"/>
    <w:rsid w:val="006D4F9F"/>
    <w:rsid w:val="006D7D2D"/>
    <w:rsid w:val="006E01C7"/>
    <w:rsid w:val="006E09B3"/>
    <w:rsid w:val="006E1403"/>
    <w:rsid w:val="006E1E38"/>
    <w:rsid w:val="006E2041"/>
    <w:rsid w:val="006E3D95"/>
    <w:rsid w:val="006E3F34"/>
    <w:rsid w:val="006E53F1"/>
    <w:rsid w:val="006E6B6D"/>
    <w:rsid w:val="006E7FA3"/>
    <w:rsid w:val="006F20A2"/>
    <w:rsid w:val="006F2950"/>
    <w:rsid w:val="006F4124"/>
    <w:rsid w:val="006F5E69"/>
    <w:rsid w:val="006F7716"/>
    <w:rsid w:val="00704643"/>
    <w:rsid w:val="007047E5"/>
    <w:rsid w:val="00704837"/>
    <w:rsid w:val="00705082"/>
    <w:rsid w:val="00705376"/>
    <w:rsid w:val="007054C1"/>
    <w:rsid w:val="00707B08"/>
    <w:rsid w:val="00714607"/>
    <w:rsid w:val="00716661"/>
    <w:rsid w:val="00722E56"/>
    <w:rsid w:val="007231A1"/>
    <w:rsid w:val="007236FF"/>
    <w:rsid w:val="00723799"/>
    <w:rsid w:val="007240E1"/>
    <w:rsid w:val="00724A72"/>
    <w:rsid w:val="00725DF7"/>
    <w:rsid w:val="0072773C"/>
    <w:rsid w:val="00727C64"/>
    <w:rsid w:val="00727F82"/>
    <w:rsid w:val="00731377"/>
    <w:rsid w:val="00731639"/>
    <w:rsid w:val="00731F82"/>
    <w:rsid w:val="00732B0F"/>
    <w:rsid w:val="00733491"/>
    <w:rsid w:val="00734E0B"/>
    <w:rsid w:val="0073522F"/>
    <w:rsid w:val="00735BDE"/>
    <w:rsid w:val="00737085"/>
    <w:rsid w:val="007370D1"/>
    <w:rsid w:val="00741D6C"/>
    <w:rsid w:val="00746291"/>
    <w:rsid w:val="0074630C"/>
    <w:rsid w:val="00750339"/>
    <w:rsid w:val="00750343"/>
    <w:rsid w:val="00751B9A"/>
    <w:rsid w:val="00751F15"/>
    <w:rsid w:val="00754BFD"/>
    <w:rsid w:val="0075629D"/>
    <w:rsid w:val="00757C5A"/>
    <w:rsid w:val="00760AB1"/>
    <w:rsid w:val="00761598"/>
    <w:rsid w:val="00764564"/>
    <w:rsid w:val="00765859"/>
    <w:rsid w:val="007664C6"/>
    <w:rsid w:val="007667AC"/>
    <w:rsid w:val="00770A96"/>
    <w:rsid w:val="007713CF"/>
    <w:rsid w:val="00772802"/>
    <w:rsid w:val="00772A70"/>
    <w:rsid w:val="00774AD3"/>
    <w:rsid w:val="00775D0D"/>
    <w:rsid w:val="0077619B"/>
    <w:rsid w:val="0077661D"/>
    <w:rsid w:val="00777D35"/>
    <w:rsid w:val="007808FA"/>
    <w:rsid w:val="0078157C"/>
    <w:rsid w:val="00782265"/>
    <w:rsid w:val="007828F0"/>
    <w:rsid w:val="0078328E"/>
    <w:rsid w:val="007838F3"/>
    <w:rsid w:val="00784BCD"/>
    <w:rsid w:val="00784F91"/>
    <w:rsid w:val="00786A8C"/>
    <w:rsid w:val="00786AD5"/>
    <w:rsid w:val="007873D4"/>
    <w:rsid w:val="007877A7"/>
    <w:rsid w:val="00787DF6"/>
    <w:rsid w:val="007901F7"/>
    <w:rsid w:val="00790553"/>
    <w:rsid w:val="0079109F"/>
    <w:rsid w:val="00792565"/>
    <w:rsid w:val="007929F6"/>
    <w:rsid w:val="007932F4"/>
    <w:rsid w:val="00793391"/>
    <w:rsid w:val="00794B95"/>
    <w:rsid w:val="0079532E"/>
    <w:rsid w:val="00795FF9"/>
    <w:rsid w:val="007961AB"/>
    <w:rsid w:val="007A5B29"/>
    <w:rsid w:val="007A7BFC"/>
    <w:rsid w:val="007B0A30"/>
    <w:rsid w:val="007B0D0C"/>
    <w:rsid w:val="007B3990"/>
    <w:rsid w:val="007B4DC8"/>
    <w:rsid w:val="007B4F0F"/>
    <w:rsid w:val="007B4F45"/>
    <w:rsid w:val="007B612A"/>
    <w:rsid w:val="007B6CCD"/>
    <w:rsid w:val="007B76D8"/>
    <w:rsid w:val="007B793A"/>
    <w:rsid w:val="007C175E"/>
    <w:rsid w:val="007C3AC7"/>
    <w:rsid w:val="007C66D7"/>
    <w:rsid w:val="007D08F6"/>
    <w:rsid w:val="007D1E3D"/>
    <w:rsid w:val="007D336B"/>
    <w:rsid w:val="007D6BF5"/>
    <w:rsid w:val="007D7502"/>
    <w:rsid w:val="007E024A"/>
    <w:rsid w:val="007E18D1"/>
    <w:rsid w:val="007E5A67"/>
    <w:rsid w:val="007F0359"/>
    <w:rsid w:val="007F1706"/>
    <w:rsid w:val="007F2836"/>
    <w:rsid w:val="007F35A2"/>
    <w:rsid w:val="007F3CF6"/>
    <w:rsid w:val="007F3D9D"/>
    <w:rsid w:val="007F52A3"/>
    <w:rsid w:val="007F5747"/>
    <w:rsid w:val="007F5E4B"/>
    <w:rsid w:val="007F5F5F"/>
    <w:rsid w:val="00800FAA"/>
    <w:rsid w:val="008018C6"/>
    <w:rsid w:val="0080655C"/>
    <w:rsid w:val="008072F1"/>
    <w:rsid w:val="0080761D"/>
    <w:rsid w:val="008111C7"/>
    <w:rsid w:val="008138A5"/>
    <w:rsid w:val="00813A06"/>
    <w:rsid w:val="00814128"/>
    <w:rsid w:val="00814217"/>
    <w:rsid w:val="00816613"/>
    <w:rsid w:val="00820587"/>
    <w:rsid w:val="00820EC9"/>
    <w:rsid w:val="00821304"/>
    <w:rsid w:val="00822DF6"/>
    <w:rsid w:val="0082382D"/>
    <w:rsid w:val="00825BDF"/>
    <w:rsid w:val="008275F5"/>
    <w:rsid w:val="0082774C"/>
    <w:rsid w:val="0083265F"/>
    <w:rsid w:val="00833375"/>
    <w:rsid w:val="0083364F"/>
    <w:rsid w:val="00833AB1"/>
    <w:rsid w:val="00833DB8"/>
    <w:rsid w:val="008341E2"/>
    <w:rsid w:val="008354A7"/>
    <w:rsid w:val="00835F48"/>
    <w:rsid w:val="00836A98"/>
    <w:rsid w:val="00836BC8"/>
    <w:rsid w:val="00836C17"/>
    <w:rsid w:val="00837FA8"/>
    <w:rsid w:val="008408FD"/>
    <w:rsid w:val="00840BAB"/>
    <w:rsid w:val="008414EA"/>
    <w:rsid w:val="00843E26"/>
    <w:rsid w:val="00844082"/>
    <w:rsid w:val="00844668"/>
    <w:rsid w:val="0084475C"/>
    <w:rsid w:val="00851087"/>
    <w:rsid w:val="008543A3"/>
    <w:rsid w:val="00857D85"/>
    <w:rsid w:val="00860E54"/>
    <w:rsid w:val="00862721"/>
    <w:rsid w:val="00870AB9"/>
    <w:rsid w:val="008721E5"/>
    <w:rsid w:val="00874E00"/>
    <w:rsid w:val="0088218D"/>
    <w:rsid w:val="00882D38"/>
    <w:rsid w:val="0088422B"/>
    <w:rsid w:val="00884980"/>
    <w:rsid w:val="008850A0"/>
    <w:rsid w:val="0088522E"/>
    <w:rsid w:val="00885D95"/>
    <w:rsid w:val="00886C5B"/>
    <w:rsid w:val="00891202"/>
    <w:rsid w:val="00891C01"/>
    <w:rsid w:val="00893971"/>
    <w:rsid w:val="00893C4E"/>
    <w:rsid w:val="00895DC3"/>
    <w:rsid w:val="0089625D"/>
    <w:rsid w:val="008A0AEA"/>
    <w:rsid w:val="008A2F60"/>
    <w:rsid w:val="008A3B1B"/>
    <w:rsid w:val="008A4D28"/>
    <w:rsid w:val="008A5F99"/>
    <w:rsid w:val="008A6341"/>
    <w:rsid w:val="008A79EB"/>
    <w:rsid w:val="008B00C2"/>
    <w:rsid w:val="008B015A"/>
    <w:rsid w:val="008B1EF0"/>
    <w:rsid w:val="008B216A"/>
    <w:rsid w:val="008B3AB7"/>
    <w:rsid w:val="008B6BAC"/>
    <w:rsid w:val="008B6FB6"/>
    <w:rsid w:val="008B79E4"/>
    <w:rsid w:val="008B7CAB"/>
    <w:rsid w:val="008C01B8"/>
    <w:rsid w:val="008C0AB5"/>
    <w:rsid w:val="008C30E5"/>
    <w:rsid w:val="008C35ED"/>
    <w:rsid w:val="008C35F1"/>
    <w:rsid w:val="008C3A89"/>
    <w:rsid w:val="008C4B31"/>
    <w:rsid w:val="008C6F34"/>
    <w:rsid w:val="008D0511"/>
    <w:rsid w:val="008D29EA"/>
    <w:rsid w:val="008D2CE0"/>
    <w:rsid w:val="008D5A08"/>
    <w:rsid w:val="008E1FC6"/>
    <w:rsid w:val="008F0F8D"/>
    <w:rsid w:val="008F1C31"/>
    <w:rsid w:val="008F3E10"/>
    <w:rsid w:val="008F535C"/>
    <w:rsid w:val="008F62D1"/>
    <w:rsid w:val="00901B4F"/>
    <w:rsid w:val="00902922"/>
    <w:rsid w:val="00903BAF"/>
    <w:rsid w:val="0090450D"/>
    <w:rsid w:val="0090492A"/>
    <w:rsid w:val="00905F1E"/>
    <w:rsid w:val="00906070"/>
    <w:rsid w:val="009077CD"/>
    <w:rsid w:val="00907B45"/>
    <w:rsid w:val="00910A62"/>
    <w:rsid w:val="009126C8"/>
    <w:rsid w:val="00913B46"/>
    <w:rsid w:val="0091727C"/>
    <w:rsid w:val="0092015D"/>
    <w:rsid w:val="00925237"/>
    <w:rsid w:val="009259E2"/>
    <w:rsid w:val="0092618E"/>
    <w:rsid w:val="009274D8"/>
    <w:rsid w:val="009307C5"/>
    <w:rsid w:val="00933D62"/>
    <w:rsid w:val="00934334"/>
    <w:rsid w:val="00935050"/>
    <w:rsid w:val="0093529D"/>
    <w:rsid w:val="009354B0"/>
    <w:rsid w:val="00935831"/>
    <w:rsid w:val="00936CCE"/>
    <w:rsid w:val="00937502"/>
    <w:rsid w:val="00937548"/>
    <w:rsid w:val="009375FC"/>
    <w:rsid w:val="0094136A"/>
    <w:rsid w:val="009426CF"/>
    <w:rsid w:val="0094281E"/>
    <w:rsid w:val="00944895"/>
    <w:rsid w:val="00945083"/>
    <w:rsid w:val="009466D0"/>
    <w:rsid w:val="00946E78"/>
    <w:rsid w:val="009507AF"/>
    <w:rsid w:val="0095141B"/>
    <w:rsid w:val="009532A1"/>
    <w:rsid w:val="00955B76"/>
    <w:rsid w:val="00956B09"/>
    <w:rsid w:val="00960F6A"/>
    <w:rsid w:val="0096152A"/>
    <w:rsid w:val="00961DCD"/>
    <w:rsid w:val="00961FC2"/>
    <w:rsid w:val="009624C5"/>
    <w:rsid w:val="00964E53"/>
    <w:rsid w:val="0097107D"/>
    <w:rsid w:val="00972689"/>
    <w:rsid w:val="00974626"/>
    <w:rsid w:val="00974D94"/>
    <w:rsid w:val="0097511C"/>
    <w:rsid w:val="009756F2"/>
    <w:rsid w:val="0097602E"/>
    <w:rsid w:val="00981C80"/>
    <w:rsid w:val="00984B35"/>
    <w:rsid w:val="00987893"/>
    <w:rsid w:val="00991C1B"/>
    <w:rsid w:val="0099358E"/>
    <w:rsid w:val="0099493F"/>
    <w:rsid w:val="00996370"/>
    <w:rsid w:val="009A0F34"/>
    <w:rsid w:val="009A21C3"/>
    <w:rsid w:val="009A2865"/>
    <w:rsid w:val="009A2A16"/>
    <w:rsid w:val="009A55EB"/>
    <w:rsid w:val="009B0B5A"/>
    <w:rsid w:val="009B2C5E"/>
    <w:rsid w:val="009B3AB1"/>
    <w:rsid w:val="009B5DFF"/>
    <w:rsid w:val="009B6B98"/>
    <w:rsid w:val="009B6D06"/>
    <w:rsid w:val="009C2409"/>
    <w:rsid w:val="009C25DD"/>
    <w:rsid w:val="009C2A1E"/>
    <w:rsid w:val="009C2C08"/>
    <w:rsid w:val="009C5365"/>
    <w:rsid w:val="009C5787"/>
    <w:rsid w:val="009C658E"/>
    <w:rsid w:val="009D1352"/>
    <w:rsid w:val="009D2623"/>
    <w:rsid w:val="009D3175"/>
    <w:rsid w:val="009D3E35"/>
    <w:rsid w:val="009D4098"/>
    <w:rsid w:val="009D4958"/>
    <w:rsid w:val="009D594A"/>
    <w:rsid w:val="009D6E3F"/>
    <w:rsid w:val="009E037D"/>
    <w:rsid w:val="009E19E1"/>
    <w:rsid w:val="009E29D8"/>
    <w:rsid w:val="009E2B2B"/>
    <w:rsid w:val="009E2D7C"/>
    <w:rsid w:val="009E398C"/>
    <w:rsid w:val="009E52B9"/>
    <w:rsid w:val="009E64C6"/>
    <w:rsid w:val="009F018C"/>
    <w:rsid w:val="009F127C"/>
    <w:rsid w:val="009F416A"/>
    <w:rsid w:val="009F5A75"/>
    <w:rsid w:val="009F5F39"/>
    <w:rsid w:val="00A00686"/>
    <w:rsid w:val="00A027C0"/>
    <w:rsid w:val="00A02A1D"/>
    <w:rsid w:val="00A02F1C"/>
    <w:rsid w:val="00A03CBD"/>
    <w:rsid w:val="00A056EB"/>
    <w:rsid w:val="00A07136"/>
    <w:rsid w:val="00A0756F"/>
    <w:rsid w:val="00A113D4"/>
    <w:rsid w:val="00A1309F"/>
    <w:rsid w:val="00A143AE"/>
    <w:rsid w:val="00A14872"/>
    <w:rsid w:val="00A164BA"/>
    <w:rsid w:val="00A1790C"/>
    <w:rsid w:val="00A21406"/>
    <w:rsid w:val="00A228D1"/>
    <w:rsid w:val="00A24206"/>
    <w:rsid w:val="00A26929"/>
    <w:rsid w:val="00A272F9"/>
    <w:rsid w:val="00A272FA"/>
    <w:rsid w:val="00A334F0"/>
    <w:rsid w:val="00A35F7A"/>
    <w:rsid w:val="00A36919"/>
    <w:rsid w:val="00A37218"/>
    <w:rsid w:val="00A37E05"/>
    <w:rsid w:val="00A41941"/>
    <w:rsid w:val="00A41EEB"/>
    <w:rsid w:val="00A421DD"/>
    <w:rsid w:val="00A4274E"/>
    <w:rsid w:val="00A42F87"/>
    <w:rsid w:val="00A43FFE"/>
    <w:rsid w:val="00A441E9"/>
    <w:rsid w:val="00A4486D"/>
    <w:rsid w:val="00A4492A"/>
    <w:rsid w:val="00A465B7"/>
    <w:rsid w:val="00A46BD6"/>
    <w:rsid w:val="00A51AC8"/>
    <w:rsid w:val="00A60401"/>
    <w:rsid w:val="00A6073D"/>
    <w:rsid w:val="00A613AC"/>
    <w:rsid w:val="00A62C0B"/>
    <w:rsid w:val="00A62D6F"/>
    <w:rsid w:val="00A63EB3"/>
    <w:rsid w:val="00A64FBF"/>
    <w:rsid w:val="00A65D49"/>
    <w:rsid w:val="00A672D3"/>
    <w:rsid w:val="00A70038"/>
    <w:rsid w:val="00A766FD"/>
    <w:rsid w:val="00A82DB9"/>
    <w:rsid w:val="00A84634"/>
    <w:rsid w:val="00A85090"/>
    <w:rsid w:val="00A86125"/>
    <w:rsid w:val="00A8657B"/>
    <w:rsid w:val="00A86B6B"/>
    <w:rsid w:val="00A874EB"/>
    <w:rsid w:val="00A90F23"/>
    <w:rsid w:val="00A92D83"/>
    <w:rsid w:val="00A93267"/>
    <w:rsid w:val="00A94078"/>
    <w:rsid w:val="00A953EE"/>
    <w:rsid w:val="00A96484"/>
    <w:rsid w:val="00AA3073"/>
    <w:rsid w:val="00AA3C27"/>
    <w:rsid w:val="00AA6056"/>
    <w:rsid w:val="00AB1EDC"/>
    <w:rsid w:val="00AB27EE"/>
    <w:rsid w:val="00AB45F7"/>
    <w:rsid w:val="00AB77BE"/>
    <w:rsid w:val="00AC0885"/>
    <w:rsid w:val="00AC22E0"/>
    <w:rsid w:val="00AC4A2A"/>
    <w:rsid w:val="00AC7D9F"/>
    <w:rsid w:val="00AD11B5"/>
    <w:rsid w:val="00AD3E81"/>
    <w:rsid w:val="00AD4CC4"/>
    <w:rsid w:val="00AD535C"/>
    <w:rsid w:val="00AD6143"/>
    <w:rsid w:val="00AD6AF6"/>
    <w:rsid w:val="00AE0946"/>
    <w:rsid w:val="00AE0D2D"/>
    <w:rsid w:val="00AE22CF"/>
    <w:rsid w:val="00AE5168"/>
    <w:rsid w:val="00AE6356"/>
    <w:rsid w:val="00AF193F"/>
    <w:rsid w:val="00AF3228"/>
    <w:rsid w:val="00AF3447"/>
    <w:rsid w:val="00AF3DFE"/>
    <w:rsid w:val="00AF472B"/>
    <w:rsid w:val="00AF4D73"/>
    <w:rsid w:val="00AF55AC"/>
    <w:rsid w:val="00AF666F"/>
    <w:rsid w:val="00AF6FEF"/>
    <w:rsid w:val="00AF7D54"/>
    <w:rsid w:val="00B00AF4"/>
    <w:rsid w:val="00B017E6"/>
    <w:rsid w:val="00B033CB"/>
    <w:rsid w:val="00B04973"/>
    <w:rsid w:val="00B04FB1"/>
    <w:rsid w:val="00B07924"/>
    <w:rsid w:val="00B10F60"/>
    <w:rsid w:val="00B126D2"/>
    <w:rsid w:val="00B16208"/>
    <w:rsid w:val="00B1649F"/>
    <w:rsid w:val="00B164BD"/>
    <w:rsid w:val="00B17AA2"/>
    <w:rsid w:val="00B21094"/>
    <w:rsid w:val="00B25669"/>
    <w:rsid w:val="00B2636F"/>
    <w:rsid w:val="00B267B4"/>
    <w:rsid w:val="00B30437"/>
    <w:rsid w:val="00B325A8"/>
    <w:rsid w:val="00B33F98"/>
    <w:rsid w:val="00B3435E"/>
    <w:rsid w:val="00B3505E"/>
    <w:rsid w:val="00B41A1C"/>
    <w:rsid w:val="00B41C75"/>
    <w:rsid w:val="00B4214A"/>
    <w:rsid w:val="00B462BF"/>
    <w:rsid w:val="00B46840"/>
    <w:rsid w:val="00B518F8"/>
    <w:rsid w:val="00B51D5E"/>
    <w:rsid w:val="00B5240C"/>
    <w:rsid w:val="00B553B8"/>
    <w:rsid w:val="00B5781B"/>
    <w:rsid w:val="00B606EA"/>
    <w:rsid w:val="00B61CF9"/>
    <w:rsid w:val="00B61EC1"/>
    <w:rsid w:val="00B62CDE"/>
    <w:rsid w:val="00B6304A"/>
    <w:rsid w:val="00B63190"/>
    <w:rsid w:val="00B636F0"/>
    <w:rsid w:val="00B63784"/>
    <w:rsid w:val="00B63D1E"/>
    <w:rsid w:val="00B63EF4"/>
    <w:rsid w:val="00B6401C"/>
    <w:rsid w:val="00B65518"/>
    <w:rsid w:val="00B67364"/>
    <w:rsid w:val="00B6749A"/>
    <w:rsid w:val="00B6752D"/>
    <w:rsid w:val="00B6755F"/>
    <w:rsid w:val="00B67AF5"/>
    <w:rsid w:val="00B720B2"/>
    <w:rsid w:val="00B72AE8"/>
    <w:rsid w:val="00B769CA"/>
    <w:rsid w:val="00B76A16"/>
    <w:rsid w:val="00B816AD"/>
    <w:rsid w:val="00B834F5"/>
    <w:rsid w:val="00B86597"/>
    <w:rsid w:val="00B86DEF"/>
    <w:rsid w:val="00B8737C"/>
    <w:rsid w:val="00B90A44"/>
    <w:rsid w:val="00B91188"/>
    <w:rsid w:val="00B91523"/>
    <w:rsid w:val="00B93F1E"/>
    <w:rsid w:val="00B9574F"/>
    <w:rsid w:val="00B97B45"/>
    <w:rsid w:val="00BA186B"/>
    <w:rsid w:val="00BA1B8E"/>
    <w:rsid w:val="00BA23BA"/>
    <w:rsid w:val="00BA3803"/>
    <w:rsid w:val="00BA47B8"/>
    <w:rsid w:val="00BA4BB2"/>
    <w:rsid w:val="00BA6FA9"/>
    <w:rsid w:val="00BA7362"/>
    <w:rsid w:val="00BA79FF"/>
    <w:rsid w:val="00BB0485"/>
    <w:rsid w:val="00BB48FB"/>
    <w:rsid w:val="00BB534A"/>
    <w:rsid w:val="00BB6CC2"/>
    <w:rsid w:val="00BC05F6"/>
    <w:rsid w:val="00BC0D0E"/>
    <w:rsid w:val="00BC1107"/>
    <w:rsid w:val="00BC24EC"/>
    <w:rsid w:val="00BC2584"/>
    <w:rsid w:val="00BC4FFC"/>
    <w:rsid w:val="00BC6422"/>
    <w:rsid w:val="00BD0500"/>
    <w:rsid w:val="00BD2999"/>
    <w:rsid w:val="00BD6712"/>
    <w:rsid w:val="00BD7DB6"/>
    <w:rsid w:val="00BE0EF8"/>
    <w:rsid w:val="00BE4097"/>
    <w:rsid w:val="00BE62D7"/>
    <w:rsid w:val="00BF168C"/>
    <w:rsid w:val="00BF18C7"/>
    <w:rsid w:val="00BF1913"/>
    <w:rsid w:val="00BF3E03"/>
    <w:rsid w:val="00BF6299"/>
    <w:rsid w:val="00BF7710"/>
    <w:rsid w:val="00C00F10"/>
    <w:rsid w:val="00C01CCD"/>
    <w:rsid w:val="00C0252B"/>
    <w:rsid w:val="00C029E8"/>
    <w:rsid w:val="00C03500"/>
    <w:rsid w:val="00C053D7"/>
    <w:rsid w:val="00C06DC5"/>
    <w:rsid w:val="00C10414"/>
    <w:rsid w:val="00C113AE"/>
    <w:rsid w:val="00C12F1F"/>
    <w:rsid w:val="00C162CD"/>
    <w:rsid w:val="00C17C6D"/>
    <w:rsid w:val="00C20F55"/>
    <w:rsid w:val="00C2187D"/>
    <w:rsid w:val="00C21B18"/>
    <w:rsid w:val="00C21F87"/>
    <w:rsid w:val="00C23AB1"/>
    <w:rsid w:val="00C26CCF"/>
    <w:rsid w:val="00C31DB9"/>
    <w:rsid w:val="00C3252E"/>
    <w:rsid w:val="00C33F4B"/>
    <w:rsid w:val="00C34F13"/>
    <w:rsid w:val="00C35B22"/>
    <w:rsid w:val="00C364F5"/>
    <w:rsid w:val="00C36822"/>
    <w:rsid w:val="00C373E3"/>
    <w:rsid w:val="00C37692"/>
    <w:rsid w:val="00C403E6"/>
    <w:rsid w:val="00C40951"/>
    <w:rsid w:val="00C4131A"/>
    <w:rsid w:val="00C4156D"/>
    <w:rsid w:val="00C41F23"/>
    <w:rsid w:val="00C42F25"/>
    <w:rsid w:val="00C43BE1"/>
    <w:rsid w:val="00C4585B"/>
    <w:rsid w:val="00C45E17"/>
    <w:rsid w:val="00C47F60"/>
    <w:rsid w:val="00C51B5A"/>
    <w:rsid w:val="00C51C15"/>
    <w:rsid w:val="00C51D77"/>
    <w:rsid w:val="00C53707"/>
    <w:rsid w:val="00C53A86"/>
    <w:rsid w:val="00C54069"/>
    <w:rsid w:val="00C56C68"/>
    <w:rsid w:val="00C61293"/>
    <w:rsid w:val="00C62845"/>
    <w:rsid w:val="00C642FC"/>
    <w:rsid w:val="00C647BA"/>
    <w:rsid w:val="00C65464"/>
    <w:rsid w:val="00C65786"/>
    <w:rsid w:val="00C65D14"/>
    <w:rsid w:val="00C65D8B"/>
    <w:rsid w:val="00C662AA"/>
    <w:rsid w:val="00C71BEB"/>
    <w:rsid w:val="00C73411"/>
    <w:rsid w:val="00C745B8"/>
    <w:rsid w:val="00C76537"/>
    <w:rsid w:val="00C76D95"/>
    <w:rsid w:val="00C8457D"/>
    <w:rsid w:val="00C860E2"/>
    <w:rsid w:val="00C87420"/>
    <w:rsid w:val="00C90C24"/>
    <w:rsid w:val="00C90C6D"/>
    <w:rsid w:val="00C92070"/>
    <w:rsid w:val="00CA17F5"/>
    <w:rsid w:val="00CA4061"/>
    <w:rsid w:val="00CA4CE5"/>
    <w:rsid w:val="00CA5D7A"/>
    <w:rsid w:val="00CA703A"/>
    <w:rsid w:val="00CB2B9B"/>
    <w:rsid w:val="00CB403B"/>
    <w:rsid w:val="00CB4B06"/>
    <w:rsid w:val="00CB7E55"/>
    <w:rsid w:val="00CC0072"/>
    <w:rsid w:val="00CC01F3"/>
    <w:rsid w:val="00CC0590"/>
    <w:rsid w:val="00CC0EE6"/>
    <w:rsid w:val="00CC186D"/>
    <w:rsid w:val="00CC216E"/>
    <w:rsid w:val="00CC3184"/>
    <w:rsid w:val="00CC4D54"/>
    <w:rsid w:val="00CC5BFD"/>
    <w:rsid w:val="00CD2EC7"/>
    <w:rsid w:val="00CD3EBE"/>
    <w:rsid w:val="00CD79F6"/>
    <w:rsid w:val="00CD7B8E"/>
    <w:rsid w:val="00CE16DA"/>
    <w:rsid w:val="00CE25B7"/>
    <w:rsid w:val="00CE4EBF"/>
    <w:rsid w:val="00CE68B1"/>
    <w:rsid w:val="00CE7F43"/>
    <w:rsid w:val="00CF06D0"/>
    <w:rsid w:val="00CF16A4"/>
    <w:rsid w:val="00CF1CD2"/>
    <w:rsid w:val="00CF29E2"/>
    <w:rsid w:val="00CF392F"/>
    <w:rsid w:val="00CF6586"/>
    <w:rsid w:val="00CF7D7C"/>
    <w:rsid w:val="00D00207"/>
    <w:rsid w:val="00D00D0D"/>
    <w:rsid w:val="00D029AD"/>
    <w:rsid w:val="00D07225"/>
    <w:rsid w:val="00D0740C"/>
    <w:rsid w:val="00D119DC"/>
    <w:rsid w:val="00D132B3"/>
    <w:rsid w:val="00D14E26"/>
    <w:rsid w:val="00D1572D"/>
    <w:rsid w:val="00D15D0B"/>
    <w:rsid w:val="00D15E56"/>
    <w:rsid w:val="00D17189"/>
    <w:rsid w:val="00D2178E"/>
    <w:rsid w:val="00D22828"/>
    <w:rsid w:val="00D22F32"/>
    <w:rsid w:val="00D23347"/>
    <w:rsid w:val="00D23E94"/>
    <w:rsid w:val="00D241B5"/>
    <w:rsid w:val="00D258A7"/>
    <w:rsid w:val="00D2699A"/>
    <w:rsid w:val="00D3096A"/>
    <w:rsid w:val="00D326AB"/>
    <w:rsid w:val="00D33C70"/>
    <w:rsid w:val="00D34993"/>
    <w:rsid w:val="00D41017"/>
    <w:rsid w:val="00D418EE"/>
    <w:rsid w:val="00D42753"/>
    <w:rsid w:val="00D43BFE"/>
    <w:rsid w:val="00D452A9"/>
    <w:rsid w:val="00D47DD6"/>
    <w:rsid w:val="00D5045D"/>
    <w:rsid w:val="00D50A5D"/>
    <w:rsid w:val="00D51C56"/>
    <w:rsid w:val="00D52ADD"/>
    <w:rsid w:val="00D53E23"/>
    <w:rsid w:val="00D54160"/>
    <w:rsid w:val="00D5425C"/>
    <w:rsid w:val="00D55315"/>
    <w:rsid w:val="00D55521"/>
    <w:rsid w:val="00D56C41"/>
    <w:rsid w:val="00D57111"/>
    <w:rsid w:val="00D57344"/>
    <w:rsid w:val="00D5788F"/>
    <w:rsid w:val="00D6006A"/>
    <w:rsid w:val="00D60211"/>
    <w:rsid w:val="00D61F8D"/>
    <w:rsid w:val="00D63570"/>
    <w:rsid w:val="00D63E4E"/>
    <w:rsid w:val="00D6403F"/>
    <w:rsid w:val="00D64AA4"/>
    <w:rsid w:val="00D70F39"/>
    <w:rsid w:val="00D719B6"/>
    <w:rsid w:val="00D71CF8"/>
    <w:rsid w:val="00D742C5"/>
    <w:rsid w:val="00D75520"/>
    <w:rsid w:val="00D76059"/>
    <w:rsid w:val="00D769F8"/>
    <w:rsid w:val="00D77220"/>
    <w:rsid w:val="00D808B3"/>
    <w:rsid w:val="00D81A30"/>
    <w:rsid w:val="00D84DE8"/>
    <w:rsid w:val="00D85C3E"/>
    <w:rsid w:val="00D901F1"/>
    <w:rsid w:val="00D92090"/>
    <w:rsid w:val="00DA0DF3"/>
    <w:rsid w:val="00DA147B"/>
    <w:rsid w:val="00DA7DA4"/>
    <w:rsid w:val="00DB20F2"/>
    <w:rsid w:val="00DB23F4"/>
    <w:rsid w:val="00DB3648"/>
    <w:rsid w:val="00DB5C19"/>
    <w:rsid w:val="00DB7643"/>
    <w:rsid w:val="00DC0374"/>
    <w:rsid w:val="00DC073C"/>
    <w:rsid w:val="00DC1DE5"/>
    <w:rsid w:val="00DC2E17"/>
    <w:rsid w:val="00DC33F7"/>
    <w:rsid w:val="00DC6D7C"/>
    <w:rsid w:val="00DD140C"/>
    <w:rsid w:val="00DD51ED"/>
    <w:rsid w:val="00DD6B1E"/>
    <w:rsid w:val="00DE02EB"/>
    <w:rsid w:val="00DE0374"/>
    <w:rsid w:val="00DE1178"/>
    <w:rsid w:val="00DE3760"/>
    <w:rsid w:val="00DE6DB3"/>
    <w:rsid w:val="00DF007E"/>
    <w:rsid w:val="00DF142C"/>
    <w:rsid w:val="00DF194C"/>
    <w:rsid w:val="00DF218B"/>
    <w:rsid w:val="00DF228E"/>
    <w:rsid w:val="00DF2A95"/>
    <w:rsid w:val="00DF39C7"/>
    <w:rsid w:val="00DF3FF1"/>
    <w:rsid w:val="00DF5D15"/>
    <w:rsid w:val="00DF704C"/>
    <w:rsid w:val="00E00972"/>
    <w:rsid w:val="00E00EC1"/>
    <w:rsid w:val="00E014F5"/>
    <w:rsid w:val="00E02B9F"/>
    <w:rsid w:val="00E037B1"/>
    <w:rsid w:val="00E0605B"/>
    <w:rsid w:val="00E0653E"/>
    <w:rsid w:val="00E06D7D"/>
    <w:rsid w:val="00E07698"/>
    <w:rsid w:val="00E10CF8"/>
    <w:rsid w:val="00E11539"/>
    <w:rsid w:val="00E12A2A"/>
    <w:rsid w:val="00E132C7"/>
    <w:rsid w:val="00E14A96"/>
    <w:rsid w:val="00E179BD"/>
    <w:rsid w:val="00E24582"/>
    <w:rsid w:val="00E25B17"/>
    <w:rsid w:val="00E25FC0"/>
    <w:rsid w:val="00E25FF6"/>
    <w:rsid w:val="00E2613B"/>
    <w:rsid w:val="00E32709"/>
    <w:rsid w:val="00E3402E"/>
    <w:rsid w:val="00E34366"/>
    <w:rsid w:val="00E36C51"/>
    <w:rsid w:val="00E3736B"/>
    <w:rsid w:val="00E37997"/>
    <w:rsid w:val="00E4580D"/>
    <w:rsid w:val="00E464C4"/>
    <w:rsid w:val="00E464EF"/>
    <w:rsid w:val="00E47427"/>
    <w:rsid w:val="00E52228"/>
    <w:rsid w:val="00E52721"/>
    <w:rsid w:val="00E52E24"/>
    <w:rsid w:val="00E55962"/>
    <w:rsid w:val="00E55CDC"/>
    <w:rsid w:val="00E55EA1"/>
    <w:rsid w:val="00E56102"/>
    <w:rsid w:val="00E574FC"/>
    <w:rsid w:val="00E57978"/>
    <w:rsid w:val="00E60138"/>
    <w:rsid w:val="00E6051B"/>
    <w:rsid w:val="00E61706"/>
    <w:rsid w:val="00E617DE"/>
    <w:rsid w:val="00E62243"/>
    <w:rsid w:val="00E62C5E"/>
    <w:rsid w:val="00E632D1"/>
    <w:rsid w:val="00E65228"/>
    <w:rsid w:val="00E66C02"/>
    <w:rsid w:val="00E7086A"/>
    <w:rsid w:val="00E708A9"/>
    <w:rsid w:val="00E71060"/>
    <w:rsid w:val="00E75215"/>
    <w:rsid w:val="00E7531F"/>
    <w:rsid w:val="00E75BC4"/>
    <w:rsid w:val="00E75D5B"/>
    <w:rsid w:val="00E764A9"/>
    <w:rsid w:val="00E8064C"/>
    <w:rsid w:val="00E81908"/>
    <w:rsid w:val="00E81957"/>
    <w:rsid w:val="00E83244"/>
    <w:rsid w:val="00E84A45"/>
    <w:rsid w:val="00E84F2B"/>
    <w:rsid w:val="00E8522D"/>
    <w:rsid w:val="00E900A8"/>
    <w:rsid w:val="00E901BF"/>
    <w:rsid w:val="00E90386"/>
    <w:rsid w:val="00E937DB"/>
    <w:rsid w:val="00E94265"/>
    <w:rsid w:val="00E9546F"/>
    <w:rsid w:val="00E97590"/>
    <w:rsid w:val="00EA0C56"/>
    <w:rsid w:val="00EA1296"/>
    <w:rsid w:val="00EA3D3D"/>
    <w:rsid w:val="00EA52D5"/>
    <w:rsid w:val="00EA5CBF"/>
    <w:rsid w:val="00EB0CDF"/>
    <w:rsid w:val="00EB313B"/>
    <w:rsid w:val="00EB3B2D"/>
    <w:rsid w:val="00EB3EF3"/>
    <w:rsid w:val="00EB4807"/>
    <w:rsid w:val="00EC0F4D"/>
    <w:rsid w:val="00EC20E8"/>
    <w:rsid w:val="00EC3923"/>
    <w:rsid w:val="00EC7617"/>
    <w:rsid w:val="00EC7782"/>
    <w:rsid w:val="00EC7C50"/>
    <w:rsid w:val="00ED0F97"/>
    <w:rsid w:val="00ED2608"/>
    <w:rsid w:val="00ED6CA2"/>
    <w:rsid w:val="00ED78C6"/>
    <w:rsid w:val="00ED7FEE"/>
    <w:rsid w:val="00EE246B"/>
    <w:rsid w:val="00EE2C64"/>
    <w:rsid w:val="00EE3191"/>
    <w:rsid w:val="00EE4479"/>
    <w:rsid w:val="00EE4C6C"/>
    <w:rsid w:val="00EE5D7A"/>
    <w:rsid w:val="00EE5E2E"/>
    <w:rsid w:val="00EE5FB0"/>
    <w:rsid w:val="00EF0413"/>
    <w:rsid w:val="00EF144C"/>
    <w:rsid w:val="00EF214E"/>
    <w:rsid w:val="00EF281E"/>
    <w:rsid w:val="00EF4449"/>
    <w:rsid w:val="00EF4EB4"/>
    <w:rsid w:val="00EF6392"/>
    <w:rsid w:val="00EF7050"/>
    <w:rsid w:val="00EF7432"/>
    <w:rsid w:val="00F02D7D"/>
    <w:rsid w:val="00F02DA3"/>
    <w:rsid w:val="00F03D23"/>
    <w:rsid w:val="00F04462"/>
    <w:rsid w:val="00F0522E"/>
    <w:rsid w:val="00F05760"/>
    <w:rsid w:val="00F0639E"/>
    <w:rsid w:val="00F10337"/>
    <w:rsid w:val="00F12856"/>
    <w:rsid w:val="00F132D4"/>
    <w:rsid w:val="00F1484C"/>
    <w:rsid w:val="00F15074"/>
    <w:rsid w:val="00F15616"/>
    <w:rsid w:val="00F1562B"/>
    <w:rsid w:val="00F1564C"/>
    <w:rsid w:val="00F162BC"/>
    <w:rsid w:val="00F20AE9"/>
    <w:rsid w:val="00F211AB"/>
    <w:rsid w:val="00F21725"/>
    <w:rsid w:val="00F21F9C"/>
    <w:rsid w:val="00F22BAA"/>
    <w:rsid w:val="00F24100"/>
    <w:rsid w:val="00F24B65"/>
    <w:rsid w:val="00F25A2B"/>
    <w:rsid w:val="00F26538"/>
    <w:rsid w:val="00F316B9"/>
    <w:rsid w:val="00F3217B"/>
    <w:rsid w:val="00F35AB2"/>
    <w:rsid w:val="00F35E4A"/>
    <w:rsid w:val="00F36400"/>
    <w:rsid w:val="00F43EC1"/>
    <w:rsid w:val="00F467D9"/>
    <w:rsid w:val="00F47974"/>
    <w:rsid w:val="00F47BF5"/>
    <w:rsid w:val="00F506A9"/>
    <w:rsid w:val="00F52A95"/>
    <w:rsid w:val="00F56639"/>
    <w:rsid w:val="00F60170"/>
    <w:rsid w:val="00F61D14"/>
    <w:rsid w:val="00F6372A"/>
    <w:rsid w:val="00F637BB"/>
    <w:rsid w:val="00F63A68"/>
    <w:rsid w:val="00F644E9"/>
    <w:rsid w:val="00F71121"/>
    <w:rsid w:val="00F711C3"/>
    <w:rsid w:val="00F7213B"/>
    <w:rsid w:val="00F7426B"/>
    <w:rsid w:val="00F74F1A"/>
    <w:rsid w:val="00F801B0"/>
    <w:rsid w:val="00F80FE9"/>
    <w:rsid w:val="00F81867"/>
    <w:rsid w:val="00F81F80"/>
    <w:rsid w:val="00F82B8F"/>
    <w:rsid w:val="00F84956"/>
    <w:rsid w:val="00F85443"/>
    <w:rsid w:val="00F8545A"/>
    <w:rsid w:val="00F8701D"/>
    <w:rsid w:val="00F90852"/>
    <w:rsid w:val="00F91C70"/>
    <w:rsid w:val="00F91F2D"/>
    <w:rsid w:val="00F92615"/>
    <w:rsid w:val="00F92917"/>
    <w:rsid w:val="00F93780"/>
    <w:rsid w:val="00F941A2"/>
    <w:rsid w:val="00F9421A"/>
    <w:rsid w:val="00F95455"/>
    <w:rsid w:val="00F96036"/>
    <w:rsid w:val="00FA2182"/>
    <w:rsid w:val="00FA30A9"/>
    <w:rsid w:val="00FA4B2C"/>
    <w:rsid w:val="00FA5332"/>
    <w:rsid w:val="00FA679D"/>
    <w:rsid w:val="00FA72F6"/>
    <w:rsid w:val="00FB0E65"/>
    <w:rsid w:val="00FB18E0"/>
    <w:rsid w:val="00FB19BA"/>
    <w:rsid w:val="00FB35A1"/>
    <w:rsid w:val="00FB47F6"/>
    <w:rsid w:val="00FB5CC6"/>
    <w:rsid w:val="00FB67CF"/>
    <w:rsid w:val="00FB754C"/>
    <w:rsid w:val="00FC0303"/>
    <w:rsid w:val="00FC3AAD"/>
    <w:rsid w:val="00FC46BE"/>
    <w:rsid w:val="00FC5144"/>
    <w:rsid w:val="00FC5CA7"/>
    <w:rsid w:val="00FC7D5A"/>
    <w:rsid w:val="00FD14B0"/>
    <w:rsid w:val="00FD46E4"/>
    <w:rsid w:val="00FD498E"/>
    <w:rsid w:val="00FD51BF"/>
    <w:rsid w:val="00FD6642"/>
    <w:rsid w:val="00FD6AE9"/>
    <w:rsid w:val="00FE1E43"/>
    <w:rsid w:val="00FE560B"/>
    <w:rsid w:val="00FE69B3"/>
    <w:rsid w:val="00FE6E3F"/>
    <w:rsid w:val="00FE7587"/>
    <w:rsid w:val="00FF061B"/>
    <w:rsid w:val="00FF1879"/>
    <w:rsid w:val="00FF49B2"/>
    <w:rsid w:val="00FF53A9"/>
    <w:rsid w:val="00FF561A"/>
    <w:rsid w:val="00FF6766"/>
    <w:rsid w:val="00FF7A70"/>
    <w:rsid w:val="013A3982"/>
    <w:rsid w:val="01460B89"/>
    <w:rsid w:val="015123B9"/>
    <w:rsid w:val="017C5729"/>
    <w:rsid w:val="01A00D5F"/>
    <w:rsid w:val="01A544B3"/>
    <w:rsid w:val="01C42B8B"/>
    <w:rsid w:val="01C84151"/>
    <w:rsid w:val="01CB2E1F"/>
    <w:rsid w:val="01D46F12"/>
    <w:rsid w:val="01E21926"/>
    <w:rsid w:val="01E435AE"/>
    <w:rsid w:val="01F55EAF"/>
    <w:rsid w:val="02087CD1"/>
    <w:rsid w:val="023F2AF7"/>
    <w:rsid w:val="023F4724"/>
    <w:rsid w:val="02601EBD"/>
    <w:rsid w:val="026C7D44"/>
    <w:rsid w:val="026E52C7"/>
    <w:rsid w:val="02717FFD"/>
    <w:rsid w:val="027201C7"/>
    <w:rsid w:val="027C0289"/>
    <w:rsid w:val="02950D80"/>
    <w:rsid w:val="02C35105"/>
    <w:rsid w:val="02D21AD6"/>
    <w:rsid w:val="02EC4461"/>
    <w:rsid w:val="02EE1D52"/>
    <w:rsid w:val="03003705"/>
    <w:rsid w:val="03052713"/>
    <w:rsid w:val="031C43C3"/>
    <w:rsid w:val="03335E64"/>
    <w:rsid w:val="0339293D"/>
    <w:rsid w:val="034C75FC"/>
    <w:rsid w:val="03501B72"/>
    <w:rsid w:val="035F4F50"/>
    <w:rsid w:val="036B5763"/>
    <w:rsid w:val="03832F87"/>
    <w:rsid w:val="039F5052"/>
    <w:rsid w:val="03AA3320"/>
    <w:rsid w:val="03EC0FF5"/>
    <w:rsid w:val="03F90456"/>
    <w:rsid w:val="03FA2E6A"/>
    <w:rsid w:val="03FA3C61"/>
    <w:rsid w:val="041B7A17"/>
    <w:rsid w:val="042563CB"/>
    <w:rsid w:val="04874265"/>
    <w:rsid w:val="049718D1"/>
    <w:rsid w:val="049D4443"/>
    <w:rsid w:val="04AD0572"/>
    <w:rsid w:val="04BD4A3F"/>
    <w:rsid w:val="04CD4625"/>
    <w:rsid w:val="04D355B9"/>
    <w:rsid w:val="04DF31D4"/>
    <w:rsid w:val="04E21BDC"/>
    <w:rsid w:val="04FC6E6D"/>
    <w:rsid w:val="04FF212C"/>
    <w:rsid w:val="05074B32"/>
    <w:rsid w:val="050A70D0"/>
    <w:rsid w:val="05244497"/>
    <w:rsid w:val="054A494C"/>
    <w:rsid w:val="05540FF0"/>
    <w:rsid w:val="05635902"/>
    <w:rsid w:val="05730CFF"/>
    <w:rsid w:val="05BE78F1"/>
    <w:rsid w:val="05C1209D"/>
    <w:rsid w:val="05C36101"/>
    <w:rsid w:val="05F91220"/>
    <w:rsid w:val="05FF3FD2"/>
    <w:rsid w:val="0618680C"/>
    <w:rsid w:val="064222D0"/>
    <w:rsid w:val="066F401C"/>
    <w:rsid w:val="067C2D0E"/>
    <w:rsid w:val="06807D9E"/>
    <w:rsid w:val="06882D4D"/>
    <w:rsid w:val="06977C9E"/>
    <w:rsid w:val="06BB0C80"/>
    <w:rsid w:val="06D616FE"/>
    <w:rsid w:val="07017C98"/>
    <w:rsid w:val="075F53F2"/>
    <w:rsid w:val="07604880"/>
    <w:rsid w:val="077D4687"/>
    <w:rsid w:val="077E2AA8"/>
    <w:rsid w:val="079741D1"/>
    <w:rsid w:val="079A754D"/>
    <w:rsid w:val="07A07AF8"/>
    <w:rsid w:val="07A12677"/>
    <w:rsid w:val="07B51A94"/>
    <w:rsid w:val="07CA5DBB"/>
    <w:rsid w:val="07FE569A"/>
    <w:rsid w:val="08025207"/>
    <w:rsid w:val="08343D5C"/>
    <w:rsid w:val="083D2F6D"/>
    <w:rsid w:val="08427DCB"/>
    <w:rsid w:val="087444D9"/>
    <w:rsid w:val="08B30EE3"/>
    <w:rsid w:val="08BC0A60"/>
    <w:rsid w:val="08C611ED"/>
    <w:rsid w:val="08CD7431"/>
    <w:rsid w:val="08DD3CE6"/>
    <w:rsid w:val="090F3BD9"/>
    <w:rsid w:val="092A380C"/>
    <w:rsid w:val="094F100C"/>
    <w:rsid w:val="09641901"/>
    <w:rsid w:val="09730024"/>
    <w:rsid w:val="09736B0F"/>
    <w:rsid w:val="097C1EFD"/>
    <w:rsid w:val="09811362"/>
    <w:rsid w:val="098E4367"/>
    <w:rsid w:val="09AE2075"/>
    <w:rsid w:val="09F72939"/>
    <w:rsid w:val="09F92484"/>
    <w:rsid w:val="0A084A4F"/>
    <w:rsid w:val="0A2C5771"/>
    <w:rsid w:val="0A33534A"/>
    <w:rsid w:val="0A7B30D2"/>
    <w:rsid w:val="0A8575BD"/>
    <w:rsid w:val="0A984F54"/>
    <w:rsid w:val="0AA7129C"/>
    <w:rsid w:val="0AB2747E"/>
    <w:rsid w:val="0AB860AF"/>
    <w:rsid w:val="0AC016D2"/>
    <w:rsid w:val="0AC92377"/>
    <w:rsid w:val="0AE76EE6"/>
    <w:rsid w:val="0AF91721"/>
    <w:rsid w:val="0AFA035C"/>
    <w:rsid w:val="0B19229A"/>
    <w:rsid w:val="0B2D59AA"/>
    <w:rsid w:val="0B474E53"/>
    <w:rsid w:val="0B734F12"/>
    <w:rsid w:val="0B7C604F"/>
    <w:rsid w:val="0B7F0B16"/>
    <w:rsid w:val="0B882027"/>
    <w:rsid w:val="0B8F0D1A"/>
    <w:rsid w:val="0B982852"/>
    <w:rsid w:val="0BA15626"/>
    <w:rsid w:val="0C224A08"/>
    <w:rsid w:val="0C482BE6"/>
    <w:rsid w:val="0C5C5B4D"/>
    <w:rsid w:val="0C5F0147"/>
    <w:rsid w:val="0C790246"/>
    <w:rsid w:val="0C8334E7"/>
    <w:rsid w:val="0CBD2C5E"/>
    <w:rsid w:val="0CDB6821"/>
    <w:rsid w:val="0CDF4CF5"/>
    <w:rsid w:val="0CE976D9"/>
    <w:rsid w:val="0CEC5E74"/>
    <w:rsid w:val="0CFD33F5"/>
    <w:rsid w:val="0D08638B"/>
    <w:rsid w:val="0D0903E5"/>
    <w:rsid w:val="0D303A88"/>
    <w:rsid w:val="0D3C53C5"/>
    <w:rsid w:val="0D4043B2"/>
    <w:rsid w:val="0D591FC3"/>
    <w:rsid w:val="0D6F7D05"/>
    <w:rsid w:val="0DB94CF1"/>
    <w:rsid w:val="0DBA1D5E"/>
    <w:rsid w:val="0DF46850"/>
    <w:rsid w:val="0DFF45C4"/>
    <w:rsid w:val="0E0905A5"/>
    <w:rsid w:val="0E2D2AD5"/>
    <w:rsid w:val="0E3F080F"/>
    <w:rsid w:val="0E5F2A4E"/>
    <w:rsid w:val="0E61688F"/>
    <w:rsid w:val="0E733003"/>
    <w:rsid w:val="0E7E0566"/>
    <w:rsid w:val="0E7E5879"/>
    <w:rsid w:val="0E8E09A5"/>
    <w:rsid w:val="0EB138C1"/>
    <w:rsid w:val="0EB22598"/>
    <w:rsid w:val="0ED4693D"/>
    <w:rsid w:val="0ED61050"/>
    <w:rsid w:val="0EE011CB"/>
    <w:rsid w:val="0F517703"/>
    <w:rsid w:val="0F592D5C"/>
    <w:rsid w:val="0F7E7818"/>
    <w:rsid w:val="0F895F93"/>
    <w:rsid w:val="0F915C90"/>
    <w:rsid w:val="0F9A5332"/>
    <w:rsid w:val="0FA340E5"/>
    <w:rsid w:val="0FA376E5"/>
    <w:rsid w:val="0FB4197C"/>
    <w:rsid w:val="0FBC7ED3"/>
    <w:rsid w:val="0FD46AA8"/>
    <w:rsid w:val="0FDE2298"/>
    <w:rsid w:val="0FE03C3E"/>
    <w:rsid w:val="0FE7111F"/>
    <w:rsid w:val="0FEF1864"/>
    <w:rsid w:val="10086BC2"/>
    <w:rsid w:val="101B25E5"/>
    <w:rsid w:val="107B32B7"/>
    <w:rsid w:val="10823EA5"/>
    <w:rsid w:val="1096308A"/>
    <w:rsid w:val="109D0C97"/>
    <w:rsid w:val="10B20D3D"/>
    <w:rsid w:val="10B52BA7"/>
    <w:rsid w:val="10F93264"/>
    <w:rsid w:val="11012507"/>
    <w:rsid w:val="11013B78"/>
    <w:rsid w:val="1109680C"/>
    <w:rsid w:val="11105A6B"/>
    <w:rsid w:val="113A4337"/>
    <w:rsid w:val="115A490D"/>
    <w:rsid w:val="11663C1C"/>
    <w:rsid w:val="11937442"/>
    <w:rsid w:val="11A02787"/>
    <w:rsid w:val="11AC048A"/>
    <w:rsid w:val="11CF7E49"/>
    <w:rsid w:val="11E66FDF"/>
    <w:rsid w:val="12175794"/>
    <w:rsid w:val="12230426"/>
    <w:rsid w:val="12335250"/>
    <w:rsid w:val="124C5208"/>
    <w:rsid w:val="124F7AE7"/>
    <w:rsid w:val="126A32E5"/>
    <w:rsid w:val="128531C6"/>
    <w:rsid w:val="12A10CC7"/>
    <w:rsid w:val="12A20630"/>
    <w:rsid w:val="12C42799"/>
    <w:rsid w:val="12C47D3C"/>
    <w:rsid w:val="12D003D9"/>
    <w:rsid w:val="12E430B9"/>
    <w:rsid w:val="12E678CA"/>
    <w:rsid w:val="12F96EB9"/>
    <w:rsid w:val="12FD7F5D"/>
    <w:rsid w:val="132911E1"/>
    <w:rsid w:val="13696670"/>
    <w:rsid w:val="136F5C68"/>
    <w:rsid w:val="137E3AE3"/>
    <w:rsid w:val="13985BE7"/>
    <w:rsid w:val="139F572A"/>
    <w:rsid w:val="13A63FC3"/>
    <w:rsid w:val="13B87163"/>
    <w:rsid w:val="13BE7D15"/>
    <w:rsid w:val="13C54F31"/>
    <w:rsid w:val="14061E9C"/>
    <w:rsid w:val="140F0824"/>
    <w:rsid w:val="143C0B0B"/>
    <w:rsid w:val="143F42F3"/>
    <w:rsid w:val="14533001"/>
    <w:rsid w:val="1465180A"/>
    <w:rsid w:val="148868ED"/>
    <w:rsid w:val="14A670A8"/>
    <w:rsid w:val="14AE57D4"/>
    <w:rsid w:val="14C443DB"/>
    <w:rsid w:val="14CC6A76"/>
    <w:rsid w:val="150962AD"/>
    <w:rsid w:val="1515787C"/>
    <w:rsid w:val="151611BB"/>
    <w:rsid w:val="151D41AA"/>
    <w:rsid w:val="152C168A"/>
    <w:rsid w:val="15326AC5"/>
    <w:rsid w:val="153955D7"/>
    <w:rsid w:val="15595889"/>
    <w:rsid w:val="155A6C7A"/>
    <w:rsid w:val="155C68E2"/>
    <w:rsid w:val="156912BA"/>
    <w:rsid w:val="15811294"/>
    <w:rsid w:val="158F3C2A"/>
    <w:rsid w:val="15A05265"/>
    <w:rsid w:val="15BF6342"/>
    <w:rsid w:val="15C72EF2"/>
    <w:rsid w:val="16115614"/>
    <w:rsid w:val="161E7A72"/>
    <w:rsid w:val="163318CB"/>
    <w:rsid w:val="16497EF9"/>
    <w:rsid w:val="165068E6"/>
    <w:rsid w:val="166B5E29"/>
    <w:rsid w:val="166D2D0A"/>
    <w:rsid w:val="167900C6"/>
    <w:rsid w:val="168B44D5"/>
    <w:rsid w:val="16921BB0"/>
    <w:rsid w:val="16EC08F3"/>
    <w:rsid w:val="17035AAC"/>
    <w:rsid w:val="17133B1C"/>
    <w:rsid w:val="17294A3A"/>
    <w:rsid w:val="173914CE"/>
    <w:rsid w:val="174021F0"/>
    <w:rsid w:val="174325B4"/>
    <w:rsid w:val="17774EAF"/>
    <w:rsid w:val="177F69B0"/>
    <w:rsid w:val="17823169"/>
    <w:rsid w:val="17DB0306"/>
    <w:rsid w:val="17F478B1"/>
    <w:rsid w:val="17F824E6"/>
    <w:rsid w:val="1809268C"/>
    <w:rsid w:val="18102CC8"/>
    <w:rsid w:val="1867206B"/>
    <w:rsid w:val="1872719D"/>
    <w:rsid w:val="187E69A2"/>
    <w:rsid w:val="18876EC5"/>
    <w:rsid w:val="18D66FD5"/>
    <w:rsid w:val="18E75F37"/>
    <w:rsid w:val="190303A1"/>
    <w:rsid w:val="19193710"/>
    <w:rsid w:val="19205095"/>
    <w:rsid w:val="1925556E"/>
    <w:rsid w:val="19382061"/>
    <w:rsid w:val="19436867"/>
    <w:rsid w:val="194D6508"/>
    <w:rsid w:val="19545781"/>
    <w:rsid w:val="196D2256"/>
    <w:rsid w:val="19867ECA"/>
    <w:rsid w:val="198B4865"/>
    <w:rsid w:val="19AF6909"/>
    <w:rsid w:val="19FD2332"/>
    <w:rsid w:val="19FD6DE5"/>
    <w:rsid w:val="1A2E1092"/>
    <w:rsid w:val="1A4178E3"/>
    <w:rsid w:val="1A61291B"/>
    <w:rsid w:val="1A61562F"/>
    <w:rsid w:val="1A696439"/>
    <w:rsid w:val="1A6B7F6F"/>
    <w:rsid w:val="1A6F3F24"/>
    <w:rsid w:val="1A79379A"/>
    <w:rsid w:val="1A7F5144"/>
    <w:rsid w:val="1AA66B7B"/>
    <w:rsid w:val="1ABB266E"/>
    <w:rsid w:val="1ACC53FD"/>
    <w:rsid w:val="1B004756"/>
    <w:rsid w:val="1B0173E9"/>
    <w:rsid w:val="1B256183"/>
    <w:rsid w:val="1BA15D3E"/>
    <w:rsid w:val="1BA92748"/>
    <w:rsid w:val="1BBB2CDB"/>
    <w:rsid w:val="1BEA0F4E"/>
    <w:rsid w:val="1BEA36A4"/>
    <w:rsid w:val="1BF03E04"/>
    <w:rsid w:val="1BF322AE"/>
    <w:rsid w:val="1BF509B8"/>
    <w:rsid w:val="1C0A4F78"/>
    <w:rsid w:val="1C0D445B"/>
    <w:rsid w:val="1C1222ED"/>
    <w:rsid w:val="1C187F74"/>
    <w:rsid w:val="1C491265"/>
    <w:rsid w:val="1C651670"/>
    <w:rsid w:val="1CC32870"/>
    <w:rsid w:val="1CC924E4"/>
    <w:rsid w:val="1CE023A9"/>
    <w:rsid w:val="1CE03952"/>
    <w:rsid w:val="1D0E1A6B"/>
    <w:rsid w:val="1D137B68"/>
    <w:rsid w:val="1D3F4D2E"/>
    <w:rsid w:val="1D420059"/>
    <w:rsid w:val="1D5A30C5"/>
    <w:rsid w:val="1D5D57EA"/>
    <w:rsid w:val="1D5E5D81"/>
    <w:rsid w:val="1D6A4E4D"/>
    <w:rsid w:val="1D872DE7"/>
    <w:rsid w:val="1D986C14"/>
    <w:rsid w:val="1D9A2992"/>
    <w:rsid w:val="1DA63213"/>
    <w:rsid w:val="1DC75163"/>
    <w:rsid w:val="1DEC3CA4"/>
    <w:rsid w:val="1DFA304F"/>
    <w:rsid w:val="1E080B2E"/>
    <w:rsid w:val="1E2346CC"/>
    <w:rsid w:val="1E251450"/>
    <w:rsid w:val="1E2E2364"/>
    <w:rsid w:val="1E4F628A"/>
    <w:rsid w:val="1E615A91"/>
    <w:rsid w:val="1E6E5A29"/>
    <w:rsid w:val="1E8C6387"/>
    <w:rsid w:val="1E8D72E7"/>
    <w:rsid w:val="1E956C42"/>
    <w:rsid w:val="1E9926B1"/>
    <w:rsid w:val="1EA42E41"/>
    <w:rsid w:val="1EBE36E2"/>
    <w:rsid w:val="1ED428AC"/>
    <w:rsid w:val="1EE267C9"/>
    <w:rsid w:val="1F152BAF"/>
    <w:rsid w:val="1F155F2C"/>
    <w:rsid w:val="1F5031C3"/>
    <w:rsid w:val="1F550389"/>
    <w:rsid w:val="1F5936DF"/>
    <w:rsid w:val="1F5F6CE0"/>
    <w:rsid w:val="1F6773AC"/>
    <w:rsid w:val="1F9C4CF0"/>
    <w:rsid w:val="1F9D3301"/>
    <w:rsid w:val="1FAD73CB"/>
    <w:rsid w:val="1FB656B6"/>
    <w:rsid w:val="1FBD5008"/>
    <w:rsid w:val="1FD13B2F"/>
    <w:rsid w:val="1FD2383E"/>
    <w:rsid w:val="1FD90243"/>
    <w:rsid w:val="1FF16DE9"/>
    <w:rsid w:val="1FF321A7"/>
    <w:rsid w:val="1FF476A2"/>
    <w:rsid w:val="20331D82"/>
    <w:rsid w:val="203B0B57"/>
    <w:rsid w:val="20427C39"/>
    <w:rsid w:val="206613C1"/>
    <w:rsid w:val="2074231C"/>
    <w:rsid w:val="20750A28"/>
    <w:rsid w:val="2077455F"/>
    <w:rsid w:val="20961DB7"/>
    <w:rsid w:val="2096499C"/>
    <w:rsid w:val="20CB5C4C"/>
    <w:rsid w:val="20D34687"/>
    <w:rsid w:val="20E971A6"/>
    <w:rsid w:val="20EC4A22"/>
    <w:rsid w:val="210D605B"/>
    <w:rsid w:val="211A2370"/>
    <w:rsid w:val="211D521D"/>
    <w:rsid w:val="21236D0D"/>
    <w:rsid w:val="21374447"/>
    <w:rsid w:val="21550C40"/>
    <w:rsid w:val="216655B5"/>
    <w:rsid w:val="216F214E"/>
    <w:rsid w:val="2172345E"/>
    <w:rsid w:val="21747ECF"/>
    <w:rsid w:val="2176719E"/>
    <w:rsid w:val="218521D1"/>
    <w:rsid w:val="2190459B"/>
    <w:rsid w:val="21BF657D"/>
    <w:rsid w:val="21C645B7"/>
    <w:rsid w:val="21D861C6"/>
    <w:rsid w:val="21E41A23"/>
    <w:rsid w:val="21FD05D2"/>
    <w:rsid w:val="221E175B"/>
    <w:rsid w:val="222E552F"/>
    <w:rsid w:val="22450B88"/>
    <w:rsid w:val="22490EBB"/>
    <w:rsid w:val="22536505"/>
    <w:rsid w:val="22627950"/>
    <w:rsid w:val="22635651"/>
    <w:rsid w:val="226C167D"/>
    <w:rsid w:val="22973ED5"/>
    <w:rsid w:val="22A87CC1"/>
    <w:rsid w:val="22C12E31"/>
    <w:rsid w:val="22FE3A14"/>
    <w:rsid w:val="2324533D"/>
    <w:rsid w:val="233A71A8"/>
    <w:rsid w:val="2347594B"/>
    <w:rsid w:val="23664E49"/>
    <w:rsid w:val="23750FDF"/>
    <w:rsid w:val="23835C4B"/>
    <w:rsid w:val="239715F3"/>
    <w:rsid w:val="23A33F3B"/>
    <w:rsid w:val="23BF0FAD"/>
    <w:rsid w:val="23CB5DC9"/>
    <w:rsid w:val="23D03992"/>
    <w:rsid w:val="24012AC4"/>
    <w:rsid w:val="24054DC1"/>
    <w:rsid w:val="240B40B9"/>
    <w:rsid w:val="24165768"/>
    <w:rsid w:val="241D6F90"/>
    <w:rsid w:val="243F1008"/>
    <w:rsid w:val="243F3C19"/>
    <w:rsid w:val="24700E46"/>
    <w:rsid w:val="247B2FB4"/>
    <w:rsid w:val="248103F4"/>
    <w:rsid w:val="24816F02"/>
    <w:rsid w:val="24954F08"/>
    <w:rsid w:val="249B705D"/>
    <w:rsid w:val="24A139E4"/>
    <w:rsid w:val="24DC7FD2"/>
    <w:rsid w:val="24E662CE"/>
    <w:rsid w:val="24F86731"/>
    <w:rsid w:val="25247028"/>
    <w:rsid w:val="253E52BF"/>
    <w:rsid w:val="25417F9F"/>
    <w:rsid w:val="256F0E7D"/>
    <w:rsid w:val="258778A8"/>
    <w:rsid w:val="25A451AE"/>
    <w:rsid w:val="25AC04D7"/>
    <w:rsid w:val="25CD7864"/>
    <w:rsid w:val="26163D1B"/>
    <w:rsid w:val="261A5420"/>
    <w:rsid w:val="26203667"/>
    <w:rsid w:val="262F078F"/>
    <w:rsid w:val="264B4221"/>
    <w:rsid w:val="26672471"/>
    <w:rsid w:val="268A62EA"/>
    <w:rsid w:val="26A2250C"/>
    <w:rsid w:val="26C664C4"/>
    <w:rsid w:val="26DC30EA"/>
    <w:rsid w:val="26E43F1A"/>
    <w:rsid w:val="27241260"/>
    <w:rsid w:val="27247AA4"/>
    <w:rsid w:val="272B061C"/>
    <w:rsid w:val="272D79FD"/>
    <w:rsid w:val="274C2E33"/>
    <w:rsid w:val="27631F29"/>
    <w:rsid w:val="27643FD3"/>
    <w:rsid w:val="276E396E"/>
    <w:rsid w:val="27735DAF"/>
    <w:rsid w:val="277A2F42"/>
    <w:rsid w:val="2783197E"/>
    <w:rsid w:val="27937B8C"/>
    <w:rsid w:val="279C76CE"/>
    <w:rsid w:val="27A40709"/>
    <w:rsid w:val="27A73183"/>
    <w:rsid w:val="27AB2637"/>
    <w:rsid w:val="27AC7617"/>
    <w:rsid w:val="27B61B6E"/>
    <w:rsid w:val="27BD2561"/>
    <w:rsid w:val="27C11D61"/>
    <w:rsid w:val="27C66A1E"/>
    <w:rsid w:val="27E00BAE"/>
    <w:rsid w:val="27E018B3"/>
    <w:rsid w:val="28145450"/>
    <w:rsid w:val="28477B28"/>
    <w:rsid w:val="2868081D"/>
    <w:rsid w:val="287175F4"/>
    <w:rsid w:val="28942A08"/>
    <w:rsid w:val="28981790"/>
    <w:rsid w:val="28DA3ED8"/>
    <w:rsid w:val="28DB4170"/>
    <w:rsid w:val="290B4A63"/>
    <w:rsid w:val="292326D8"/>
    <w:rsid w:val="29297215"/>
    <w:rsid w:val="29416E7E"/>
    <w:rsid w:val="29731D25"/>
    <w:rsid w:val="297B6553"/>
    <w:rsid w:val="298E6CF1"/>
    <w:rsid w:val="29AC616E"/>
    <w:rsid w:val="29B228CE"/>
    <w:rsid w:val="29C42C7D"/>
    <w:rsid w:val="29C500C2"/>
    <w:rsid w:val="29C81830"/>
    <w:rsid w:val="29DA344C"/>
    <w:rsid w:val="29F50734"/>
    <w:rsid w:val="29FD1CC8"/>
    <w:rsid w:val="2A0D6B9A"/>
    <w:rsid w:val="2A1305CB"/>
    <w:rsid w:val="2A352BE2"/>
    <w:rsid w:val="2A392309"/>
    <w:rsid w:val="2A41096D"/>
    <w:rsid w:val="2A447D78"/>
    <w:rsid w:val="2A4647A7"/>
    <w:rsid w:val="2A4B7442"/>
    <w:rsid w:val="2A507D11"/>
    <w:rsid w:val="2A69409D"/>
    <w:rsid w:val="2A6E6F55"/>
    <w:rsid w:val="2A700888"/>
    <w:rsid w:val="2A7A5CD5"/>
    <w:rsid w:val="2A883B25"/>
    <w:rsid w:val="2ABE3495"/>
    <w:rsid w:val="2AE02FE7"/>
    <w:rsid w:val="2B0A5203"/>
    <w:rsid w:val="2B22254D"/>
    <w:rsid w:val="2B4B6DE2"/>
    <w:rsid w:val="2B953633"/>
    <w:rsid w:val="2BBE3A9F"/>
    <w:rsid w:val="2BD8670E"/>
    <w:rsid w:val="2BFF1831"/>
    <w:rsid w:val="2C02237E"/>
    <w:rsid w:val="2C0E3E36"/>
    <w:rsid w:val="2C0E4260"/>
    <w:rsid w:val="2C350B1D"/>
    <w:rsid w:val="2C4A362B"/>
    <w:rsid w:val="2C806A9A"/>
    <w:rsid w:val="2C870705"/>
    <w:rsid w:val="2C8C19C9"/>
    <w:rsid w:val="2CAC70C4"/>
    <w:rsid w:val="2CCD27C7"/>
    <w:rsid w:val="2CF962FC"/>
    <w:rsid w:val="2D0E14E6"/>
    <w:rsid w:val="2D202EBD"/>
    <w:rsid w:val="2D206678"/>
    <w:rsid w:val="2D415AB5"/>
    <w:rsid w:val="2D5F6D65"/>
    <w:rsid w:val="2D631219"/>
    <w:rsid w:val="2D665547"/>
    <w:rsid w:val="2D9B22D6"/>
    <w:rsid w:val="2D9D7BE5"/>
    <w:rsid w:val="2DC06CDD"/>
    <w:rsid w:val="2DC50F68"/>
    <w:rsid w:val="2DDF1D6A"/>
    <w:rsid w:val="2DF10DAD"/>
    <w:rsid w:val="2DF67CF2"/>
    <w:rsid w:val="2E020B75"/>
    <w:rsid w:val="2E18767C"/>
    <w:rsid w:val="2E4F7AFB"/>
    <w:rsid w:val="2E661312"/>
    <w:rsid w:val="2E88002D"/>
    <w:rsid w:val="2E8A6FEE"/>
    <w:rsid w:val="2E986C5E"/>
    <w:rsid w:val="2EBE64D6"/>
    <w:rsid w:val="2EC06F2B"/>
    <w:rsid w:val="2EC94BCB"/>
    <w:rsid w:val="2ECD6F74"/>
    <w:rsid w:val="2EDD46C7"/>
    <w:rsid w:val="2EE34A96"/>
    <w:rsid w:val="2F050D5B"/>
    <w:rsid w:val="2F226464"/>
    <w:rsid w:val="2F2B1E99"/>
    <w:rsid w:val="2F2C0F7E"/>
    <w:rsid w:val="2F473735"/>
    <w:rsid w:val="2F7013C3"/>
    <w:rsid w:val="2F7C3966"/>
    <w:rsid w:val="2F846FA6"/>
    <w:rsid w:val="2F8E1DD9"/>
    <w:rsid w:val="2F9926E3"/>
    <w:rsid w:val="2FA75733"/>
    <w:rsid w:val="2FBF706C"/>
    <w:rsid w:val="2FC8493A"/>
    <w:rsid w:val="2FF161E3"/>
    <w:rsid w:val="2FFB1AE4"/>
    <w:rsid w:val="30027D2A"/>
    <w:rsid w:val="302460CD"/>
    <w:rsid w:val="302A63A2"/>
    <w:rsid w:val="302B605D"/>
    <w:rsid w:val="30336FAA"/>
    <w:rsid w:val="308229F5"/>
    <w:rsid w:val="3089578C"/>
    <w:rsid w:val="30B107C0"/>
    <w:rsid w:val="310C06BA"/>
    <w:rsid w:val="31185E4E"/>
    <w:rsid w:val="3122063B"/>
    <w:rsid w:val="31433AB4"/>
    <w:rsid w:val="31807FCD"/>
    <w:rsid w:val="31873531"/>
    <w:rsid w:val="31886E82"/>
    <w:rsid w:val="318F3008"/>
    <w:rsid w:val="31B05A44"/>
    <w:rsid w:val="31BC52B2"/>
    <w:rsid w:val="31D445B2"/>
    <w:rsid w:val="31DB0CFF"/>
    <w:rsid w:val="31E57B9B"/>
    <w:rsid w:val="320B1836"/>
    <w:rsid w:val="320C0AB2"/>
    <w:rsid w:val="32110B36"/>
    <w:rsid w:val="32561AC7"/>
    <w:rsid w:val="32680F91"/>
    <w:rsid w:val="32737900"/>
    <w:rsid w:val="3288464F"/>
    <w:rsid w:val="32887E2C"/>
    <w:rsid w:val="32B44336"/>
    <w:rsid w:val="32BC4556"/>
    <w:rsid w:val="32D161F9"/>
    <w:rsid w:val="32DC2B33"/>
    <w:rsid w:val="330D4C0B"/>
    <w:rsid w:val="332137D7"/>
    <w:rsid w:val="33407F17"/>
    <w:rsid w:val="33460DBE"/>
    <w:rsid w:val="334D5CAB"/>
    <w:rsid w:val="336C0D0E"/>
    <w:rsid w:val="337A6C9E"/>
    <w:rsid w:val="338C7B1D"/>
    <w:rsid w:val="33A31C42"/>
    <w:rsid w:val="33B1795E"/>
    <w:rsid w:val="33BB0EC8"/>
    <w:rsid w:val="33D63C80"/>
    <w:rsid w:val="33D87752"/>
    <w:rsid w:val="33DF1C27"/>
    <w:rsid w:val="33E5680D"/>
    <w:rsid w:val="340500D9"/>
    <w:rsid w:val="341A517D"/>
    <w:rsid w:val="342617D6"/>
    <w:rsid w:val="34547FC3"/>
    <w:rsid w:val="34646EEC"/>
    <w:rsid w:val="346966C9"/>
    <w:rsid w:val="346E7E63"/>
    <w:rsid w:val="34717FB1"/>
    <w:rsid w:val="347A58DA"/>
    <w:rsid w:val="348E04A0"/>
    <w:rsid w:val="34956C13"/>
    <w:rsid w:val="349D043E"/>
    <w:rsid w:val="34D10B40"/>
    <w:rsid w:val="34DB7762"/>
    <w:rsid w:val="34E171D1"/>
    <w:rsid w:val="34F8393B"/>
    <w:rsid w:val="34FC2DD2"/>
    <w:rsid w:val="3518051D"/>
    <w:rsid w:val="35621829"/>
    <w:rsid w:val="35683252"/>
    <w:rsid w:val="35702107"/>
    <w:rsid w:val="357717A2"/>
    <w:rsid w:val="35BE18A4"/>
    <w:rsid w:val="35C029C7"/>
    <w:rsid w:val="35C13F02"/>
    <w:rsid w:val="35C956A5"/>
    <w:rsid w:val="35E17E7C"/>
    <w:rsid w:val="360367A2"/>
    <w:rsid w:val="36251143"/>
    <w:rsid w:val="36354E95"/>
    <w:rsid w:val="364C296A"/>
    <w:rsid w:val="367272B8"/>
    <w:rsid w:val="36731438"/>
    <w:rsid w:val="3687157C"/>
    <w:rsid w:val="369F67B2"/>
    <w:rsid w:val="36B216E6"/>
    <w:rsid w:val="36B25D14"/>
    <w:rsid w:val="36E52AEB"/>
    <w:rsid w:val="36E95363"/>
    <w:rsid w:val="36F70EEA"/>
    <w:rsid w:val="37113169"/>
    <w:rsid w:val="371A2819"/>
    <w:rsid w:val="3729310F"/>
    <w:rsid w:val="373049C4"/>
    <w:rsid w:val="3736213D"/>
    <w:rsid w:val="374C3BCB"/>
    <w:rsid w:val="37620449"/>
    <w:rsid w:val="37835B23"/>
    <w:rsid w:val="37DC3CE6"/>
    <w:rsid w:val="380D2588"/>
    <w:rsid w:val="382058FD"/>
    <w:rsid w:val="38353CDE"/>
    <w:rsid w:val="38362637"/>
    <w:rsid w:val="38443AC5"/>
    <w:rsid w:val="38551706"/>
    <w:rsid w:val="38593326"/>
    <w:rsid w:val="38772516"/>
    <w:rsid w:val="3886446D"/>
    <w:rsid w:val="389D234C"/>
    <w:rsid w:val="38A15693"/>
    <w:rsid w:val="38A70D35"/>
    <w:rsid w:val="38C0269E"/>
    <w:rsid w:val="38C43FF4"/>
    <w:rsid w:val="38C95297"/>
    <w:rsid w:val="38D269A5"/>
    <w:rsid w:val="38D9546E"/>
    <w:rsid w:val="38E958FB"/>
    <w:rsid w:val="38F00297"/>
    <w:rsid w:val="38F87B90"/>
    <w:rsid w:val="39070D0E"/>
    <w:rsid w:val="390D4BE4"/>
    <w:rsid w:val="39411756"/>
    <w:rsid w:val="395C1162"/>
    <w:rsid w:val="39664275"/>
    <w:rsid w:val="397521B1"/>
    <w:rsid w:val="3978564E"/>
    <w:rsid w:val="397921B8"/>
    <w:rsid w:val="397A68B4"/>
    <w:rsid w:val="39830DAC"/>
    <w:rsid w:val="399C1162"/>
    <w:rsid w:val="399F181E"/>
    <w:rsid w:val="39C3215E"/>
    <w:rsid w:val="39D57E56"/>
    <w:rsid w:val="39DF5AAD"/>
    <w:rsid w:val="39F3003B"/>
    <w:rsid w:val="3A40479E"/>
    <w:rsid w:val="3A4A5756"/>
    <w:rsid w:val="3A5313E2"/>
    <w:rsid w:val="3A5735E6"/>
    <w:rsid w:val="3A6474F5"/>
    <w:rsid w:val="3A6B7341"/>
    <w:rsid w:val="3A785120"/>
    <w:rsid w:val="3A8450B0"/>
    <w:rsid w:val="3A885520"/>
    <w:rsid w:val="3AAE60AC"/>
    <w:rsid w:val="3ADF0A41"/>
    <w:rsid w:val="3AF61F4A"/>
    <w:rsid w:val="3B094EEC"/>
    <w:rsid w:val="3B18197E"/>
    <w:rsid w:val="3B236509"/>
    <w:rsid w:val="3B29546C"/>
    <w:rsid w:val="3B2A7C46"/>
    <w:rsid w:val="3B441F7E"/>
    <w:rsid w:val="3B500B09"/>
    <w:rsid w:val="3B6A6F33"/>
    <w:rsid w:val="3B7A3AB8"/>
    <w:rsid w:val="3B7C198F"/>
    <w:rsid w:val="3BE956A6"/>
    <w:rsid w:val="3BE97731"/>
    <w:rsid w:val="3C057BCF"/>
    <w:rsid w:val="3C072505"/>
    <w:rsid w:val="3C1E28BD"/>
    <w:rsid w:val="3C1E6330"/>
    <w:rsid w:val="3C437605"/>
    <w:rsid w:val="3C4766AB"/>
    <w:rsid w:val="3C62430B"/>
    <w:rsid w:val="3C662FF8"/>
    <w:rsid w:val="3C826DC0"/>
    <w:rsid w:val="3C8D6D01"/>
    <w:rsid w:val="3C905521"/>
    <w:rsid w:val="3CA17846"/>
    <w:rsid w:val="3CCA2C61"/>
    <w:rsid w:val="3CE97714"/>
    <w:rsid w:val="3D390BA3"/>
    <w:rsid w:val="3D4172A3"/>
    <w:rsid w:val="3D5943FA"/>
    <w:rsid w:val="3D5A000F"/>
    <w:rsid w:val="3D692FE1"/>
    <w:rsid w:val="3D6C3AF1"/>
    <w:rsid w:val="3D6C58AA"/>
    <w:rsid w:val="3D7F5103"/>
    <w:rsid w:val="3D922110"/>
    <w:rsid w:val="3D9460E8"/>
    <w:rsid w:val="3DA87FC6"/>
    <w:rsid w:val="3DDD5B70"/>
    <w:rsid w:val="3DF9323A"/>
    <w:rsid w:val="3E013F52"/>
    <w:rsid w:val="3E3153C9"/>
    <w:rsid w:val="3E316AE4"/>
    <w:rsid w:val="3E442FCE"/>
    <w:rsid w:val="3E5A36A4"/>
    <w:rsid w:val="3E5A7DF8"/>
    <w:rsid w:val="3E5B06E3"/>
    <w:rsid w:val="3E663274"/>
    <w:rsid w:val="3E6D764C"/>
    <w:rsid w:val="3E783E76"/>
    <w:rsid w:val="3E871937"/>
    <w:rsid w:val="3E8D1F7B"/>
    <w:rsid w:val="3EA95753"/>
    <w:rsid w:val="3EAB4E4B"/>
    <w:rsid w:val="3EB167C5"/>
    <w:rsid w:val="3EBF0157"/>
    <w:rsid w:val="3EC37271"/>
    <w:rsid w:val="3EC86D89"/>
    <w:rsid w:val="3EE44C3A"/>
    <w:rsid w:val="3EF40CC4"/>
    <w:rsid w:val="3F032CAD"/>
    <w:rsid w:val="3F147FA7"/>
    <w:rsid w:val="3F162FDE"/>
    <w:rsid w:val="3F2F1204"/>
    <w:rsid w:val="3F4D3010"/>
    <w:rsid w:val="3F53265F"/>
    <w:rsid w:val="3F611D11"/>
    <w:rsid w:val="3F762BD7"/>
    <w:rsid w:val="3F882B96"/>
    <w:rsid w:val="3F93424D"/>
    <w:rsid w:val="3F9E6472"/>
    <w:rsid w:val="3FBF5071"/>
    <w:rsid w:val="3FC03C8B"/>
    <w:rsid w:val="3FC85484"/>
    <w:rsid w:val="3FE61943"/>
    <w:rsid w:val="3FEB0FCB"/>
    <w:rsid w:val="3FF878C8"/>
    <w:rsid w:val="3FFA1B80"/>
    <w:rsid w:val="400B7146"/>
    <w:rsid w:val="403534C4"/>
    <w:rsid w:val="403777ED"/>
    <w:rsid w:val="403E177F"/>
    <w:rsid w:val="404448BC"/>
    <w:rsid w:val="405074E1"/>
    <w:rsid w:val="40592CE8"/>
    <w:rsid w:val="406D601B"/>
    <w:rsid w:val="40B64E62"/>
    <w:rsid w:val="40BD0139"/>
    <w:rsid w:val="40E12DF7"/>
    <w:rsid w:val="40FE3C9E"/>
    <w:rsid w:val="41065081"/>
    <w:rsid w:val="4110479E"/>
    <w:rsid w:val="413976A7"/>
    <w:rsid w:val="41567B5E"/>
    <w:rsid w:val="4160685E"/>
    <w:rsid w:val="41780D7F"/>
    <w:rsid w:val="41C63FE5"/>
    <w:rsid w:val="41CF6FBD"/>
    <w:rsid w:val="41D15662"/>
    <w:rsid w:val="41FB5AD1"/>
    <w:rsid w:val="42151C08"/>
    <w:rsid w:val="42227F4F"/>
    <w:rsid w:val="42660B19"/>
    <w:rsid w:val="42673235"/>
    <w:rsid w:val="426D0F08"/>
    <w:rsid w:val="42734FE4"/>
    <w:rsid w:val="42834591"/>
    <w:rsid w:val="42A46C79"/>
    <w:rsid w:val="42AB1CB9"/>
    <w:rsid w:val="42CE5E89"/>
    <w:rsid w:val="42DB2A42"/>
    <w:rsid w:val="42E531C2"/>
    <w:rsid w:val="42E970FC"/>
    <w:rsid w:val="43017843"/>
    <w:rsid w:val="43357C05"/>
    <w:rsid w:val="433C1EA4"/>
    <w:rsid w:val="43773836"/>
    <w:rsid w:val="43776D79"/>
    <w:rsid w:val="438F2746"/>
    <w:rsid w:val="43911C44"/>
    <w:rsid w:val="43961110"/>
    <w:rsid w:val="439A36E0"/>
    <w:rsid w:val="43B50136"/>
    <w:rsid w:val="43BC6A83"/>
    <w:rsid w:val="43D45D6A"/>
    <w:rsid w:val="43E55985"/>
    <w:rsid w:val="44010850"/>
    <w:rsid w:val="44143C90"/>
    <w:rsid w:val="441E0342"/>
    <w:rsid w:val="44312165"/>
    <w:rsid w:val="4466145A"/>
    <w:rsid w:val="448A0028"/>
    <w:rsid w:val="448C6831"/>
    <w:rsid w:val="44A1408B"/>
    <w:rsid w:val="44C935E1"/>
    <w:rsid w:val="44D33D50"/>
    <w:rsid w:val="44DA12A5"/>
    <w:rsid w:val="44E56097"/>
    <w:rsid w:val="44FC0305"/>
    <w:rsid w:val="44FE1612"/>
    <w:rsid w:val="45046B1F"/>
    <w:rsid w:val="45211DF4"/>
    <w:rsid w:val="452B355B"/>
    <w:rsid w:val="456220B4"/>
    <w:rsid w:val="45667082"/>
    <w:rsid w:val="45786CAB"/>
    <w:rsid w:val="4580714D"/>
    <w:rsid w:val="458D553A"/>
    <w:rsid w:val="458F0F9A"/>
    <w:rsid w:val="45AC4A3C"/>
    <w:rsid w:val="45BA7528"/>
    <w:rsid w:val="45CA5863"/>
    <w:rsid w:val="45CF358F"/>
    <w:rsid w:val="461457C2"/>
    <w:rsid w:val="4666592E"/>
    <w:rsid w:val="469A2328"/>
    <w:rsid w:val="46AE336E"/>
    <w:rsid w:val="46B8607D"/>
    <w:rsid w:val="46BA5C18"/>
    <w:rsid w:val="46BD61DD"/>
    <w:rsid w:val="46C6602A"/>
    <w:rsid w:val="46D02257"/>
    <w:rsid w:val="470D5936"/>
    <w:rsid w:val="4725300B"/>
    <w:rsid w:val="47460091"/>
    <w:rsid w:val="474D4586"/>
    <w:rsid w:val="475E44B5"/>
    <w:rsid w:val="47660510"/>
    <w:rsid w:val="47673213"/>
    <w:rsid w:val="47675AF2"/>
    <w:rsid w:val="476F4759"/>
    <w:rsid w:val="477957C9"/>
    <w:rsid w:val="4791153C"/>
    <w:rsid w:val="47945474"/>
    <w:rsid w:val="47A213C0"/>
    <w:rsid w:val="47D6679C"/>
    <w:rsid w:val="47FC1AB6"/>
    <w:rsid w:val="481A62D7"/>
    <w:rsid w:val="48346E5E"/>
    <w:rsid w:val="48361DEC"/>
    <w:rsid w:val="484E5178"/>
    <w:rsid w:val="48552B5C"/>
    <w:rsid w:val="4864151F"/>
    <w:rsid w:val="48697FDB"/>
    <w:rsid w:val="48817F68"/>
    <w:rsid w:val="48857E11"/>
    <w:rsid w:val="48A677C6"/>
    <w:rsid w:val="48E60264"/>
    <w:rsid w:val="48F600DF"/>
    <w:rsid w:val="48FC7BFD"/>
    <w:rsid w:val="490623FE"/>
    <w:rsid w:val="490C5ABA"/>
    <w:rsid w:val="49152650"/>
    <w:rsid w:val="491827E9"/>
    <w:rsid w:val="492A1264"/>
    <w:rsid w:val="495E4149"/>
    <w:rsid w:val="495F1E10"/>
    <w:rsid w:val="497D0C9E"/>
    <w:rsid w:val="498A06EC"/>
    <w:rsid w:val="498D2AEF"/>
    <w:rsid w:val="498D7788"/>
    <w:rsid w:val="49AC5932"/>
    <w:rsid w:val="49AE2DA6"/>
    <w:rsid w:val="49DF1A1C"/>
    <w:rsid w:val="49E044C0"/>
    <w:rsid w:val="4A2A3476"/>
    <w:rsid w:val="4A4614D2"/>
    <w:rsid w:val="4A571ED4"/>
    <w:rsid w:val="4A5E004B"/>
    <w:rsid w:val="4A627AA2"/>
    <w:rsid w:val="4A793CD9"/>
    <w:rsid w:val="4A942A84"/>
    <w:rsid w:val="4A987CDE"/>
    <w:rsid w:val="4AA5596D"/>
    <w:rsid w:val="4ABB124F"/>
    <w:rsid w:val="4AC20577"/>
    <w:rsid w:val="4AC83947"/>
    <w:rsid w:val="4AD2087C"/>
    <w:rsid w:val="4AFE23B3"/>
    <w:rsid w:val="4AFE6D48"/>
    <w:rsid w:val="4B182ACF"/>
    <w:rsid w:val="4B235859"/>
    <w:rsid w:val="4B336008"/>
    <w:rsid w:val="4B6F4E60"/>
    <w:rsid w:val="4B8E487A"/>
    <w:rsid w:val="4B924746"/>
    <w:rsid w:val="4B9349CA"/>
    <w:rsid w:val="4BA16ECB"/>
    <w:rsid w:val="4BD032D2"/>
    <w:rsid w:val="4BF35031"/>
    <w:rsid w:val="4C192F42"/>
    <w:rsid w:val="4C1D5CCC"/>
    <w:rsid w:val="4C1E606E"/>
    <w:rsid w:val="4C600ED9"/>
    <w:rsid w:val="4C8F34F1"/>
    <w:rsid w:val="4C9C7FFC"/>
    <w:rsid w:val="4CA111C5"/>
    <w:rsid w:val="4CAF1383"/>
    <w:rsid w:val="4CAF18DA"/>
    <w:rsid w:val="4CAF3E7D"/>
    <w:rsid w:val="4CB2471A"/>
    <w:rsid w:val="4CB4001D"/>
    <w:rsid w:val="4CF20E3F"/>
    <w:rsid w:val="4D001656"/>
    <w:rsid w:val="4D151785"/>
    <w:rsid w:val="4D292580"/>
    <w:rsid w:val="4D3B0963"/>
    <w:rsid w:val="4D572582"/>
    <w:rsid w:val="4D57775E"/>
    <w:rsid w:val="4D60514A"/>
    <w:rsid w:val="4D6872A3"/>
    <w:rsid w:val="4D910D7C"/>
    <w:rsid w:val="4DAE0D40"/>
    <w:rsid w:val="4DB85332"/>
    <w:rsid w:val="4DDC74B8"/>
    <w:rsid w:val="4DDE70A0"/>
    <w:rsid w:val="4DEF1731"/>
    <w:rsid w:val="4DF5220F"/>
    <w:rsid w:val="4E0605C8"/>
    <w:rsid w:val="4E07577A"/>
    <w:rsid w:val="4E0B070A"/>
    <w:rsid w:val="4E0D274F"/>
    <w:rsid w:val="4E1A5D90"/>
    <w:rsid w:val="4E2777FC"/>
    <w:rsid w:val="4E2F7339"/>
    <w:rsid w:val="4E3F1CFB"/>
    <w:rsid w:val="4E467BD9"/>
    <w:rsid w:val="4E7506EF"/>
    <w:rsid w:val="4E75320A"/>
    <w:rsid w:val="4E824F2D"/>
    <w:rsid w:val="4E850ED5"/>
    <w:rsid w:val="4E935F1F"/>
    <w:rsid w:val="4EAD14DE"/>
    <w:rsid w:val="4EB67071"/>
    <w:rsid w:val="4EE26BB0"/>
    <w:rsid w:val="4EE61AB4"/>
    <w:rsid w:val="4EF343E0"/>
    <w:rsid w:val="4F02697B"/>
    <w:rsid w:val="4F0C47F7"/>
    <w:rsid w:val="4F193D44"/>
    <w:rsid w:val="4F1B164B"/>
    <w:rsid w:val="4F1E1075"/>
    <w:rsid w:val="4F204A26"/>
    <w:rsid w:val="4F245B3A"/>
    <w:rsid w:val="4F391E55"/>
    <w:rsid w:val="4F3B2134"/>
    <w:rsid w:val="4F503A82"/>
    <w:rsid w:val="4F6E5EEA"/>
    <w:rsid w:val="4F7505EE"/>
    <w:rsid w:val="4F883250"/>
    <w:rsid w:val="4FAE2740"/>
    <w:rsid w:val="4FBD3EA2"/>
    <w:rsid w:val="4FF305DF"/>
    <w:rsid w:val="4FF72975"/>
    <w:rsid w:val="50035F55"/>
    <w:rsid w:val="500A45BF"/>
    <w:rsid w:val="50362240"/>
    <w:rsid w:val="5056601A"/>
    <w:rsid w:val="50741A17"/>
    <w:rsid w:val="509E4574"/>
    <w:rsid w:val="50AC3321"/>
    <w:rsid w:val="50B70511"/>
    <w:rsid w:val="50BA5802"/>
    <w:rsid w:val="50CC248F"/>
    <w:rsid w:val="50E240EF"/>
    <w:rsid w:val="511E6774"/>
    <w:rsid w:val="514378BB"/>
    <w:rsid w:val="514E7AEA"/>
    <w:rsid w:val="514F4A9B"/>
    <w:rsid w:val="517768C1"/>
    <w:rsid w:val="517C4147"/>
    <w:rsid w:val="51927B90"/>
    <w:rsid w:val="51943686"/>
    <w:rsid w:val="519D34D7"/>
    <w:rsid w:val="51C16F6A"/>
    <w:rsid w:val="51C24DA4"/>
    <w:rsid w:val="51D90531"/>
    <w:rsid w:val="51DC0DF8"/>
    <w:rsid w:val="51E45111"/>
    <w:rsid w:val="51FA2D99"/>
    <w:rsid w:val="51FB54E6"/>
    <w:rsid w:val="52032FCD"/>
    <w:rsid w:val="520A6DDD"/>
    <w:rsid w:val="522105B9"/>
    <w:rsid w:val="522112A3"/>
    <w:rsid w:val="52295F08"/>
    <w:rsid w:val="526F24DF"/>
    <w:rsid w:val="52727B25"/>
    <w:rsid w:val="529C3DC7"/>
    <w:rsid w:val="52BA1406"/>
    <w:rsid w:val="52F11239"/>
    <w:rsid w:val="52FA74D3"/>
    <w:rsid w:val="5307167F"/>
    <w:rsid w:val="530C365E"/>
    <w:rsid w:val="532550CA"/>
    <w:rsid w:val="53755060"/>
    <w:rsid w:val="537868FE"/>
    <w:rsid w:val="537C1D68"/>
    <w:rsid w:val="53936204"/>
    <w:rsid w:val="53AE0A28"/>
    <w:rsid w:val="53F55CC0"/>
    <w:rsid w:val="5412348E"/>
    <w:rsid w:val="544C2128"/>
    <w:rsid w:val="54622503"/>
    <w:rsid w:val="5469418A"/>
    <w:rsid w:val="5472750B"/>
    <w:rsid w:val="549B442A"/>
    <w:rsid w:val="54CA1684"/>
    <w:rsid w:val="54E8440D"/>
    <w:rsid w:val="54F251A7"/>
    <w:rsid w:val="55047469"/>
    <w:rsid w:val="550D21DA"/>
    <w:rsid w:val="5529469F"/>
    <w:rsid w:val="552B609B"/>
    <w:rsid w:val="553D6FF2"/>
    <w:rsid w:val="55745428"/>
    <w:rsid w:val="557660F1"/>
    <w:rsid w:val="55AE2AAB"/>
    <w:rsid w:val="55B956CA"/>
    <w:rsid w:val="55D13DD6"/>
    <w:rsid w:val="55F43ECA"/>
    <w:rsid w:val="55FD0533"/>
    <w:rsid w:val="561A7FAB"/>
    <w:rsid w:val="562E2AA6"/>
    <w:rsid w:val="563D2DB0"/>
    <w:rsid w:val="564156CE"/>
    <w:rsid w:val="564B0C5E"/>
    <w:rsid w:val="567315FF"/>
    <w:rsid w:val="56925F29"/>
    <w:rsid w:val="56AA4CA2"/>
    <w:rsid w:val="56BF17CC"/>
    <w:rsid w:val="56C93C61"/>
    <w:rsid w:val="56FB1D20"/>
    <w:rsid w:val="56FC4767"/>
    <w:rsid w:val="57165642"/>
    <w:rsid w:val="57193E66"/>
    <w:rsid w:val="571C4264"/>
    <w:rsid w:val="572B519F"/>
    <w:rsid w:val="57323268"/>
    <w:rsid w:val="57332103"/>
    <w:rsid w:val="573F7F56"/>
    <w:rsid w:val="57917F8F"/>
    <w:rsid w:val="57A3305D"/>
    <w:rsid w:val="57AD09F3"/>
    <w:rsid w:val="57B53F1D"/>
    <w:rsid w:val="57C673E4"/>
    <w:rsid w:val="57C71953"/>
    <w:rsid w:val="57C95AED"/>
    <w:rsid w:val="57D32355"/>
    <w:rsid w:val="57DC514C"/>
    <w:rsid w:val="57E92BEA"/>
    <w:rsid w:val="57EE0FCC"/>
    <w:rsid w:val="57FE1C99"/>
    <w:rsid w:val="580A69F1"/>
    <w:rsid w:val="581C691F"/>
    <w:rsid w:val="58202AC2"/>
    <w:rsid w:val="5867429A"/>
    <w:rsid w:val="5874126F"/>
    <w:rsid w:val="588C5F3D"/>
    <w:rsid w:val="58935F61"/>
    <w:rsid w:val="58A91B3A"/>
    <w:rsid w:val="58AE6EA9"/>
    <w:rsid w:val="58C26A39"/>
    <w:rsid w:val="58CC3242"/>
    <w:rsid w:val="58D3540D"/>
    <w:rsid w:val="58F02A51"/>
    <w:rsid w:val="590A28F3"/>
    <w:rsid w:val="590D61BE"/>
    <w:rsid w:val="591B5518"/>
    <w:rsid w:val="591B5BE0"/>
    <w:rsid w:val="595C7BAF"/>
    <w:rsid w:val="597E2795"/>
    <w:rsid w:val="598967ED"/>
    <w:rsid w:val="59D80756"/>
    <w:rsid w:val="59E1335C"/>
    <w:rsid w:val="59E60CF1"/>
    <w:rsid w:val="59F049AA"/>
    <w:rsid w:val="59F23A5A"/>
    <w:rsid w:val="59FD35A0"/>
    <w:rsid w:val="5A004B1D"/>
    <w:rsid w:val="5A054729"/>
    <w:rsid w:val="5A343EE8"/>
    <w:rsid w:val="5A365686"/>
    <w:rsid w:val="5A4D52AE"/>
    <w:rsid w:val="5A545253"/>
    <w:rsid w:val="5A56288A"/>
    <w:rsid w:val="5A6032DC"/>
    <w:rsid w:val="5A7D5219"/>
    <w:rsid w:val="5A7D77F6"/>
    <w:rsid w:val="5A9E0A15"/>
    <w:rsid w:val="5AC04BE0"/>
    <w:rsid w:val="5ACD13FA"/>
    <w:rsid w:val="5AD97F9E"/>
    <w:rsid w:val="5AFA0A03"/>
    <w:rsid w:val="5AFE699F"/>
    <w:rsid w:val="5B0310D6"/>
    <w:rsid w:val="5B192DEE"/>
    <w:rsid w:val="5B2775FA"/>
    <w:rsid w:val="5B395408"/>
    <w:rsid w:val="5B413FAC"/>
    <w:rsid w:val="5B433C96"/>
    <w:rsid w:val="5B452DA1"/>
    <w:rsid w:val="5B5554C6"/>
    <w:rsid w:val="5B686F42"/>
    <w:rsid w:val="5B6A2AF7"/>
    <w:rsid w:val="5B7A6242"/>
    <w:rsid w:val="5B9047FE"/>
    <w:rsid w:val="5B9B61F0"/>
    <w:rsid w:val="5BAB0072"/>
    <w:rsid w:val="5BB223ED"/>
    <w:rsid w:val="5BB97AB4"/>
    <w:rsid w:val="5BC61FD9"/>
    <w:rsid w:val="5BE97737"/>
    <w:rsid w:val="5C0C44A9"/>
    <w:rsid w:val="5C317F92"/>
    <w:rsid w:val="5C4557EC"/>
    <w:rsid w:val="5C5821F1"/>
    <w:rsid w:val="5C6672E5"/>
    <w:rsid w:val="5C744D21"/>
    <w:rsid w:val="5C7B7858"/>
    <w:rsid w:val="5CC56E75"/>
    <w:rsid w:val="5CD01559"/>
    <w:rsid w:val="5CE13766"/>
    <w:rsid w:val="5CF2646E"/>
    <w:rsid w:val="5CF6138E"/>
    <w:rsid w:val="5D1E2AB4"/>
    <w:rsid w:val="5D2D1521"/>
    <w:rsid w:val="5D376861"/>
    <w:rsid w:val="5D3F1159"/>
    <w:rsid w:val="5D6949DA"/>
    <w:rsid w:val="5D8A5BAC"/>
    <w:rsid w:val="5DAA0DD0"/>
    <w:rsid w:val="5DAB6372"/>
    <w:rsid w:val="5DB72972"/>
    <w:rsid w:val="5DBB2E72"/>
    <w:rsid w:val="5DDA5831"/>
    <w:rsid w:val="5DDB64C0"/>
    <w:rsid w:val="5E054BE0"/>
    <w:rsid w:val="5E481E50"/>
    <w:rsid w:val="5E5F66C2"/>
    <w:rsid w:val="5E6C228C"/>
    <w:rsid w:val="5EAB402C"/>
    <w:rsid w:val="5EAE21CC"/>
    <w:rsid w:val="5EB474DB"/>
    <w:rsid w:val="5EB85C7F"/>
    <w:rsid w:val="5EBE63DF"/>
    <w:rsid w:val="5ED83434"/>
    <w:rsid w:val="5EEC1222"/>
    <w:rsid w:val="5EEE549B"/>
    <w:rsid w:val="5F020087"/>
    <w:rsid w:val="5F390B40"/>
    <w:rsid w:val="5F4B6847"/>
    <w:rsid w:val="5F4C6696"/>
    <w:rsid w:val="5F4E6765"/>
    <w:rsid w:val="5F4F47AB"/>
    <w:rsid w:val="5F582A09"/>
    <w:rsid w:val="5F5A2FAB"/>
    <w:rsid w:val="5F773641"/>
    <w:rsid w:val="5F7B2FB6"/>
    <w:rsid w:val="5F816729"/>
    <w:rsid w:val="5F931954"/>
    <w:rsid w:val="5FB446CA"/>
    <w:rsid w:val="5FC24139"/>
    <w:rsid w:val="5FCA2783"/>
    <w:rsid w:val="5FEE2228"/>
    <w:rsid w:val="60085866"/>
    <w:rsid w:val="6020524E"/>
    <w:rsid w:val="6025408D"/>
    <w:rsid w:val="60325A63"/>
    <w:rsid w:val="603E0C8F"/>
    <w:rsid w:val="606A66AB"/>
    <w:rsid w:val="60711731"/>
    <w:rsid w:val="60914698"/>
    <w:rsid w:val="60B315EE"/>
    <w:rsid w:val="60BA25DB"/>
    <w:rsid w:val="60EC2655"/>
    <w:rsid w:val="60EF563B"/>
    <w:rsid w:val="610B0DB2"/>
    <w:rsid w:val="610D5B74"/>
    <w:rsid w:val="612B163B"/>
    <w:rsid w:val="61422A43"/>
    <w:rsid w:val="6159168A"/>
    <w:rsid w:val="616445D5"/>
    <w:rsid w:val="61691F7C"/>
    <w:rsid w:val="61816AF1"/>
    <w:rsid w:val="6195018F"/>
    <w:rsid w:val="61AB7359"/>
    <w:rsid w:val="61CE7B5B"/>
    <w:rsid w:val="61CF0457"/>
    <w:rsid w:val="61D97858"/>
    <w:rsid w:val="61FA6094"/>
    <w:rsid w:val="62297D76"/>
    <w:rsid w:val="62311822"/>
    <w:rsid w:val="62440435"/>
    <w:rsid w:val="6251162E"/>
    <w:rsid w:val="629152E7"/>
    <w:rsid w:val="62A31324"/>
    <w:rsid w:val="62C33EF6"/>
    <w:rsid w:val="62D11B87"/>
    <w:rsid w:val="6337636D"/>
    <w:rsid w:val="63417CDF"/>
    <w:rsid w:val="634F76E9"/>
    <w:rsid w:val="635C65DE"/>
    <w:rsid w:val="6360769C"/>
    <w:rsid w:val="63754C08"/>
    <w:rsid w:val="63B5206E"/>
    <w:rsid w:val="63F7291E"/>
    <w:rsid w:val="64145741"/>
    <w:rsid w:val="64517ACC"/>
    <w:rsid w:val="645C23DF"/>
    <w:rsid w:val="645E384F"/>
    <w:rsid w:val="6463430C"/>
    <w:rsid w:val="649E5F8C"/>
    <w:rsid w:val="64AA08E2"/>
    <w:rsid w:val="64D939CE"/>
    <w:rsid w:val="64DE67DD"/>
    <w:rsid w:val="64EF0E72"/>
    <w:rsid w:val="65257558"/>
    <w:rsid w:val="655574D1"/>
    <w:rsid w:val="65571C99"/>
    <w:rsid w:val="65683ECC"/>
    <w:rsid w:val="656956C3"/>
    <w:rsid w:val="656D6044"/>
    <w:rsid w:val="65886D38"/>
    <w:rsid w:val="65905C8A"/>
    <w:rsid w:val="65A101C3"/>
    <w:rsid w:val="65B24FB1"/>
    <w:rsid w:val="65C14763"/>
    <w:rsid w:val="65C500A2"/>
    <w:rsid w:val="65DC64AD"/>
    <w:rsid w:val="65F82CE9"/>
    <w:rsid w:val="65FC2DA6"/>
    <w:rsid w:val="66186021"/>
    <w:rsid w:val="66281332"/>
    <w:rsid w:val="66344907"/>
    <w:rsid w:val="66426D2F"/>
    <w:rsid w:val="66732761"/>
    <w:rsid w:val="66807B4C"/>
    <w:rsid w:val="668858CB"/>
    <w:rsid w:val="668B2A9E"/>
    <w:rsid w:val="669237A3"/>
    <w:rsid w:val="66935AD8"/>
    <w:rsid w:val="66987B02"/>
    <w:rsid w:val="66A73FF2"/>
    <w:rsid w:val="66B9305E"/>
    <w:rsid w:val="66C34157"/>
    <w:rsid w:val="66CB519A"/>
    <w:rsid w:val="66DA5756"/>
    <w:rsid w:val="66DF5EC6"/>
    <w:rsid w:val="66E144FF"/>
    <w:rsid w:val="66F916AD"/>
    <w:rsid w:val="67031C03"/>
    <w:rsid w:val="67136C12"/>
    <w:rsid w:val="67220C03"/>
    <w:rsid w:val="6763453B"/>
    <w:rsid w:val="67655CD2"/>
    <w:rsid w:val="677428FD"/>
    <w:rsid w:val="677A59A6"/>
    <w:rsid w:val="677E0652"/>
    <w:rsid w:val="6781117B"/>
    <w:rsid w:val="678572B0"/>
    <w:rsid w:val="67B20602"/>
    <w:rsid w:val="67B942BA"/>
    <w:rsid w:val="67C92027"/>
    <w:rsid w:val="67CB36D3"/>
    <w:rsid w:val="67CE0D8B"/>
    <w:rsid w:val="67D0650A"/>
    <w:rsid w:val="67D143D7"/>
    <w:rsid w:val="67D21BA6"/>
    <w:rsid w:val="6818578B"/>
    <w:rsid w:val="68235528"/>
    <w:rsid w:val="68262975"/>
    <w:rsid w:val="685A3DC1"/>
    <w:rsid w:val="685E0A14"/>
    <w:rsid w:val="686D2B49"/>
    <w:rsid w:val="68731764"/>
    <w:rsid w:val="68796947"/>
    <w:rsid w:val="687E1DDD"/>
    <w:rsid w:val="6881066E"/>
    <w:rsid w:val="68893A0F"/>
    <w:rsid w:val="68A52228"/>
    <w:rsid w:val="68AF4A38"/>
    <w:rsid w:val="68C4655B"/>
    <w:rsid w:val="68CE4C17"/>
    <w:rsid w:val="68FD18CB"/>
    <w:rsid w:val="6901142F"/>
    <w:rsid w:val="69042DDB"/>
    <w:rsid w:val="690B6330"/>
    <w:rsid w:val="690C57A2"/>
    <w:rsid w:val="69196036"/>
    <w:rsid w:val="69231988"/>
    <w:rsid w:val="6958054F"/>
    <w:rsid w:val="6960006E"/>
    <w:rsid w:val="696133E6"/>
    <w:rsid w:val="698A6EEF"/>
    <w:rsid w:val="6990149A"/>
    <w:rsid w:val="69A00505"/>
    <w:rsid w:val="69A40D8B"/>
    <w:rsid w:val="69A50CA0"/>
    <w:rsid w:val="69A74DE6"/>
    <w:rsid w:val="69D4328E"/>
    <w:rsid w:val="69E241FB"/>
    <w:rsid w:val="69E403F2"/>
    <w:rsid w:val="69E941BE"/>
    <w:rsid w:val="69EE1B1F"/>
    <w:rsid w:val="6A062941"/>
    <w:rsid w:val="6A143082"/>
    <w:rsid w:val="6A48042D"/>
    <w:rsid w:val="6A5C248E"/>
    <w:rsid w:val="6A5F2C3D"/>
    <w:rsid w:val="6A7952B8"/>
    <w:rsid w:val="6A8242AC"/>
    <w:rsid w:val="6A832B89"/>
    <w:rsid w:val="6A916960"/>
    <w:rsid w:val="6A9C1358"/>
    <w:rsid w:val="6AAE0AD8"/>
    <w:rsid w:val="6ABB3C9E"/>
    <w:rsid w:val="6B4355EC"/>
    <w:rsid w:val="6B4C2A3C"/>
    <w:rsid w:val="6B59476B"/>
    <w:rsid w:val="6B6A5970"/>
    <w:rsid w:val="6B7F78A9"/>
    <w:rsid w:val="6B9340BC"/>
    <w:rsid w:val="6B950645"/>
    <w:rsid w:val="6BAE270C"/>
    <w:rsid w:val="6BCC7C23"/>
    <w:rsid w:val="6BE42C32"/>
    <w:rsid w:val="6BEE37AA"/>
    <w:rsid w:val="6BEE61C5"/>
    <w:rsid w:val="6BF30DC0"/>
    <w:rsid w:val="6BF42F12"/>
    <w:rsid w:val="6BF62A9E"/>
    <w:rsid w:val="6C164AAF"/>
    <w:rsid w:val="6C27446C"/>
    <w:rsid w:val="6C287C1A"/>
    <w:rsid w:val="6C40473F"/>
    <w:rsid w:val="6C577390"/>
    <w:rsid w:val="6C663651"/>
    <w:rsid w:val="6C66372C"/>
    <w:rsid w:val="6C683E63"/>
    <w:rsid w:val="6C770314"/>
    <w:rsid w:val="6C7D6AA9"/>
    <w:rsid w:val="6C826C97"/>
    <w:rsid w:val="6C966891"/>
    <w:rsid w:val="6CDA3D09"/>
    <w:rsid w:val="6CDD0F42"/>
    <w:rsid w:val="6D104503"/>
    <w:rsid w:val="6D21089D"/>
    <w:rsid w:val="6D2C3A37"/>
    <w:rsid w:val="6D332250"/>
    <w:rsid w:val="6D3D7041"/>
    <w:rsid w:val="6D4C06DB"/>
    <w:rsid w:val="6D6A5455"/>
    <w:rsid w:val="6D7901C9"/>
    <w:rsid w:val="6D96294B"/>
    <w:rsid w:val="6D9D72AF"/>
    <w:rsid w:val="6DA62267"/>
    <w:rsid w:val="6DBA6A6A"/>
    <w:rsid w:val="6DBF11AB"/>
    <w:rsid w:val="6DC00FA7"/>
    <w:rsid w:val="6DC543D9"/>
    <w:rsid w:val="6DE151FC"/>
    <w:rsid w:val="6DED5142"/>
    <w:rsid w:val="6E0A02F8"/>
    <w:rsid w:val="6E0B4459"/>
    <w:rsid w:val="6E255D76"/>
    <w:rsid w:val="6E2E7A35"/>
    <w:rsid w:val="6E347F90"/>
    <w:rsid w:val="6E6421BF"/>
    <w:rsid w:val="6E655707"/>
    <w:rsid w:val="6E78342A"/>
    <w:rsid w:val="6E820A94"/>
    <w:rsid w:val="6E9A27C3"/>
    <w:rsid w:val="6EB862D1"/>
    <w:rsid w:val="6EC425A0"/>
    <w:rsid w:val="6EE3511C"/>
    <w:rsid w:val="6EEB0E21"/>
    <w:rsid w:val="6F120EAC"/>
    <w:rsid w:val="6F124B7F"/>
    <w:rsid w:val="6F251F23"/>
    <w:rsid w:val="6F497173"/>
    <w:rsid w:val="6F5074CA"/>
    <w:rsid w:val="6F54601A"/>
    <w:rsid w:val="6F6A757E"/>
    <w:rsid w:val="6F914C34"/>
    <w:rsid w:val="6FA5763E"/>
    <w:rsid w:val="6FD07B0B"/>
    <w:rsid w:val="6FDF3C5D"/>
    <w:rsid w:val="6FE17168"/>
    <w:rsid w:val="6FEB001F"/>
    <w:rsid w:val="6FF01EB8"/>
    <w:rsid w:val="701410CA"/>
    <w:rsid w:val="7022118B"/>
    <w:rsid w:val="702C48A1"/>
    <w:rsid w:val="702D2F1C"/>
    <w:rsid w:val="7040034C"/>
    <w:rsid w:val="704A3F60"/>
    <w:rsid w:val="705309F1"/>
    <w:rsid w:val="70722205"/>
    <w:rsid w:val="708C3B35"/>
    <w:rsid w:val="7093137F"/>
    <w:rsid w:val="709C7098"/>
    <w:rsid w:val="70A014F7"/>
    <w:rsid w:val="70A34B07"/>
    <w:rsid w:val="70B24562"/>
    <w:rsid w:val="70BF320B"/>
    <w:rsid w:val="70C43424"/>
    <w:rsid w:val="70D84DF4"/>
    <w:rsid w:val="70E95C07"/>
    <w:rsid w:val="71057266"/>
    <w:rsid w:val="71155F80"/>
    <w:rsid w:val="711A7639"/>
    <w:rsid w:val="712B2190"/>
    <w:rsid w:val="71302843"/>
    <w:rsid w:val="71431202"/>
    <w:rsid w:val="716D67EA"/>
    <w:rsid w:val="717A213F"/>
    <w:rsid w:val="719967F7"/>
    <w:rsid w:val="71A1648C"/>
    <w:rsid w:val="71B03814"/>
    <w:rsid w:val="71B95B63"/>
    <w:rsid w:val="71D06143"/>
    <w:rsid w:val="71D11D25"/>
    <w:rsid w:val="71EB7E3B"/>
    <w:rsid w:val="71F10FBC"/>
    <w:rsid w:val="72011CFA"/>
    <w:rsid w:val="72012400"/>
    <w:rsid w:val="722917E6"/>
    <w:rsid w:val="72492C84"/>
    <w:rsid w:val="726067A7"/>
    <w:rsid w:val="7261727A"/>
    <w:rsid w:val="7265053B"/>
    <w:rsid w:val="726E690E"/>
    <w:rsid w:val="72806E7B"/>
    <w:rsid w:val="729255EB"/>
    <w:rsid w:val="72A0676A"/>
    <w:rsid w:val="72A81DCC"/>
    <w:rsid w:val="72B07445"/>
    <w:rsid w:val="72B65828"/>
    <w:rsid w:val="72BF0390"/>
    <w:rsid w:val="72C45C3B"/>
    <w:rsid w:val="72CE5013"/>
    <w:rsid w:val="72DB4ED3"/>
    <w:rsid w:val="72F94033"/>
    <w:rsid w:val="732868B6"/>
    <w:rsid w:val="732D654D"/>
    <w:rsid w:val="735156E8"/>
    <w:rsid w:val="735E7989"/>
    <w:rsid w:val="738B62C6"/>
    <w:rsid w:val="73913A60"/>
    <w:rsid w:val="7394371C"/>
    <w:rsid w:val="73BE6AEB"/>
    <w:rsid w:val="73C939DF"/>
    <w:rsid w:val="73D414D7"/>
    <w:rsid w:val="73D567F8"/>
    <w:rsid w:val="73DD5E04"/>
    <w:rsid w:val="73F15EF1"/>
    <w:rsid w:val="740817B6"/>
    <w:rsid w:val="74147B26"/>
    <w:rsid w:val="74250C61"/>
    <w:rsid w:val="743B1556"/>
    <w:rsid w:val="74412088"/>
    <w:rsid w:val="744B5241"/>
    <w:rsid w:val="74556F0C"/>
    <w:rsid w:val="746078C8"/>
    <w:rsid w:val="746B05EA"/>
    <w:rsid w:val="746D2F0D"/>
    <w:rsid w:val="74823DDB"/>
    <w:rsid w:val="749A3E82"/>
    <w:rsid w:val="74A622C8"/>
    <w:rsid w:val="74BB1231"/>
    <w:rsid w:val="74DE51C9"/>
    <w:rsid w:val="74EF2216"/>
    <w:rsid w:val="74F108E5"/>
    <w:rsid w:val="750C2436"/>
    <w:rsid w:val="75241FEA"/>
    <w:rsid w:val="754616E0"/>
    <w:rsid w:val="75530563"/>
    <w:rsid w:val="75684486"/>
    <w:rsid w:val="757A4300"/>
    <w:rsid w:val="75815E06"/>
    <w:rsid w:val="75B52AEA"/>
    <w:rsid w:val="75D91027"/>
    <w:rsid w:val="75F50E7A"/>
    <w:rsid w:val="76404C02"/>
    <w:rsid w:val="765100FB"/>
    <w:rsid w:val="767713CA"/>
    <w:rsid w:val="76803277"/>
    <w:rsid w:val="7682346D"/>
    <w:rsid w:val="768858FE"/>
    <w:rsid w:val="76AF7C96"/>
    <w:rsid w:val="76B455F0"/>
    <w:rsid w:val="76BC2670"/>
    <w:rsid w:val="76C349DA"/>
    <w:rsid w:val="76CA36DA"/>
    <w:rsid w:val="76EE3BF7"/>
    <w:rsid w:val="76F0114A"/>
    <w:rsid w:val="77026791"/>
    <w:rsid w:val="770359F6"/>
    <w:rsid w:val="77047ECD"/>
    <w:rsid w:val="776B2BAB"/>
    <w:rsid w:val="77730730"/>
    <w:rsid w:val="77894EA4"/>
    <w:rsid w:val="77947849"/>
    <w:rsid w:val="779B731E"/>
    <w:rsid w:val="77A57782"/>
    <w:rsid w:val="77C85050"/>
    <w:rsid w:val="77C90F34"/>
    <w:rsid w:val="77CD4BBB"/>
    <w:rsid w:val="77D32439"/>
    <w:rsid w:val="77E14B43"/>
    <w:rsid w:val="77EF185F"/>
    <w:rsid w:val="77FA77FE"/>
    <w:rsid w:val="78003158"/>
    <w:rsid w:val="7803118B"/>
    <w:rsid w:val="78090AE4"/>
    <w:rsid w:val="78193C86"/>
    <w:rsid w:val="78231FC2"/>
    <w:rsid w:val="78320529"/>
    <w:rsid w:val="78355FC5"/>
    <w:rsid w:val="783D7B3A"/>
    <w:rsid w:val="784E79E4"/>
    <w:rsid w:val="78540B83"/>
    <w:rsid w:val="78565E9A"/>
    <w:rsid w:val="788A03B6"/>
    <w:rsid w:val="7894069F"/>
    <w:rsid w:val="78945291"/>
    <w:rsid w:val="789E20B4"/>
    <w:rsid w:val="78A83B83"/>
    <w:rsid w:val="78C35FCB"/>
    <w:rsid w:val="78CC46A0"/>
    <w:rsid w:val="78E2000A"/>
    <w:rsid w:val="78F5472C"/>
    <w:rsid w:val="790C34C1"/>
    <w:rsid w:val="79344461"/>
    <w:rsid w:val="794B50EC"/>
    <w:rsid w:val="796227F3"/>
    <w:rsid w:val="796B4C3B"/>
    <w:rsid w:val="79733540"/>
    <w:rsid w:val="79B74681"/>
    <w:rsid w:val="79BF57AC"/>
    <w:rsid w:val="79CC1253"/>
    <w:rsid w:val="79D73C2D"/>
    <w:rsid w:val="79D824DE"/>
    <w:rsid w:val="79DC15C5"/>
    <w:rsid w:val="79DD7AA2"/>
    <w:rsid w:val="7A10506B"/>
    <w:rsid w:val="7A2E3F33"/>
    <w:rsid w:val="7A3877A6"/>
    <w:rsid w:val="7A73796F"/>
    <w:rsid w:val="7A7C1295"/>
    <w:rsid w:val="7A873404"/>
    <w:rsid w:val="7A9D28AF"/>
    <w:rsid w:val="7AA6452C"/>
    <w:rsid w:val="7AA97179"/>
    <w:rsid w:val="7AC74A17"/>
    <w:rsid w:val="7AD324E9"/>
    <w:rsid w:val="7B000E04"/>
    <w:rsid w:val="7B147309"/>
    <w:rsid w:val="7B160627"/>
    <w:rsid w:val="7B326080"/>
    <w:rsid w:val="7B377FD8"/>
    <w:rsid w:val="7B4A70B9"/>
    <w:rsid w:val="7B5443B9"/>
    <w:rsid w:val="7B6A15E8"/>
    <w:rsid w:val="7B6F48C5"/>
    <w:rsid w:val="7B7441F7"/>
    <w:rsid w:val="7B772161"/>
    <w:rsid w:val="7B9C3E1D"/>
    <w:rsid w:val="7BA14395"/>
    <w:rsid w:val="7BAD500E"/>
    <w:rsid w:val="7BC30895"/>
    <w:rsid w:val="7BCE5969"/>
    <w:rsid w:val="7BD6264B"/>
    <w:rsid w:val="7BDD01BE"/>
    <w:rsid w:val="7BDF3455"/>
    <w:rsid w:val="7BF1419F"/>
    <w:rsid w:val="7C035742"/>
    <w:rsid w:val="7C1E641E"/>
    <w:rsid w:val="7C320C8D"/>
    <w:rsid w:val="7C4F6657"/>
    <w:rsid w:val="7C6243F3"/>
    <w:rsid w:val="7C7338C2"/>
    <w:rsid w:val="7C8F7391"/>
    <w:rsid w:val="7CB04D90"/>
    <w:rsid w:val="7CB1081D"/>
    <w:rsid w:val="7CC0720B"/>
    <w:rsid w:val="7CC13495"/>
    <w:rsid w:val="7CCF5538"/>
    <w:rsid w:val="7CFE1495"/>
    <w:rsid w:val="7D241356"/>
    <w:rsid w:val="7D2A56C4"/>
    <w:rsid w:val="7D32620E"/>
    <w:rsid w:val="7D5A67E0"/>
    <w:rsid w:val="7D850AA3"/>
    <w:rsid w:val="7DBA1836"/>
    <w:rsid w:val="7DC201C4"/>
    <w:rsid w:val="7DE60C7C"/>
    <w:rsid w:val="7DF05C26"/>
    <w:rsid w:val="7E447DA6"/>
    <w:rsid w:val="7E451646"/>
    <w:rsid w:val="7E4B5A30"/>
    <w:rsid w:val="7E4D7934"/>
    <w:rsid w:val="7E58374B"/>
    <w:rsid w:val="7E6B6D6B"/>
    <w:rsid w:val="7EA157FE"/>
    <w:rsid w:val="7ED05DA2"/>
    <w:rsid w:val="7EF11B19"/>
    <w:rsid w:val="7F005385"/>
    <w:rsid w:val="7F290AD8"/>
    <w:rsid w:val="7F335E4B"/>
    <w:rsid w:val="7F477EAB"/>
    <w:rsid w:val="7F4C1C2C"/>
    <w:rsid w:val="7F995086"/>
    <w:rsid w:val="7FC07A41"/>
    <w:rsid w:val="7FD5469B"/>
    <w:rsid w:val="7FDA7E75"/>
    <w:rsid w:val="7FDD2B39"/>
    <w:rsid w:val="7FEC7757"/>
    <w:rsid w:val="7FEE558B"/>
    <w:rsid w:val="7FFC5142"/>
    <w:rsid w:val="7FFD2FE8"/>
    <w:rsid w:val="7FFF61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3">
    <w:name w:val="heading 1"/>
    <w:basedOn w:val="1"/>
    <w:next w:val="1"/>
    <w:link w:val="38"/>
    <w:qFormat/>
    <w:uiPriority w:val="0"/>
    <w:pPr>
      <w:keepNext/>
      <w:keepLines/>
      <w:spacing w:before="340" w:after="330" w:line="578" w:lineRule="atLeast"/>
      <w:outlineLvl w:val="0"/>
    </w:pPr>
    <w:rPr>
      <w:b/>
      <w:bCs/>
      <w:kern w:val="44"/>
      <w:sz w:val="44"/>
      <w:szCs w:val="44"/>
    </w:rPr>
  </w:style>
  <w:style w:type="paragraph" w:styleId="4">
    <w:name w:val="heading 2"/>
    <w:basedOn w:val="1"/>
    <w:next w:val="1"/>
    <w:qFormat/>
    <w:uiPriority w:val="0"/>
    <w:pPr>
      <w:keepNext/>
      <w:keepLines/>
      <w:spacing w:before="260" w:after="260" w:line="416" w:lineRule="atLeast"/>
      <w:outlineLvl w:val="1"/>
    </w:pPr>
    <w:rPr>
      <w:rFonts w:ascii="Arial" w:hAnsi="Arial" w:eastAsia="黑体"/>
      <w:b/>
      <w:bCs/>
      <w:sz w:val="32"/>
      <w:szCs w:val="32"/>
    </w:rPr>
  </w:style>
  <w:style w:type="paragraph" w:styleId="5">
    <w:name w:val="heading 4"/>
    <w:basedOn w:val="1"/>
    <w:next w:val="1"/>
    <w:link w:val="39"/>
    <w:qFormat/>
    <w:uiPriority w:val="0"/>
    <w:pPr>
      <w:keepNext/>
      <w:keepLines/>
      <w:adjustRightInd/>
      <w:spacing w:line="480" w:lineRule="auto"/>
      <w:jc w:val="both"/>
      <w:textAlignment w:val="auto"/>
      <w:outlineLvl w:val="3"/>
    </w:pPr>
    <w:rPr>
      <w:rFonts w:ascii="Arial" w:hAnsi="Arial" w:cs="Arial"/>
      <w:bCs/>
      <w:kern w:val="2"/>
      <w:sz w:val="28"/>
      <w:szCs w:val="28"/>
    </w:rPr>
  </w:style>
  <w:style w:type="paragraph" w:styleId="6">
    <w:name w:val="heading 6"/>
    <w:basedOn w:val="1"/>
    <w:next w:val="1"/>
    <w:qFormat/>
    <w:uiPriority w:val="0"/>
    <w:pPr>
      <w:keepNext/>
      <w:keepLines/>
      <w:spacing w:before="240" w:after="64" w:line="320" w:lineRule="auto"/>
      <w:outlineLvl w:val="5"/>
    </w:pPr>
    <w:rPr>
      <w:rFonts w:ascii="Cambria" w:hAnsi="Cambria"/>
      <w:b/>
      <w:bCs/>
      <w:szCs w:val="24"/>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semiHidden/>
    <w:qFormat/>
    <w:uiPriority w:val="0"/>
    <w:pPr>
      <w:ind w:left="420" w:leftChars="200"/>
    </w:pPr>
  </w:style>
  <w:style w:type="paragraph" w:styleId="7">
    <w:name w:val="Normal Indent"/>
    <w:basedOn w:val="1"/>
    <w:qFormat/>
    <w:uiPriority w:val="0"/>
    <w:pPr>
      <w:adjustRightInd/>
      <w:spacing w:line="240" w:lineRule="auto"/>
      <w:ind w:firstLine="420" w:firstLineChars="200"/>
      <w:jc w:val="both"/>
      <w:textAlignment w:val="auto"/>
    </w:pPr>
    <w:rPr>
      <w:kern w:val="2"/>
      <w:sz w:val="21"/>
      <w:szCs w:val="24"/>
    </w:rPr>
  </w:style>
  <w:style w:type="paragraph" w:styleId="8">
    <w:name w:val="caption"/>
    <w:basedOn w:val="1"/>
    <w:next w:val="1"/>
    <w:unhideWhenUsed/>
    <w:qFormat/>
    <w:uiPriority w:val="0"/>
    <w:pPr>
      <w:keepLines/>
      <w:spacing w:before="100" w:beforeAutospacing="1" w:after="100" w:afterAutospacing="1" w:line="400" w:lineRule="exact"/>
      <w:jc w:val="center"/>
    </w:pPr>
    <w:rPr>
      <w:b/>
    </w:rPr>
  </w:style>
  <w:style w:type="paragraph" w:styleId="9">
    <w:name w:val="Document Map"/>
    <w:basedOn w:val="1"/>
    <w:semiHidden/>
    <w:qFormat/>
    <w:uiPriority w:val="0"/>
    <w:pPr>
      <w:shd w:val="clear" w:color="auto" w:fill="000080"/>
    </w:pPr>
  </w:style>
  <w:style w:type="paragraph" w:styleId="10">
    <w:name w:val="annotation text"/>
    <w:basedOn w:val="1"/>
    <w:link w:val="40"/>
    <w:qFormat/>
    <w:uiPriority w:val="0"/>
  </w:style>
  <w:style w:type="paragraph" w:styleId="11">
    <w:name w:val="Body Text"/>
    <w:basedOn w:val="1"/>
    <w:qFormat/>
    <w:uiPriority w:val="0"/>
    <w:pPr>
      <w:spacing w:after="120"/>
    </w:pPr>
  </w:style>
  <w:style w:type="paragraph" w:styleId="12">
    <w:name w:val="Body Text Indent"/>
    <w:basedOn w:val="1"/>
    <w:qFormat/>
    <w:uiPriority w:val="0"/>
    <w:pPr>
      <w:spacing w:line="400" w:lineRule="atLeast"/>
      <w:ind w:firstLine="510"/>
    </w:pPr>
  </w:style>
  <w:style w:type="paragraph" w:styleId="13">
    <w:name w:val="Plain Text"/>
    <w:basedOn w:val="1"/>
    <w:qFormat/>
    <w:uiPriority w:val="0"/>
    <w:rPr>
      <w:rFonts w:ascii="宋体" w:hAnsi="Courier New" w:cs="Courier New"/>
      <w:szCs w:val="21"/>
    </w:rPr>
  </w:style>
  <w:style w:type="paragraph" w:styleId="14">
    <w:name w:val="Body Text Indent 2"/>
    <w:basedOn w:val="1"/>
    <w:unhideWhenUsed/>
    <w:qFormat/>
    <w:uiPriority w:val="0"/>
    <w:pPr>
      <w:spacing w:line="800" w:lineRule="exact"/>
      <w:ind w:firstLine="598" w:firstLineChars="187"/>
    </w:pPr>
    <w:rPr>
      <w:rFonts w:eastAsia="方正仿宋简体"/>
      <w:sz w:val="32"/>
    </w:rPr>
  </w:style>
  <w:style w:type="paragraph" w:styleId="15">
    <w:name w:val="Balloon Text"/>
    <w:basedOn w:val="1"/>
    <w:link w:val="41"/>
    <w:qFormat/>
    <w:uiPriority w:val="0"/>
    <w:pPr>
      <w:spacing w:line="240" w:lineRule="auto"/>
    </w:pPr>
    <w:rPr>
      <w:sz w:val="18"/>
      <w:szCs w:val="18"/>
    </w:rPr>
  </w:style>
  <w:style w:type="paragraph" w:styleId="16">
    <w:name w:val="footer"/>
    <w:basedOn w:val="1"/>
    <w:link w:val="42"/>
    <w:qFormat/>
    <w:uiPriority w:val="99"/>
    <w:pPr>
      <w:tabs>
        <w:tab w:val="center" w:pos="4153"/>
        <w:tab w:val="right" w:pos="8306"/>
      </w:tabs>
      <w:snapToGrid w:val="0"/>
      <w:spacing w:line="240" w:lineRule="atLeast"/>
    </w:pPr>
    <w:rPr>
      <w:sz w:val="18"/>
      <w:szCs w:val="18"/>
    </w:rPr>
  </w:style>
  <w:style w:type="paragraph" w:styleId="17">
    <w:name w:val="header"/>
    <w:basedOn w:val="1"/>
    <w:link w:val="43"/>
    <w:qFormat/>
    <w:uiPriority w:val="0"/>
    <w:pPr>
      <w:pBdr>
        <w:bottom w:val="thinThickSmallGap" w:color="auto" w:sz="24" w:space="1"/>
      </w:pBdr>
      <w:tabs>
        <w:tab w:val="center" w:pos="4153"/>
        <w:tab w:val="right" w:pos="8306"/>
      </w:tabs>
      <w:spacing w:line="240" w:lineRule="atLeast"/>
      <w:jc w:val="center"/>
    </w:pPr>
    <w:rPr>
      <w:sz w:val="18"/>
    </w:rPr>
  </w:style>
  <w:style w:type="paragraph" w:styleId="18">
    <w:name w:val="toc 1"/>
    <w:basedOn w:val="1"/>
    <w:next w:val="1"/>
    <w:qFormat/>
    <w:uiPriority w:val="0"/>
    <w:pPr>
      <w:spacing w:before="120" w:after="120"/>
    </w:pPr>
    <w:rPr>
      <w:b/>
      <w:caps/>
      <w:sz w:val="20"/>
    </w:rPr>
  </w:style>
  <w:style w:type="paragraph" w:styleId="19">
    <w:name w:val="Normal (Web)"/>
    <w:basedOn w:val="1"/>
    <w:qFormat/>
    <w:uiPriority w:val="0"/>
    <w:pPr>
      <w:widowControl/>
      <w:adjustRightInd/>
      <w:spacing w:before="100" w:beforeAutospacing="1" w:after="100" w:afterAutospacing="1" w:line="240" w:lineRule="auto"/>
      <w:textAlignment w:val="auto"/>
    </w:pPr>
    <w:rPr>
      <w:rFonts w:ascii="宋体" w:hAnsi="宋体" w:cs="宋体"/>
      <w:szCs w:val="24"/>
    </w:rPr>
  </w:style>
  <w:style w:type="paragraph" w:styleId="20">
    <w:name w:val="annotation subject"/>
    <w:basedOn w:val="10"/>
    <w:next w:val="10"/>
    <w:link w:val="44"/>
    <w:qFormat/>
    <w:uiPriority w:val="0"/>
    <w:rPr>
      <w:b/>
      <w:bCs/>
    </w:rPr>
  </w:style>
  <w:style w:type="paragraph" w:styleId="21">
    <w:name w:val="Body Text First Indent"/>
    <w:basedOn w:val="11"/>
    <w:link w:val="45"/>
    <w:qFormat/>
    <w:uiPriority w:val="0"/>
    <w:pPr>
      <w:adjustRightInd/>
      <w:spacing w:line="360" w:lineRule="auto"/>
      <w:ind w:firstLine="420" w:firstLineChars="100"/>
      <w:jc w:val="both"/>
      <w:textAlignment w:val="auto"/>
    </w:pPr>
    <w:rPr>
      <w:rFonts w:ascii="Arial" w:hAnsi="Arial" w:cs="Arial"/>
      <w:kern w:val="2"/>
      <w:sz w:val="28"/>
      <w:szCs w:val="28"/>
    </w:rPr>
  </w:style>
  <w:style w:type="paragraph" w:styleId="22">
    <w:name w:val="Body Text First Indent 2"/>
    <w:basedOn w:val="12"/>
    <w:qFormat/>
    <w:uiPriority w:val="99"/>
    <w:pPr>
      <w:spacing w:after="120"/>
      <w:ind w:left="420" w:leftChars="200" w:firstLine="420" w:firstLineChars="200"/>
      <w:jc w:val="both"/>
    </w:pPr>
    <w:rPr>
      <w:kern w:val="2"/>
      <w:sz w:val="21"/>
      <w:szCs w:val="24"/>
    </w:rPr>
  </w:style>
  <w:style w:type="table" w:styleId="24">
    <w:name w:val="Table Grid"/>
    <w:basedOn w:val="23"/>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bCs/>
    </w:rPr>
  </w:style>
  <w:style w:type="character" w:styleId="27">
    <w:name w:val="page number"/>
    <w:basedOn w:val="25"/>
    <w:qFormat/>
    <w:uiPriority w:val="0"/>
  </w:style>
  <w:style w:type="character" w:styleId="28">
    <w:name w:val="FollowedHyperlink"/>
    <w:basedOn w:val="25"/>
    <w:qFormat/>
    <w:uiPriority w:val="0"/>
    <w:rPr>
      <w:color w:val="338DE6"/>
      <w:u w:val="none"/>
    </w:rPr>
  </w:style>
  <w:style w:type="character" w:styleId="29">
    <w:name w:val="Emphasis"/>
    <w:basedOn w:val="25"/>
    <w:qFormat/>
    <w:uiPriority w:val="0"/>
  </w:style>
  <w:style w:type="character" w:styleId="30">
    <w:name w:val="HTML Definition"/>
    <w:basedOn w:val="25"/>
    <w:qFormat/>
    <w:uiPriority w:val="0"/>
  </w:style>
  <w:style w:type="character" w:styleId="31">
    <w:name w:val="HTML Variable"/>
    <w:basedOn w:val="25"/>
    <w:qFormat/>
    <w:uiPriority w:val="0"/>
  </w:style>
  <w:style w:type="character" w:styleId="32">
    <w:name w:val="Hyperlink"/>
    <w:basedOn w:val="25"/>
    <w:qFormat/>
    <w:uiPriority w:val="0"/>
    <w:rPr>
      <w:color w:val="338DE6"/>
      <w:u w:val="none"/>
    </w:rPr>
  </w:style>
  <w:style w:type="character" w:styleId="33">
    <w:name w:val="HTML Code"/>
    <w:basedOn w:val="25"/>
    <w:qFormat/>
    <w:uiPriority w:val="0"/>
    <w:rPr>
      <w:rFonts w:ascii="serif" w:hAnsi="serif" w:eastAsia="serif" w:cs="serif"/>
      <w:sz w:val="21"/>
      <w:szCs w:val="21"/>
    </w:rPr>
  </w:style>
  <w:style w:type="character" w:styleId="34">
    <w:name w:val="annotation reference"/>
    <w:qFormat/>
    <w:uiPriority w:val="0"/>
    <w:rPr>
      <w:sz w:val="21"/>
      <w:szCs w:val="21"/>
    </w:rPr>
  </w:style>
  <w:style w:type="character" w:styleId="35">
    <w:name w:val="HTML Cite"/>
    <w:basedOn w:val="25"/>
    <w:qFormat/>
    <w:uiPriority w:val="0"/>
  </w:style>
  <w:style w:type="character" w:styleId="36">
    <w:name w:val="HTML Keyboard"/>
    <w:basedOn w:val="25"/>
    <w:qFormat/>
    <w:uiPriority w:val="0"/>
    <w:rPr>
      <w:rFonts w:hint="default" w:ascii="serif" w:hAnsi="serif" w:eastAsia="serif" w:cs="serif"/>
      <w:sz w:val="21"/>
      <w:szCs w:val="21"/>
    </w:rPr>
  </w:style>
  <w:style w:type="character" w:styleId="37">
    <w:name w:val="HTML Sample"/>
    <w:basedOn w:val="25"/>
    <w:qFormat/>
    <w:uiPriority w:val="0"/>
    <w:rPr>
      <w:rFonts w:hint="default" w:ascii="serif" w:hAnsi="serif" w:eastAsia="serif" w:cs="serif"/>
      <w:sz w:val="21"/>
      <w:szCs w:val="21"/>
    </w:rPr>
  </w:style>
  <w:style w:type="character" w:customStyle="1" w:styleId="38">
    <w:name w:val="标题 1 字符"/>
    <w:link w:val="3"/>
    <w:qFormat/>
    <w:uiPriority w:val="0"/>
    <w:rPr>
      <w:rFonts w:eastAsia="宋体"/>
      <w:b/>
      <w:bCs/>
      <w:kern w:val="44"/>
      <w:sz w:val="44"/>
      <w:szCs w:val="44"/>
      <w:lang w:val="en-US" w:eastAsia="zh-CN" w:bidi="ar-SA"/>
    </w:rPr>
  </w:style>
  <w:style w:type="character" w:customStyle="1" w:styleId="39">
    <w:name w:val="标题 4 字符"/>
    <w:link w:val="5"/>
    <w:qFormat/>
    <w:uiPriority w:val="0"/>
    <w:rPr>
      <w:rFonts w:ascii="Arial" w:hAnsi="Arial" w:eastAsia="宋体" w:cs="Arial"/>
      <w:bCs/>
      <w:kern w:val="2"/>
      <w:sz w:val="28"/>
      <w:szCs w:val="28"/>
      <w:lang w:val="en-US" w:eastAsia="zh-CN" w:bidi="ar-SA"/>
    </w:rPr>
  </w:style>
  <w:style w:type="character" w:customStyle="1" w:styleId="40">
    <w:name w:val="批注文字 字符"/>
    <w:link w:val="10"/>
    <w:qFormat/>
    <w:uiPriority w:val="0"/>
    <w:rPr>
      <w:sz w:val="24"/>
    </w:rPr>
  </w:style>
  <w:style w:type="character" w:customStyle="1" w:styleId="41">
    <w:name w:val="批注框文本 字符"/>
    <w:link w:val="15"/>
    <w:qFormat/>
    <w:uiPriority w:val="0"/>
    <w:rPr>
      <w:sz w:val="18"/>
      <w:szCs w:val="18"/>
    </w:rPr>
  </w:style>
  <w:style w:type="character" w:customStyle="1" w:styleId="42">
    <w:name w:val="页脚 字符"/>
    <w:link w:val="16"/>
    <w:qFormat/>
    <w:uiPriority w:val="99"/>
    <w:rPr>
      <w:sz w:val="18"/>
      <w:szCs w:val="18"/>
    </w:rPr>
  </w:style>
  <w:style w:type="character" w:customStyle="1" w:styleId="43">
    <w:name w:val="页眉 字符"/>
    <w:link w:val="17"/>
    <w:qFormat/>
    <w:uiPriority w:val="0"/>
    <w:rPr>
      <w:rFonts w:eastAsia="宋体"/>
      <w:sz w:val="18"/>
      <w:lang w:val="en-US" w:eastAsia="zh-CN" w:bidi="ar-SA"/>
    </w:rPr>
  </w:style>
  <w:style w:type="character" w:customStyle="1" w:styleId="44">
    <w:name w:val="批注主题 字符"/>
    <w:link w:val="20"/>
    <w:qFormat/>
    <w:uiPriority w:val="0"/>
    <w:rPr>
      <w:b/>
      <w:bCs/>
      <w:sz w:val="24"/>
    </w:rPr>
  </w:style>
  <w:style w:type="character" w:customStyle="1" w:styleId="45">
    <w:name w:val="正文文本首行缩进 字符"/>
    <w:link w:val="21"/>
    <w:qFormat/>
    <w:uiPriority w:val="0"/>
    <w:rPr>
      <w:rFonts w:ascii="Arial" w:hAnsi="Arial" w:eastAsia="宋体" w:cs="Arial"/>
      <w:kern w:val="2"/>
      <w:sz w:val="28"/>
      <w:szCs w:val="28"/>
      <w:lang w:val="en-US" w:eastAsia="zh-CN" w:bidi="ar-SA"/>
    </w:rPr>
  </w:style>
  <w:style w:type="character" w:customStyle="1" w:styleId="46">
    <w:name w:val="正文(首行缩进2字） Char"/>
    <w:link w:val="47"/>
    <w:qFormat/>
    <w:uiPriority w:val="0"/>
    <w:rPr>
      <w:rFonts w:ascii="Arial" w:hAnsi="Arial" w:eastAsia="宋体" w:cs="Arial"/>
      <w:kern w:val="2"/>
      <w:sz w:val="24"/>
      <w:szCs w:val="28"/>
      <w:lang w:val="en-US" w:eastAsia="zh-CN" w:bidi="ar-SA"/>
    </w:rPr>
  </w:style>
  <w:style w:type="paragraph" w:customStyle="1" w:styleId="47">
    <w:name w:val="正文(首行缩进2字）"/>
    <w:basedOn w:val="1"/>
    <w:link w:val="46"/>
    <w:qFormat/>
    <w:uiPriority w:val="0"/>
    <w:pPr>
      <w:adjustRightInd/>
      <w:spacing w:line="480" w:lineRule="exact"/>
      <w:ind w:firstLine="200" w:firstLineChars="200"/>
      <w:jc w:val="both"/>
      <w:textAlignment w:val="auto"/>
    </w:pPr>
    <w:rPr>
      <w:rFonts w:ascii="Arial" w:hAnsi="Arial" w:cs="Arial"/>
      <w:kern w:val="2"/>
      <w:szCs w:val="28"/>
    </w:rPr>
  </w:style>
  <w:style w:type="character" w:customStyle="1" w:styleId="48">
    <w:name w:val="A4页眉 Char1"/>
    <w:qFormat/>
    <w:uiPriority w:val="0"/>
    <w:rPr>
      <w:kern w:val="2"/>
      <w:sz w:val="18"/>
      <w:szCs w:val="18"/>
    </w:rPr>
  </w:style>
  <w:style w:type="character" w:customStyle="1" w:styleId="49">
    <w:name w:val="Char正文 Char"/>
    <w:link w:val="50"/>
    <w:qFormat/>
    <w:uiPriority w:val="0"/>
    <w:rPr>
      <w:rFonts w:eastAsia="宋体"/>
      <w:kern w:val="2"/>
      <w:sz w:val="24"/>
      <w:szCs w:val="24"/>
      <w:lang w:val="en-US" w:eastAsia="zh-CN" w:bidi="ar-SA"/>
    </w:rPr>
  </w:style>
  <w:style w:type="paragraph" w:customStyle="1" w:styleId="50">
    <w:name w:val="Char正文"/>
    <w:basedOn w:val="1"/>
    <w:link w:val="49"/>
    <w:qFormat/>
    <w:uiPriority w:val="0"/>
    <w:pPr>
      <w:adjustRightInd/>
      <w:spacing w:line="400" w:lineRule="exact"/>
      <w:ind w:firstLine="200" w:firstLineChars="200"/>
      <w:jc w:val="both"/>
      <w:textAlignment w:val="auto"/>
    </w:pPr>
    <w:rPr>
      <w:kern w:val="2"/>
      <w:szCs w:val="24"/>
    </w:rPr>
  </w:style>
  <w:style w:type="character" w:customStyle="1" w:styleId="51">
    <w:name w:val="font51"/>
    <w:qFormat/>
    <w:uiPriority w:val="0"/>
    <w:rPr>
      <w:rFonts w:hint="eastAsia" w:ascii="宋体" w:hAnsi="宋体" w:eastAsia="宋体" w:cs="宋体"/>
      <w:color w:val="auto"/>
      <w:sz w:val="22"/>
      <w:szCs w:val="22"/>
      <w:u w:val="none"/>
    </w:rPr>
  </w:style>
  <w:style w:type="character" w:customStyle="1" w:styleId="52">
    <w:name w:val="px14"/>
    <w:basedOn w:val="25"/>
    <w:qFormat/>
    <w:uiPriority w:val="0"/>
  </w:style>
  <w:style w:type="character" w:customStyle="1" w:styleId="53">
    <w:name w:val="样式 正文段落宋体 Char"/>
    <w:link w:val="54"/>
    <w:qFormat/>
    <w:uiPriority w:val="0"/>
    <w:rPr>
      <w:rFonts w:ascii="宋体" w:hAnsi="宋体" w:eastAsia="宋体" w:cs="Arial"/>
      <w:kern w:val="2"/>
      <w:sz w:val="28"/>
      <w:lang w:val="en-US" w:eastAsia="zh-CN" w:bidi="ar-SA"/>
    </w:rPr>
  </w:style>
  <w:style w:type="paragraph" w:customStyle="1" w:styleId="54">
    <w:name w:val="样式 正文段落宋体"/>
    <w:basedOn w:val="1"/>
    <w:link w:val="53"/>
    <w:qFormat/>
    <w:uiPriority w:val="0"/>
    <w:pPr>
      <w:adjustRightInd/>
      <w:spacing w:line="360" w:lineRule="auto"/>
      <w:ind w:firstLine="200" w:firstLineChars="200"/>
      <w:jc w:val="both"/>
      <w:textAlignment w:val="auto"/>
    </w:pPr>
    <w:rPr>
      <w:rFonts w:ascii="宋体" w:hAnsi="宋体" w:cs="Arial"/>
      <w:kern w:val="2"/>
      <w:sz w:val="28"/>
    </w:rPr>
  </w:style>
  <w:style w:type="character" w:customStyle="1" w:styleId="55">
    <w:name w:val="font01"/>
    <w:qFormat/>
    <w:uiPriority w:val="0"/>
    <w:rPr>
      <w:rFonts w:hint="eastAsia" w:ascii="宋体" w:hAnsi="宋体" w:eastAsia="宋体" w:cs="宋体"/>
      <w:color w:val="000000"/>
      <w:sz w:val="20"/>
      <w:szCs w:val="20"/>
      <w:u w:val="none"/>
    </w:rPr>
  </w:style>
  <w:style w:type="character" w:customStyle="1" w:styleId="56">
    <w:name w:val="font61"/>
    <w:qFormat/>
    <w:uiPriority w:val="0"/>
    <w:rPr>
      <w:rFonts w:hint="default" w:ascii="Times New Roman" w:hAnsi="Times New Roman" w:cs="Times New Roman"/>
      <w:color w:val="000000"/>
      <w:sz w:val="21"/>
      <w:szCs w:val="21"/>
      <w:u w:val="none"/>
      <w:vertAlign w:val="superscript"/>
    </w:rPr>
  </w:style>
  <w:style w:type="character" w:customStyle="1" w:styleId="57">
    <w:name w:val="font21"/>
    <w:qFormat/>
    <w:uiPriority w:val="0"/>
    <w:rPr>
      <w:rFonts w:hint="default" w:ascii="Times New Roman" w:hAnsi="Times New Roman" w:cs="Times New Roman"/>
      <w:color w:val="000000"/>
      <w:sz w:val="21"/>
      <w:szCs w:val="21"/>
      <w:u w:val="none"/>
    </w:rPr>
  </w:style>
  <w:style w:type="character" w:customStyle="1" w:styleId="58">
    <w:name w:val="long正文 Char"/>
    <w:link w:val="59"/>
    <w:qFormat/>
    <w:uiPriority w:val="0"/>
    <w:rPr>
      <w:rFonts w:eastAsia="宋体"/>
      <w:snapToGrid w:val="0"/>
      <w:sz w:val="24"/>
      <w:szCs w:val="24"/>
      <w:lang w:val="en-GB" w:eastAsia="zh-CN" w:bidi="ar-SA"/>
    </w:rPr>
  </w:style>
  <w:style w:type="paragraph" w:customStyle="1" w:styleId="59">
    <w:name w:val="long正文"/>
    <w:basedOn w:val="1"/>
    <w:link w:val="58"/>
    <w:qFormat/>
    <w:uiPriority w:val="0"/>
    <w:pPr>
      <w:overflowPunct w:val="0"/>
      <w:adjustRightInd/>
      <w:spacing w:line="360" w:lineRule="auto"/>
      <w:ind w:firstLine="480" w:firstLineChars="200"/>
      <w:jc w:val="both"/>
      <w:textAlignment w:val="auto"/>
    </w:pPr>
    <w:rPr>
      <w:snapToGrid w:val="0"/>
      <w:szCs w:val="24"/>
      <w:lang w:val="en-GB"/>
    </w:rPr>
  </w:style>
  <w:style w:type="character" w:customStyle="1" w:styleId="60">
    <w:name w:val="表格 宋体 五号 Char"/>
    <w:link w:val="61"/>
    <w:qFormat/>
    <w:uiPriority w:val="0"/>
    <w:rPr>
      <w:rFonts w:ascii="宋体" w:hAnsi="宋体" w:eastAsia="宋体"/>
      <w:sz w:val="21"/>
      <w:szCs w:val="21"/>
      <w:lang w:bidi="ar-SA"/>
    </w:rPr>
  </w:style>
  <w:style w:type="paragraph" w:customStyle="1" w:styleId="61">
    <w:name w:val="表格 宋体 五号"/>
    <w:basedOn w:val="1"/>
    <w:link w:val="60"/>
    <w:qFormat/>
    <w:uiPriority w:val="0"/>
    <w:pPr>
      <w:adjustRightInd/>
      <w:spacing w:line="240" w:lineRule="auto"/>
      <w:jc w:val="center"/>
      <w:textAlignment w:val="auto"/>
    </w:pPr>
    <w:rPr>
      <w:rFonts w:ascii="宋体" w:hAnsi="宋体"/>
      <w:sz w:val="21"/>
      <w:szCs w:val="21"/>
    </w:rPr>
  </w:style>
  <w:style w:type="character" w:customStyle="1" w:styleId="62">
    <w:name w:val="font31"/>
    <w:qFormat/>
    <w:uiPriority w:val="0"/>
    <w:rPr>
      <w:rFonts w:hint="eastAsia" w:ascii="宋体" w:hAnsi="宋体" w:eastAsia="宋体" w:cs="宋体"/>
      <w:color w:val="000000"/>
      <w:sz w:val="21"/>
      <w:szCs w:val="21"/>
      <w:u w:val="none"/>
    </w:rPr>
  </w:style>
  <w:style w:type="character" w:customStyle="1" w:styleId="63">
    <w:name w:val="方案正文 Char"/>
    <w:link w:val="64"/>
    <w:qFormat/>
    <w:uiPriority w:val="0"/>
    <w:rPr>
      <w:sz w:val="28"/>
      <w:szCs w:val="24"/>
      <w:lang w:bidi="ar-SA"/>
    </w:rPr>
  </w:style>
  <w:style w:type="paragraph" w:customStyle="1" w:styleId="64">
    <w:name w:val="方案正文"/>
    <w:basedOn w:val="1"/>
    <w:link w:val="63"/>
    <w:qFormat/>
    <w:uiPriority w:val="0"/>
    <w:pPr>
      <w:adjustRightInd/>
      <w:spacing w:line="240" w:lineRule="auto"/>
      <w:ind w:firstLine="560" w:firstLineChars="200"/>
      <w:jc w:val="both"/>
      <w:textAlignment w:val="auto"/>
    </w:pPr>
    <w:rPr>
      <w:sz w:val="28"/>
      <w:szCs w:val="24"/>
    </w:rPr>
  </w:style>
  <w:style w:type="character" w:customStyle="1" w:styleId="65">
    <w:name w:val="表头 Char Char"/>
    <w:link w:val="66"/>
    <w:qFormat/>
    <w:uiPriority w:val="0"/>
    <w:rPr>
      <w:rFonts w:ascii="Arial" w:hAnsi="Arial" w:eastAsia="Times New Roman"/>
      <w:b/>
      <w:sz w:val="24"/>
      <w:lang w:val="en-US" w:eastAsia="zh-CN" w:bidi="ar-SA"/>
    </w:rPr>
  </w:style>
  <w:style w:type="paragraph" w:customStyle="1" w:styleId="66">
    <w:name w:val="表头"/>
    <w:next w:val="1"/>
    <w:link w:val="65"/>
    <w:qFormat/>
    <w:uiPriority w:val="0"/>
    <w:pPr>
      <w:spacing w:line="480" w:lineRule="exact"/>
      <w:jc w:val="center"/>
    </w:pPr>
    <w:rPr>
      <w:rFonts w:ascii="Arial" w:hAnsi="Arial" w:eastAsia="Times New Roman" w:cs="Times New Roman"/>
      <w:b/>
      <w:sz w:val="24"/>
      <w:lang w:val="en-US" w:eastAsia="zh-CN" w:bidi="ar-SA"/>
    </w:rPr>
  </w:style>
  <w:style w:type="character" w:customStyle="1" w:styleId="67">
    <w:name w:val="Char Char13"/>
    <w:qFormat/>
    <w:uiPriority w:val="0"/>
    <w:rPr>
      <w:kern w:val="2"/>
      <w:sz w:val="18"/>
      <w:szCs w:val="18"/>
    </w:rPr>
  </w:style>
  <w:style w:type="character" w:customStyle="1" w:styleId="68">
    <w:name w:val="表号 Char1"/>
    <w:link w:val="69"/>
    <w:qFormat/>
    <w:uiPriority w:val="0"/>
    <w:rPr>
      <w:rFonts w:ascii="Arial" w:hAnsi="Arial" w:eastAsia="Times New Roman"/>
      <w:sz w:val="23"/>
      <w:lang w:val="en-US" w:eastAsia="zh-CN" w:bidi="ar-SA"/>
    </w:rPr>
  </w:style>
  <w:style w:type="paragraph" w:customStyle="1" w:styleId="69">
    <w:name w:val="表号"/>
    <w:link w:val="68"/>
    <w:qFormat/>
    <w:uiPriority w:val="0"/>
    <w:pPr>
      <w:adjustRightInd w:val="0"/>
      <w:snapToGrid w:val="0"/>
      <w:spacing w:line="480" w:lineRule="exact"/>
      <w:jc w:val="right"/>
    </w:pPr>
    <w:rPr>
      <w:rFonts w:ascii="Arial" w:hAnsi="Arial" w:eastAsia="Times New Roman" w:cs="Times New Roman"/>
      <w:sz w:val="23"/>
      <w:lang w:val="en-US" w:eastAsia="zh-CN" w:bidi="ar-SA"/>
    </w:rPr>
  </w:style>
  <w:style w:type="character" w:customStyle="1" w:styleId="70">
    <w:name w:val="表标题2 Char"/>
    <w:link w:val="71"/>
    <w:qFormat/>
    <w:uiPriority w:val="0"/>
    <w:rPr>
      <w:rFonts w:ascii="Arial" w:hAnsi="Arial" w:eastAsia="宋体" w:cs="Arial"/>
      <w:b/>
      <w:kern w:val="2"/>
      <w:sz w:val="24"/>
      <w:szCs w:val="22"/>
      <w:lang w:val="en-US" w:eastAsia="zh-CN" w:bidi="ar-SA"/>
    </w:rPr>
  </w:style>
  <w:style w:type="paragraph" w:customStyle="1" w:styleId="71">
    <w:name w:val="表标题2"/>
    <w:basedOn w:val="1"/>
    <w:link w:val="70"/>
    <w:qFormat/>
    <w:uiPriority w:val="0"/>
    <w:pPr>
      <w:widowControl/>
      <w:adjustRightInd/>
      <w:spacing w:line="360" w:lineRule="auto"/>
      <w:ind w:firstLine="200" w:firstLineChars="200"/>
      <w:jc w:val="both"/>
      <w:textAlignment w:val="auto"/>
    </w:pPr>
    <w:rPr>
      <w:rFonts w:ascii="Arial" w:hAnsi="Arial" w:cs="Arial"/>
      <w:b/>
      <w:kern w:val="2"/>
      <w:szCs w:val="22"/>
    </w:rPr>
  </w:style>
  <w:style w:type="character" w:customStyle="1" w:styleId="72">
    <w:name w:val="正文000 Char"/>
    <w:link w:val="73"/>
    <w:qFormat/>
    <w:uiPriority w:val="0"/>
    <w:rPr>
      <w:rFonts w:eastAsia="宋体"/>
      <w:kern w:val="2"/>
      <w:sz w:val="24"/>
      <w:szCs w:val="22"/>
      <w:lang w:val="en-US" w:eastAsia="zh-CN" w:bidi="ar-SA"/>
    </w:rPr>
  </w:style>
  <w:style w:type="paragraph" w:customStyle="1" w:styleId="73">
    <w:name w:val="正文000"/>
    <w:basedOn w:val="74"/>
    <w:next w:val="1"/>
    <w:link w:val="72"/>
    <w:qFormat/>
    <w:uiPriority w:val="0"/>
    <w:pPr>
      <w:widowControl/>
    </w:pPr>
    <w:rPr>
      <w:szCs w:val="22"/>
    </w:rPr>
  </w:style>
  <w:style w:type="paragraph" w:customStyle="1" w:styleId="74">
    <w:name w:val="正文1"/>
    <w:basedOn w:val="1"/>
    <w:link w:val="75"/>
    <w:qFormat/>
    <w:uiPriority w:val="0"/>
    <w:pPr>
      <w:adjustRightInd/>
      <w:spacing w:line="360" w:lineRule="auto"/>
      <w:ind w:firstLine="480" w:firstLineChars="200"/>
      <w:jc w:val="both"/>
      <w:textAlignment w:val="auto"/>
    </w:pPr>
    <w:rPr>
      <w:kern w:val="2"/>
      <w:szCs w:val="24"/>
    </w:rPr>
  </w:style>
  <w:style w:type="character" w:customStyle="1" w:styleId="75">
    <w:name w:val="正文1 Char"/>
    <w:link w:val="74"/>
    <w:qFormat/>
    <w:uiPriority w:val="0"/>
    <w:rPr>
      <w:rFonts w:eastAsia="宋体"/>
      <w:kern w:val="2"/>
      <w:sz w:val="24"/>
      <w:szCs w:val="24"/>
      <w:lang w:bidi="ar-SA"/>
    </w:rPr>
  </w:style>
  <w:style w:type="character" w:customStyle="1" w:styleId="76">
    <w:name w:val="表格字体 Char"/>
    <w:link w:val="77"/>
    <w:qFormat/>
    <w:uiPriority w:val="0"/>
    <w:rPr>
      <w:rFonts w:ascii="Arial" w:hAnsi="Arial"/>
      <w:kern w:val="2"/>
      <w:sz w:val="21"/>
      <w:szCs w:val="21"/>
      <w:lang w:val="en-US" w:eastAsia="zh-CN" w:bidi="ar-SA"/>
    </w:rPr>
  </w:style>
  <w:style w:type="paragraph" w:customStyle="1" w:styleId="77">
    <w:name w:val="表格字体"/>
    <w:next w:val="1"/>
    <w:link w:val="76"/>
    <w:qFormat/>
    <w:uiPriority w:val="0"/>
    <w:pPr>
      <w:jc w:val="center"/>
    </w:pPr>
    <w:rPr>
      <w:rFonts w:ascii="Arial" w:hAnsi="Arial" w:eastAsia="宋体" w:cs="Times New Roman"/>
      <w:kern w:val="2"/>
      <w:sz w:val="21"/>
      <w:szCs w:val="21"/>
      <w:lang w:val="en-US" w:eastAsia="zh-CN" w:bidi="ar-SA"/>
    </w:rPr>
  </w:style>
  <w:style w:type="character" w:customStyle="1" w:styleId="78">
    <w:name w:val="font41"/>
    <w:qFormat/>
    <w:uiPriority w:val="0"/>
    <w:rPr>
      <w:rFonts w:hint="eastAsia" w:ascii="宋体" w:hAnsi="宋体" w:eastAsia="宋体" w:cs="宋体"/>
      <w:color w:val="000000"/>
      <w:sz w:val="21"/>
      <w:szCs w:val="21"/>
      <w:u w:val="none"/>
    </w:rPr>
  </w:style>
  <w:style w:type="character" w:customStyle="1" w:styleId="79">
    <w:name w:val="表（或图）标题 样式 宋体 五号 居中 SL CON Char"/>
    <w:link w:val="80"/>
    <w:qFormat/>
    <w:locked/>
    <w:uiPriority w:val="0"/>
    <w:rPr>
      <w:rFonts w:ascii="宋体" w:hAnsi="宋体" w:eastAsia="宋体" w:cs="宋体"/>
      <w:b/>
      <w:sz w:val="21"/>
      <w:lang w:val="en-US" w:eastAsia="zh-CN" w:bidi="ar-SA"/>
    </w:rPr>
  </w:style>
  <w:style w:type="paragraph" w:customStyle="1" w:styleId="80">
    <w:name w:val="表（或图）标题 样式 宋体 五号 居中 SL CON"/>
    <w:basedOn w:val="1"/>
    <w:link w:val="79"/>
    <w:qFormat/>
    <w:uiPriority w:val="0"/>
    <w:pPr>
      <w:widowControl/>
      <w:tabs>
        <w:tab w:val="left" w:pos="377"/>
      </w:tabs>
      <w:adjustRightInd/>
      <w:spacing w:before="100" w:beforeAutospacing="1" w:line="360" w:lineRule="auto"/>
      <w:jc w:val="center"/>
      <w:textAlignment w:val="auto"/>
    </w:pPr>
    <w:rPr>
      <w:rFonts w:ascii="宋体" w:hAnsi="宋体" w:cs="宋体"/>
      <w:b/>
      <w:sz w:val="21"/>
    </w:rPr>
  </w:style>
  <w:style w:type="character" w:customStyle="1" w:styleId="81">
    <w:name w:val="正文（首行缩进） Char"/>
    <w:link w:val="82"/>
    <w:qFormat/>
    <w:uiPriority w:val="0"/>
    <w:rPr>
      <w:rFonts w:eastAsia="宋体"/>
      <w:kern w:val="2"/>
      <w:sz w:val="28"/>
      <w:szCs w:val="24"/>
      <w:lang w:val="zh-CN" w:eastAsia="zh-CN" w:bidi="ar-SA"/>
    </w:rPr>
  </w:style>
  <w:style w:type="paragraph" w:customStyle="1" w:styleId="82">
    <w:name w:val="正文（首行缩进）"/>
    <w:basedOn w:val="21"/>
    <w:link w:val="81"/>
    <w:qFormat/>
    <w:uiPriority w:val="0"/>
    <w:pPr>
      <w:ind w:firstLine="560" w:firstLineChars="200"/>
      <w:jc w:val="left"/>
    </w:pPr>
    <w:rPr>
      <w:rFonts w:ascii="Times New Roman" w:hAnsi="Times New Roman" w:cs="Times New Roman"/>
      <w:szCs w:val="24"/>
      <w:lang w:val="zh-CN"/>
    </w:rPr>
  </w:style>
  <w:style w:type="character" w:customStyle="1" w:styleId="83">
    <w:name w:val="font71"/>
    <w:qFormat/>
    <w:uiPriority w:val="0"/>
    <w:rPr>
      <w:rFonts w:ascii="仿宋" w:hAnsi="仿宋" w:eastAsia="仿宋" w:cs="仿宋"/>
      <w:color w:val="000000"/>
      <w:sz w:val="20"/>
      <w:szCs w:val="20"/>
      <w:u w:val="none"/>
    </w:rPr>
  </w:style>
  <w:style w:type="character" w:customStyle="1" w:styleId="84">
    <w:name w:val="font11"/>
    <w:qFormat/>
    <w:uiPriority w:val="0"/>
    <w:rPr>
      <w:rFonts w:hint="default" w:ascii="Times New Roman" w:hAnsi="Times New Roman" w:cs="Times New Roman"/>
      <w:color w:val="000000"/>
      <w:sz w:val="21"/>
      <w:szCs w:val="21"/>
      <w:u w:val="none"/>
    </w:rPr>
  </w:style>
  <w:style w:type="paragraph" w:customStyle="1" w:styleId="85">
    <w:name w:val="Char"/>
    <w:basedOn w:val="1"/>
    <w:qFormat/>
    <w:uiPriority w:val="0"/>
    <w:pPr>
      <w:adjustRightInd/>
      <w:spacing w:line="240" w:lineRule="auto"/>
      <w:jc w:val="both"/>
      <w:textAlignment w:val="auto"/>
    </w:pPr>
    <w:rPr>
      <w:kern w:val="2"/>
      <w:sz w:val="21"/>
      <w:szCs w:val="24"/>
    </w:rPr>
  </w:style>
  <w:style w:type="paragraph" w:customStyle="1" w:styleId="86">
    <w:name w:val="样式 正文11 + 首行缩进:  2 字符"/>
    <w:basedOn w:val="1"/>
    <w:qFormat/>
    <w:uiPriority w:val="0"/>
    <w:pPr>
      <w:spacing w:line="500" w:lineRule="exact"/>
      <w:ind w:firstLine="560" w:firstLineChars="200"/>
    </w:pPr>
    <w:rPr>
      <w:rFonts w:ascii="宋体" w:hAnsi="宋体" w:cs="宋体"/>
      <w:color w:val="FF0000"/>
      <w:sz w:val="28"/>
    </w:rPr>
  </w:style>
  <w:style w:type="paragraph" w:customStyle="1" w:styleId="87">
    <w:name w:val="Char Char Char Char"/>
    <w:basedOn w:val="1"/>
    <w:qFormat/>
    <w:uiPriority w:val="0"/>
    <w:pPr>
      <w:adjustRightInd/>
      <w:spacing w:line="240" w:lineRule="auto"/>
      <w:jc w:val="both"/>
      <w:textAlignment w:val="auto"/>
    </w:pPr>
    <w:rPr>
      <w:kern w:val="2"/>
      <w:sz w:val="21"/>
    </w:rPr>
  </w:style>
  <w:style w:type="paragraph" w:customStyle="1" w:styleId="88">
    <w:name w:val="表格"/>
    <w:basedOn w:val="1"/>
    <w:qFormat/>
    <w:uiPriority w:val="0"/>
    <w:pPr>
      <w:widowControl/>
      <w:spacing w:line="240" w:lineRule="auto"/>
      <w:jc w:val="center"/>
    </w:pPr>
    <w:rPr>
      <w:color w:val="000000"/>
      <w:sz w:val="21"/>
      <w:szCs w:val="24"/>
    </w:rPr>
  </w:style>
  <w:style w:type="paragraph" w:customStyle="1" w:styleId="89">
    <w:name w:val="样式 首行缩进:  2 字符"/>
    <w:basedOn w:val="1"/>
    <w:qFormat/>
    <w:uiPriority w:val="0"/>
    <w:pPr>
      <w:spacing w:line="460" w:lineRule="exact"/>
      <w:ind w:firstLine="200" w:firstLineChars="200"/>
    </w:pPr>
    <w:rPr>
      <w:rFonts w:cs="宋体"/>
      <w:spacing w:val="8"/>
      <w:szCs w:val="24"/>
    </w:rPr>
  </w:style>
  <w:style w:type="paragraph" w:customStyle="1" w:styleId="90">
    <w:name w:val="LL-表格"/>
    <w:basedOn w:val="12"/>
    <w:qFormat/>
    <w:uiPriority w:val="0"/>
    <w:pPr>
      <w:snapToGrid w:val="0"/>
      <w:spacing w:line="400" w:lineRule="exact"/>
      <w:ind w:firstLine="0"/>
      <w:jc w:val="center"/>
      <w:textAlignment w:val="auto"/>
    </w:pPr>
    <w:rPr>
      <w:rFonts w:ascii="宋体" w:hAnsi="宋体"/>
      <w:kern w:val="2"/>
      <w:sz w:val="21"/>
      <w:szCs w:val="21"/>
    </w:rPr>
  </w:style>
  <w:style w:type="paragraph" w:customStyle="1" w:styleId="91">
    <w:name w:val="水保"/>
    <w:basedOn w:val="1"/>
    <w:qFormat/>
    <w:uiPriority w:val="0"/>
    <w:pPr>
      <w:spacing w:line="400" w:lineRule="exact"/>
      <w:ind w:firstLine="200" w:firstLineChars="200"/>
    </w:pPr>
  </w:style>
  <w:style w:type="paragraph" w:customStyle="1" w:styleId="92">
    <w:name w:val="表格文字内容"/>
    <w:basedOn w:val="1"/>
    <w:qFormat/>
    <w:uiPriority w:val="0"/>
    <w:pPr>
      <w:keepNext/>
      <w:keepLines/>
      <w:tabs>
        <w:tab w:val="left" w:pos="1404"/>
      </w:tabs>
      <w:snapToGrid w:val="0"/>
      <w:spacing w:line="240" w:lineRule="auto"/>
      <w:jc w:val="center"/>
      <w:textAlignment w:val="auto"/>
      <w:outlineLvl w:val="5"/>
    </w:pPr>
    <w:rPr>
      <w:bCs/>
      <w:kern w:val="2"/>
      <w:sz w:val="21"/>
      <w:szCs w:val="28"/>
    </w:rPr>
  </w:style>
  <w:style w:type="paragraph" w:customStyle="1" w:styleId="93">
    <w:name w:val="表格标题"/>
    <w:basedOn w:val="8"/>
    <w:qFormat/>
    <w:uiPriority w:val="0"/>
    <w:rPr>
      <w:szCs w:val="21"/>
    </w:rPr>
  </w:style>
  <w:style w:type="paragraph" w:customStyle="1" w:styleId="94">
    <w:name w:val="样式3"/>
    <w:basedOn w:val="1"/>
    <w:qFormat/>
    <w:uiPriority w:val="0"/>
    <w:pPr>
      <w:spacing w:line="360" w:lineRule="auto"/>
      <w:ind w:firstLine="200" w:firstLineChars="200"/>
    </w:pPr>
  </w:style>
  <w:style w:type="paragraph" w:customStyle="1" w:styleId="95">
    <w:name w:val="样式 标题 3 SL CON + 段前: 0.5 行"/>
    <w:basedOn w:val="1"/>
    <w:qFormat/>
    <w:uiPriority w:val="0"/>
    <w:pPr>
      <w:keepNext/>
      <w:keepLines/>
      <w:widowControl/>
      <w:tabs>
        <w:tab w:val="left" w:pos="377"/>
        <w:tab w:val="left" w:pos="1034"/>
      </w:tabs>
      <w:adjustRightInd/>
      <w:spacing w:before="100" w:beforeAutospacing="1" w:line="360" w:lineRule="auto"/>
      <w:ind w:left="1034" w:hanging="794"/>
      <w:jc w:val="both"/>
      <w:textAlignment w:val="auto"/>
      <w:outlineLvl w:val="2"/>
    </w:pPr>
    <w:rPr>
      <w:rFonts w:ascii="黑体" w:eastAsia="黑体" w:cs="宋体"/>
      <w:bCs/>
      <w:sz w:val="28"/>
    </w:rPr>
  </w:style>
  <w:style w:type="paragraph" w:customStyle="1" w:styleId="96">
    <w:name w:val="表文字"/>
    <w:qFormat/>
    <w:uiPriority w:val="0"/>
    <w:pPr>
      <w:spacing w:line="440" w:lineRule="exact"/>
      <w:jc w:val="center"/>
    </w:pPr>
    <w:rPr>
      <w:rFonts w:ascii="Arial" w:hAnsi="Arial" w:eastAsia="宋体" w:cs="Arial"/>
      <w:sz w:val="23"/>
      <w:lang w:val="en-US" w:eastAsia="zh-CN" w:bidi="ar-SA"/>
    </w:rPr>
  </w:style>
  <w:style w:type="paragraph" w:customStyle="1" w:styleId="97">
    <w:name w:val="默认段落字体 Para Char"/>
    <w:basedOn w:val="1"/>
    <w:next w:val="1"/>
    <w:qFormat/>
    <w:uiPriority w:val="0"/>
    <w:pPr>
      <w:adjustRightInd/>
      <w:spacing w:line="360" w:lineRule="auto"/>
      <w:ind w:firstLine="200" w:firstLineChars="200"/>
      <w:jc w:val="both"/>
      <w:textAlignment w:val="auto"/>
    </w:pPr>
    <w:rPr>
      <w:rFonts w:ascii="宋体" w:hAnsi="宋体" w:cs="宋体"/>
      <w:kern w:val="2"/>
      <w:szCs w:val="24"/>
    </w:rPr>
  </w:style>
  <w:style w:type="paragraph" w:customStyle="1" w:styleId="98">
    <w:name w:val="地质报告正文"/>
    <w:basedOn w:val="1"/>
    <w:qFormat/>
    <w:uiPriority w:val="0"/>
    <w:pPr>
      <w:adjustRightInd/>
      <w:spacing w:line="240" w:lineRule="auto"/>
      <w:ind w:firstLine="200" w:firstLineChars="200"/>
      <w:jc w:val="both"/>
      <w:textAlignment w:val="auto"/>
    </w:pPr>
    <w:rPr>
      <w:kern w:val="2"/>
      <w:sz w:val="28"/>
      <w:szCs w:val="24"/>
    </w:rPr>
  </w:style>
  <w:style w:type="paragraph" w:customStyle="1" w:styleId="99">
    <w:name w:val="Table Paragraph"/>
    <w:basedOn w:val="1"/>
    <w:qFormat/>
    <w:uiPriority w:val="1"/>
    <w:pPr>
      <w:jc w:val="center"/>
    </w:pPr>
    <w:rPr>
      <w:rFonts w:ascii="Noto Sans Mono CJK JP Regular" w:hAnsi="Noto Sans Mono CJK JP Regular" w:eastAsia="Noto Sans Mono CJK JP Regular" w:cs="Noto Sans Mono CJK JP Regular"/>
    </w:rPr>
  </w:style>
  <w:style w:type="paragraph" w:customStyle="1" w:styleId="100">
    <w:name w:val="表格（居中）"/>
    <w:next w:val="1"/>
    <w:semiHidden/>
    <w:qFormat/>
    <w:uiPriority w:val="0"/>
    <w:pPr>
      <w:spacing w:line="0" w:lineRule="atLeast"/>
      <w:jc w:val="center"/>
    </w:pPr>
    <w:rPr>
      <w:rFonts w:ascii="Times New Roman" w:hAnsi="Times New Roman" w:eastAsia="仿宋_GB2312" w:cs="宋体"/>
      <w:kern w:val="2"/>
      <w:sz w:val="21"/>
      <w:lang w:val="en-US" w:eastAsia="zh-CN" w:bidi="ar-SA"/>
    </w:rPr>
  </w:style>
  <w:style w:type="paragraph" w:customStyle="1" w:styleId="101">
    <w:name w:val="报告正文"/>
    <w:basedOn w:val="1"/>
    <w:qFormat/>
    <w:uiPriority w:val="99"/>
    <w:pPr>
      <w:spacing w:line="520" w:lineRule="atLeast"/>
      <w:ind w:firstLine="200" w:firstLineChars="200"/>
      <w:jc w:val="both"/>
    </w:pPr>
    <w:rPr>
      <w:rFonts w:ascii="Arial" w:hAnsi="Arial"/>
      <w:sz w:val="28"/>
      <w:szCs w:val="28"/>
    </w:rPr>
  </w:style>
  <w:style w:type="paragraph" w:customStyle="1" w:styleId="102">
    <w:name w:val="样式1"/>
    <w:basedOn w:val="11"/>
    <w:next w:val="1"/>
    <w:qFormat/>
    <w:uiPriority w:val="0"/>
    <w:pPr>
      <w:tabs>
        <w:tab w:val="center" w:pos="4153"/>
        <w:tab w:val="right" w:pos="8306"/>
      </w:tabs>
      <w:spacing w:line="360" w:lineRule="auto"/>
      <w:jc w:val="center"/>
    </w:pPr>
    <w:rPr>
      <w:rFonts w:ascii="宋体" w:hAnsi="宋体"/>
      <w:sz w:val="18"/>
      <w:szCs w:val="18"/>
    </w:rPr>
  </w:style>
  <w:style w:type="paragraph" w:customStyle="1" w:styleId="103">
    <w:name w:val="表格内容"/>
    <w:basedOn w:val="1"/>
    <w:qFormat/>
    <w:uiPriority w:val="0"/>
    <w:pPr>
      <w:jc w:val="center"/>
    </w:pPr>
    <w:rPr>
      <w:sz w:val="21"/>
    </w:rPr>
  </w:style>
  <w:style w:type="paragraph" w:customStyle="1" w:styleId="104">
    <w:name w:val="样式 四号 行距: 1.5 倍行距"/>
    <w:basedOn w:val="1"/>
    <w:qFormat/>
    <w:uiPriority w:val="0"/>
    <w:pPr>
      <w:spacing w:line="360" w:lineRule="auto"/>
      <w:ind w:firstLine="560" w:firstLineChars="200"/>
    </w:pPr>
    <w:rPr>
      <w:rFonts w:cs="宋体"/>
    </w:rPr>
  </w:style>
  <w:style w:type="paragraph" w:customStyle="1" w:styleId="105">
    <w:name w:val="Char Char Char2 Char Char Char Char Char Char Char Char Char Char Char Char Char"/>
    <w:basedOn w:val="1"/>
    <w:qFormat/>
    <w:uiPriority w:val="0"/>
    <w:pPr>
      <w:adjustRightInd/>
      <w:spacing w:line="240" w:lineRule="auto"/>
      <w:jc w:val="both"/>
      <w:textAlignment w:val="auto"/>
    </w:pPr>
    <w:rPr>
      <w:kern w:val="2"/>
      <w:sz w:val="28"/>
      <w:szCs w:val="28"/>
    </w:rPr>
  </w:style>
  <w:style w:type="paragraph" w:customStyle="1" w:styleId="106">
    <w:name w:val="LL-正文"/>
    <w:qFormat/>
    <w:uiPriority w:val="0"/>
    <w:pPr>
      <w:widowControl w:val="0"/>
      <w:adjustRightInd w:val="0"/>
      <w:snapToGrid w:val="0"/>
      <w:spacing w:line="500" w:lineRule="exact"/>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107">
    <w:name w:val="fontstrikethrough"/>
    <w:basedOn w:val="25"/>
    <w:qFormat/>
    <w:uiPriority w:val="0"/>
    <w:rPr>
      <w:strike/>
    </w:rPr>
  </w:style>
  <w:style w:type="character" w:customStyle="1" w:styleId="108">
    <w:name w:val="fontborder"/>
    <w:basedOn w:val="25"/>
    <w:qFormat/>
    <w:uiPriority w:val="0"/>
    <w:rPr>
      <w:bdr w:val="single" w:color="000000" w:sz="6" w:space="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11.jpeg"/><Relationship Id="rId43" Type="http://schemas.openxmlformats.org/officeDocument/2006/relationships/image" Target="media/image10.jpeg"/><Relationship Id="rId42" Type="http://schemas.openxmlformats.org/officeDocument/2006/relationships/image" Target="media/image9.png"/><Relationship Id="rId41" Type="http://schemas.openxmlformats.org/officeDocument/2006/relationships/image" Target="media/image8.png"/><Relationship Id="rId40" Type="http://schemas.openxmlformats.org/officeDocument/2006/relationships/chart" Target="charts/chart2.xml"/><Relationship Id="rId4" Type="http://schemas.openxmlformats.org/officeDocument/2006/relationships/endnotes" Target="endnotes.xml"/><Relationship Id="rId39" Type="http://schemas.openxmlformats.org/officeDocument/2006/relationships/chart" Target="charts/chart1.xml"/><Relationship Id="rId38" Type="http://schemas.openxmlformats.org/officeDocument/2006/relationships/image" Target="media/image7.wmf"/><Relationship Id="rId37" Type="http://schemas.openxmlformats.org/officeDocument/2006/relationships/oleObject" Target="embeddings/oleObject2.bin"/><Relationship Id="rId36" Type="http://schemas.openxmlformats.org/officeDocument/2006/relationships/image" Target="media/image6.wmf"/><Relationship Id="rId35" Type="http://schemas.openxmlformats.org/officeDocument/2006/relationships/oleObject" Target="embeddings/oleObject1.bin"/><Relationship Id="rId34" Type="http://schemas.openxmlformats.org/officeDocument/2006/relationships/image" Target="media/image5.png"/><Relationship Id="rId33" Type="http://schemas.openxmlformats.org/officeDocument/2006/relationships/image" Target="media/image4.jpeg"/><Relationship Id="rId32" Type="http://schemas.openxmlformats.org/officeDocument/2006/relationships/image" Target="media/image3.jpeg"/><Relationship Id="rId31" Type="http://schemas.openxmlformats.org/officeDocument/2006/relationships/image" Target="media/image2.jpeg"/><Relationship Id="rId30" Type="http://schemas.openxmlformats.org/officeDocument/2006/relationships/image" Target="media/image1.jpeg"/><Relationship Id="rId3" Type="http://schemas.openxmlformats.org/officeDocument/2006/relationships/footnotes" Target="footnotes.xml"/><Relationship Id="rId29" Type="http://schemas.openxmlformats.org/officeDocument/2006/relationships/theme" Target="theme/theme1.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施工期新增</c:v>
                </c:pt>
                <c:pt idx="1">
                  <c:v>自然恢复期新增</c:v>
                </c:pt>
              </c:strCache>
            </c:strRef>
          </c:cat>
          <c:val>
            <c:numRef>
              <c:f>Sheet1!$B$2:$B$3</c:f>
              <c:numCache>
                <c:formatCode>General</c:formatCode>
                <c:ptCount val="2"/>
                <c:pt idx="0">
                  <c:v>69.67</c:v>
                </c:pt>
                <c:pt idx="1">
                  <c:v>5.91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不同部位新增土壤流失量</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建筑物区</c:v>
                </c:pt>
              </c:strCache>
            </c:strRef>
          </c:tx>
          <c:spPr>
            <a:solidFill>
              <a:schemeClr val="accent1"/>
            </a:solidFill>
            <a:ln>
              <a:noFill/>
            </a:ln>
            <a:effectLst/>
          </c:spPr>
          <c:invertIfNegative val="0"/>
          <c:dLbls>
            <c:delete val="1"/>
          </c:dLbls>
          <c:cat>
            <c:strRef>
              <c:f>Sheet1!$A$2</c:f>
              <c:strCache>
                <c:ptCount val="1"/>
                <c:pt idx="0">
                  <c:v>区域</c:v>
                </c:pt>
              </c:strCache>
            </c:strRef>
          </c:cat>
          <c:val>
            <c:numRef>
              <c:f>Sheet1!$B$2</c:f>
              <c:numCache>
                <c:formatCode>General</c:formatCode>
                <c:ptCount val="1"/>
                <c:pt idx="0">
                  <c:v>60.8</c:v>
                </c:pt>
              </c:numCache>
            </c:numRef>
          </c:val>
        </c:ser>
        <c:ser>
          <c:idx val="1"/>
          <c:order val="1"/>
          <c:tx>
            <c:strRef>
              <c:f>Sheet1!$C$1</c:f>
              <c:strCache>
                <c:ptCount val="1"/>
                <c:pt idx="0">
                  <c:v>道路及硬化区</c:v>
                </c:pt>
              </c:strCache>
            </c:strRef>
          </c:tx>
          <c:spPr>
            <a:solidFill>
              <a:schemeClr val="accent2"/>
            </a:solidFill>
            <a:ln>
              <a:noFill/>
            </a:ln>
            <a:effectLst/>
          </c:spPr>
          <c:invertIfNegative val="0"/>
          <c:dLbls>
            <c:delete val="1"/>
          </c:dLbls>
          <c:cat>
            <c:strRef>
              <c:f>Sheet1!$A$2</c:f>
              <c:strCache>
                <c:ptCount val="1"/>
                <c:pt idx="0">
                  <c:v>区域</c:v>
                </c:pt>
              </c:strCache>
            </c:strRef>
          </c:cat>
          <c:val>
            <c:numRef>
              <c:f>Sheet1!$C$2</c:f>
              <c:numCache>
                <c:formatCode>General</c:formatCode>
                <c:ptCount val="1"/>
                <c:pt idx="0">
                  <c:v>6.66</c:v>
                </c:pt>
              </c:numCache>
            </c:numRef>
          </c:val>
        </c:ser>
        <c:ser>
          <c:idx val="2"/>
          <c:order val="2"/>
          <c:tx>
            <c:strRef>
              <c:f>Sheet1!$D$1</c:f>
              <c:strCache>
                <c:ptCount val="1"/>
                <c:pt idx="0">
                  <c:v>绿化区</c:v>
                </c:pt>
              </c:strCache>
            </c:strRef>
          </c:tx>
          <c:spPr>
            <a:solidFill>
              <a:schemeClr val="accent3"/>
            </a:solidFill>
            <a:ln>
              <a:noFill/>
            </a:ln>
            <a:effectLst/>
          </c:spPr>
          <c:invertIfNegative val="0"/>
          <c:dLbls>
            <c:delete val="1"/>
          </c:dLbls>
          <c:cat>
            <c:strRef>
              <c:f>Sheet1!$A$2</c:f>
              <c:strCache>
                <c:ptCount val="1"/>
                <c:pt idx="0">
                  <c:v>区域</c:v>
                </c:pt>
              </c:strCache>
            </c:strRef>
          </c:cat>
          <c:val>
            <c:numRef>
              <c:f>Sheet1!$D$2</c:f>
              <c:numCache>
                <c:formatCode>General</c:formatCode>
                <c:ptCount val="1"/>
                <c:pt idx="0">
                  <c:v>2.21</c:v>
                </c:pt>
              </c:numCache>
            </c:numRef>
          </c:val>
        </c:ser>
        <c:dLbls>
          <c:showLegendKey val="0"/>
          <c:showVal val="0"/>
          <c:showCatName val="0"/>
          <c:showSerName val="0"/>
          <c:showPercent val="0"/>
          <c:showBubbleSize val="0"/>
        </c:dLbls>
        <c:gapWidth val="219"/>
        <c:overlap val="-27"/>
        <c:axId val="114309488"/>
        <c:axId val="51485615"/>
      </c:barChart>
      <c:catAx>
        <c:axId val="11430948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485615"/>
        <c:crosses val="autoZero"/>
        <c:auto val="1"/>
        <c:lblAlgn val="ctr"/>
        <c:lblOffset val="100"/>
        <c:noMultiLvlLbl val="0"/>
      </c:catAx>
      <c:valAx>
        <c:axId val="51485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430948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3081"/>
    <customShpInfo spid="_x0000_s3080"/>
    <customShpInfo spid="_x0000_s3079"/>
    <customShpInfo spid="_x0000_s3078"/>
    <customShpInfo spid="_x0000_s3077"/>
    <customShpInfo spid="_x0000_s3076"/>
    <customShpInfo spid="_x0000_s3075"/>
    <customShpInfo spid="_x0000_s3074"/>
    <customShpInfo spid="_x0000_s3073"/>
    <customShpInfo spid="_x0000_s2124"/>
    <customShpInfo spid="_x0000_s2123"/>
    <customShpInfo spid="_x0000_s2151"/>
    <customShpInfo spid="_x0000_s2121"/>
    <customShpInfo spid="_x0000_s2125"/>
    <customShpInfo spid="_x0000_s2115"/>
    <customShpInfo spid="_x0000_s2114"/>
    <customShpInfo spid="_x0000_s2113"/>
    <customShpInfo spid="_x0000_s2111"/>
    <customShpInfo spid="_x0000_s2128"/>
    <customShpInfo spid="_x0000_s2129"/>
    <customShpInfo spid="_x0000_s2110"/>
    <customShpInfo spid="_x0000_s2109"/>
    <customShpInfo spid="_x0000_s2108"/>
    <customShpInfo spid="_x0000_s2130"/>
    <customShpInfo spid="_x0000_s2131"/>
  </customShpExts>
  <extobjs>
    <extobj name="ECB019B1-382A-4266-B25C-5B523AA43C14-1">
      <extobjdata type="ECB019B1-382A-4266-B25C-5B523AA43C14" data="ewoJIkZpbGVJZCIgOiAiMTU1MDg1MTAwMTMwIiwKCSJHcm91cElkIiA6ICIxMjE3NzU5NzQ0IiwKCSJJbWFnZSIgOiAiaVZCT1J3MEtHZ29BQUFBTlNVaEVVZ0FBQW4wQUFBRUxDQVlBQUFDczREQ01BQUFBQ1hCSVdYTUFBQXNUQUFBTEV3RUFtcHdZQUFBZ0FFbEVRVlI0bk8zZGVYaGpkMzB2L3ZjNTJxemRHdG1XOTdISGpzY3puckVsSmQxb0V4SklnZEJTQ3BjV2tuQnAydHNrQkFKcHlLV1RRSFBURmtoQ0M1UWxoSkNIM2tBSlpRdUZwbUZKYm5rU1NCcUdINHc4bWNRVHo0ekg0NUZ0MmJJbDJiSmtMWlowenUrUFdGUEZZMXUyck0wNjc5Znp6Sk96NjN1K2ZrZjY2R3dD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"/>
    </extobj>
    <extobj name="ECB019B1-382A-4266-B25C-5B523AA43C14-2">
      <extobjdata type="ECB019B1-382A-4266-B25C-5B523AA43C14" data="ewogICAiRmlsZUlkIiA6ICIxNTUxODYxODMxNzkiLAogICAiR3JvdXBJZCIgOiAiMTIxNzc1OTc0NCIsCiAgICJJbWFnZSIgOiAiaVZCT1J3MEtHZ29BQUFBTlNVaEVVZ0FBQW1zQUFBRUlDQVlBQUFBQXhMT05BQUFBQ1hCSVdYTUFBQXNUQUFBTEV3RUFtcHdZQUFBZ0FFbEVRVlI0bk96ZGVWZ2p4NTAzOEYrMWp0WXRFQXdTbHdEQk1BeENnT1RFem1YSDJUak91VG50M0k1eitvMXozOW5FT2QvRWp1TmNyeDBuOGNaMllzZko1bkFTNTl6RWNaejFlcjI1RGN3d0dqUU1hQkRpRWlCQTZMNjYzejlRNHg2Tm1HRm1BREhvKzNrZUhycXJxN3RMS2gwL1ZWZFhFUU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"/>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596F5B-300D-47B1-AE33-635AD7C4B764}">
  <ds:schemaRefs/>
</ds:datastoreItem>
</file>

<file path=docProps/app.xml><?xml version="1.0" encoding="utf-8"?>
<Properties xmlns="http://schemas.openxmlformats.org/officeDocument/2006/extended-properties" xmlns:vt="http://schemas.openxmlformats.org/officeDocument/2006/docPropsVTypes">
  <Template>Normal.dotm</Template>
  <Pages>79</Pages>
  <Words>41470</Words>
  <Characters>46899</Characters>
  <Lines>384</Lines>
  <Paragraphs>108</Paragraphs>
  <TotalTime>102</TotalTime>
  <ScaleCrop>false</ScaleCrop>
  <LinksUpToDate>false</LinksUpToDate>
  <CharactersWithSpaces>47678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2019-04-10T13:08:00Z</dcterms:created>
  <dc:creator>Administrator</dc:creator>
  <cp:lastModifiedBy>WPS_1602379520</cp:lastModifiedBy>
  <cp:lastPrinted>2019-04-17T05:12:00Z</cp:lastPrinted>
  <dcterms:modified xsi:type="dcterms:W3CDTF">2023-02-02T05:04:07Z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87E2B62A53DE44D5A4A505B679365745</vt:lpwstr>
  </property>
</Properties>
</file>