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黑体"/>
          <w:snapToGrid w:val="0"/>
          <w:szCs w:val="28"/>
          <w:shd w:val="clear" w:color="auto" w:fill="FFFFFF"/>
        </w:rPr>
      </w:pPr>
      <w:r>
        <w:rPr>
          <w:rFonts w:hint="eastAsia" w:eastAsia="黑体"/>
          <w:snapToGrid w:val="0"/>
          <w:szCs w:val="28"/>
          <w:shd w:val="clear" w:color="auto" w:fill="FFFFFF"/>
          <w:lang w:val="en-US" w:eastAsia="zh-CN"/>
        </w:rPr>
        <w:t>唐梓山景区外环路建设工程</w:t>
      </w:r>
      <w:r>
        <w:rPr>
          <w:rFonts w:hint="eastAsia" w:eastAsia="黑体"/>
          <w:snapToGrid w:val="0"/>
          <w:szCs w:val="28"/>
          <w:shd w:val="clear" w:color="auto" w:fill="FFFFFF"/>
        </w:rPr>
        <w:t>项目</w:t>
      </w:r>
      <w:r>
        <w:rPr>
          <w:rFonts w:eastAsia="黑体"/>
          <w:snapToGrid w:val="0"/>
          <w:szCs w:val="28"/>
          <w:shd w:val="clear" w:color="auto" w:fill="FFFFFF"/>
        </w:rPr>
        <w:t>水土保持方案报告表</w:t>
      </w:r>
    </w:p>
    <w:tbl>
      <w:tblPr>
        <w:tblStyle w:val="5"/>
        <w:tblW w:w="5153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505"/>
        <w:gridCol w:w="409"/>
        <w:gridCol w:w="661"/>
        <w:gridCol w:w="36"/>
        <w:gridCol w:w="629"/>
        <w:gridCol w:w="814"/>
        <w:gridCol w:w="1625"/>
        <w:gridCol w:w="58"/>
        <w:gridCol w:w="18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项目组成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位置</w:t>
            </w:r>
          </w:p>
        </w:tc>
        <w:tc>
          <w:tcPr>
            <w:tcW w:w="2667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湖北省襄阳市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枣阳市太平镇</w:t>
            </w:r>
            <w:r>
              <w:rPr>
                <w:rFonts w:hint="eastAsia"/>
                <w:sz w:val="18"/>
                <w:szCs w:val="18"/>
              </w:rPr>
              <w:t>。项目中心点坐标为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/>
                <w:sz w:val="18"/>
                <w:szCs w:val="18"/>
              </w:rPr>
              <w:t>112°46′48.97851″，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hint="eastAsia"/>
                <w:sz w:val="18"/>
                <w:szCs w:val="18"/>
              </w:rPr>
              <w:t>32°20′17.74806″</w:t>
            </w:r>
            <w:r>
              <w:rPr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建设内容</w:t>
            </w:r>
          </w:p>
        </w:tc>
        <w:tc>
          <w:tcPr>
            <w:tcW w:w="2667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本工程站内主要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建设为一级公路设计速度 80km/h、路基宽度 24.5m 的双向四车道的公路标准建设，路唐梓山景区外环路建设工程线全长 2.085km。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建设性质</w:t>
            </w:r>
          </w:p>
        </w:tc>
        <w:tc>
          <w:tcPr>
            <w:tcW w:w="7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新建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总投资（万元）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5918.81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土建投资（万元）</w:t>
            </w:r>
          </w:p>
        </w:tc>
        <w:tc>
          <w:tcPr>
            <w:tcW w:w="785" w:type="pct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4439.10</w:t>
            </w:r>
          </w:p>
        </w:tc>
        <w:tc>
          <w:tcPr>
            <w:tcW w:w="8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占地面积（hm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永久：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8.26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85" w:type="pct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临时：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动工时间</w:t>
            </w:r>
          </w:p>
        </w:tc>
        <w:tc>
          <w:tcPr>
            <w:tcW w:w="7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完工时间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2025.1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土石方（万m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35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挖方</w:t>
            </w:r>
          </w:p>
        </w:tc>
        <w:tc>
          <w:tcPr>
            <w:tcW w:w="4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填方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借方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余（弃）方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2.01</w:t>
            </w:r>
          </w:p>
        </w:tc>
        <w:tc>
          <w:tcPr>
            <w:tcW w:w="4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2.01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取土（石、砂）场</w:t>
            </w:r>
          </w:p>
        </w:tc>
        <w:tc>
          <w:tcPr>
            <w:tcW w:w="2667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弃土（石、渣）场</w:t>
            </w:r>
          </w:p>
        </w:tc>
        <w:tc>
          <w:tcPr>
            <w:tcW w:w="2667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项目区概况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涉及重点防治区情况</w:t>
            </w:r>
          </w:p>
        </w:tc>
        <w:tc>
          <w:tcPr>
            <w:tcW w:w="7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无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地貌类型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低山丘陵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原地貌土壤侵蚀模数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[t/(km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·a)]</w:t>
            </w:r>
          </w:p>
        </w:tc>
        <w:tc>
          <w:tcPr>
            <w:tcW w:w="7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283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容许土壤流失量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[t/(km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·a)]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项目选址（线）水土保持评价</w:t>
            </w:r>
          </w:p>
        </w:tc>
        <w:tc>
          <w:tcPr>
            <w:tcW w:w="2667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项目建设区域不在泥石流易发区，也不存在滑坡体等不良地质，工程区内没有全国水土保持监测网络中的水土保持监测站点、重点实验区及观测站。本项目所在区域不属于水土流失重点防治区，施工过程中严格控制占地范围，减少地表扰动和植被损坏范围，有效控制可能造成的水土流失危害。同时，主体设计已按照尽量减少挖填方的原则进行竖向规划，符合水土保持要求</w:t>
            </w:r>
            <w:r>
              <w:rPr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3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预测水土流失总量（t）</w:t>
            </w:r>
          </w:p>
        </w:tc>
        <w:tc>
          <w:tcPr>
            <w:tcW w:w="2667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622.18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23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防治责任范围（hm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2667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防治标准等级及目标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防治标准等级</w:t>
            </w:r>
          </w:p>
        </w:tc>
        <w:tc>
          <w:tcPr>
            <w:tcW w:w="2667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西南紫色土</w:t>
            </w:r>
            <w:r>
              <w:rPr>
                <w:rFonts w:hint="eastAsia"/>
                <w:color w:val="000000"/>
                <w:sz w:val="18"/>
                <w:szCs w:val="18"/>
              </w:rPr>
              <w:t>区一级标准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水土流失治理度（%）</w:t>
            </w:r>
          </w:p>
        </w:tc>
        <w:tc>
          <w:tcPr>
            <w:tcW w:w="7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土壤流失控制比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0.85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渣土防护率（%）</w:t>
            </w:r>
          </w:p>
        </w:tc>
        <w:tc>
          <w:tcPr>
            <w:tcW w:w="7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表土保护率（</w:t>
            </w:r>
            <w:r>
              <w:rPr>
                <w:rFonts w:hint="eastAsia"/>
                <w:color w:val="000000"/>
                <w:sz w:val="18"/>
                <w:szCs w:val="18"/>
              </w:rPr>
              <w:t>%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林草植被恢复率（%）</w:t>
            </w:r>
          </w:p>
        </w:tc>
        <w:tc>
          <w:tcPr>
            <w:tcW w:w="7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林草覆盖率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%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水土保持措施</w:t>
            </w:r>
          </w:p>
        </w:tc>
        <w:tc>
          <w:tcPr>
            <w:tcW w:w="7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工程措施</w:t>
            </w:r>
          </w:p>
        </w:tc>
        <w:tc>
          <w:tcPr>
            <w:tcW w:w="3235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路基工程区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eastAsia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工程措施-</w:t>
            </w:r>
            <w:r>
              <w:rPr>
                <w:rFonts w:hint="default"/>
                <w:color w:val="000000"/>
                <w:sz w:val="18"/>
                <w:szCs w:val="18"/>
                <w:lang w:val="en-US" w:eastAsia="zh-CN"/>
              </w:rPr>
              <w:t>主体已设计未实施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：表土剥离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0.42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万m³;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排水沟4170m；沉淀池8个。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桥梁工程区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工程措施-</w:t>
            </w:r>
            <w:r>
              <w:rPr>
                <w:rFonts w:hint="default"/>
                <w:color w:val="000000"/>
                <w:sz w:val="18"/>
                <w:szCs w:val="18"/>
                <w:lang w:val="en-US" w:eastAsia="zh-CN"/>
              </w:rPr>
              <w:t>主体已设计未实施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表土剥离0.02万m³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边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坡工程区：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工程措施-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主体已设计未实施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：表土剥离0.51万m³；表土返还：0.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95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万m³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植物措施</w:t>
            </w:r>
          </w:p>
        </w:tc>
        <w:tc>
          <w:tcPr>
            <w:tcW w:w="3235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边坡工程区：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植物措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施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default"/>
                <w:color w:val="000000"/>
                <w:sz w:val="18"/>
                <w:szCs w:val="18"/>
                <w:lang w:val="en-US" w:eastAsia="zh-CN"/>
              </w:rPr>
              <w:t>主体已设计未实施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三维植被网护坡：1.24万m²；综合绿化1.83万m²。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临时堆土场：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植物措施-方案新增：直播种草1.38hm²；白三叶41.4kg；狗牙根41.4kg；抚育管理1.38hm²。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临时措施</w:t>
            </w:r>
          </w:p>
        </w:tc>
        <w:tc>
          <w:tcPr>
            <w:tcW w:w="3235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路基工程区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临时措施-方案新增：袋装土拦挡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1882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m³，袋装土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拆除1882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m³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彩条布覆盖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9817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m²。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桥梁工程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区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临时措施-</w:t>
            </w:r>
            <w:r>
              <w:rPr>
                <w:rFonts w:hint="default"/>
                <w:color w:val="000000"/>
                <w:sz w:val="18"/>
                <w:szCs w:val="18"/>
                <w:lang w:val="en-US" w:eastAsia="zh-CN"/>
              </w:rPr>
              <w:t>主体已设计未实施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：泥浆箱3个。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临时措施-方案新增：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土质截水沟82m；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袋装土拦挡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37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m³，袋装土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拆除37m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³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彩条布覆盖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367.5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m²。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边坡工程区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临时措施-方案新增：袋装土拦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挡1881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m³，袋装土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拆除1881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m³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彩条布覆盖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25205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m²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施工生产生活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区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临时措施-方案新增：袋装土拦挡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415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m³，袋装土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拆除415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m³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彩条布覆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盖201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m²。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临时堆土场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  <w:highlight w:val="red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临时措施-方案新增：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土质排水沟2170.9m，临时沉砂池4座，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袋装土拦挡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1045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m³，袋装土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拆除1045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m³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彩条布覆盖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90848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m²。。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水土保持投资估算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（万元）</w:t>
            </w:r>
          </w:p>
        </w:tc>
        <w:tc>
          <w:tcPr>
            <w:tcW w:w="10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工程措施</w:t>
            </w:r>
          </w:p>
        </w:tc>
        <w:tc>
          <w:tcPr>
            <w:tcW w:w="113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107.23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（主体已有107.23）</w:t>
            </w:r>
          </w:p>
        </w:tc>
        <w:tc>
          <w:tcPr>
            <w:tcW w:w="8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植物措施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610.71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（主体已有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609.59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临时措施</w:t>
            </w:r>
          </w:p>
        </w:tc>
        <w:tc>
          <w:tcPr>
            <w:tcW w:w="113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183.52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（主体已有181.72）</w:t>
            </w:r>
          </w:p>
        </w:tc>
        <w:tc>
          <w:tcPr>
            <w:tcW w:w="8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水土保持补偿费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123900.00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独立费用</w:t>
            </w:r>
          </w:p>
        </w:tc>
        <w:tc>
          <w:tcPr>
            <w:tcW w:w="113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建设管理费</w:t>
            </w:r>
          </w:p>
        </w:tc>
        <w:tc>
          <w:tcPr>
            <w:tcW w:w="18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31.26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水土保持监理费</w:t>
            </w:r>
          </w:p>
        </w:tc>
        <w:tc>
          <w:tcPr>
            <w:tcW w:w="18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设计费</w:t>
            </w:r>
          </w:p>
        </w:tc>
        <w:tc>
          <w:tcPr>
            <w:tcW w:w="18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52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基本预备费</w:t>
            </w:r>
          </w:p>
        </w:tc>
        <w:tc>
          <w:tcPr>
            <w:tcW w:w="18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56.83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52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总投资</w:t>
            </w:r>
          </w:p>
        </w:tc>
        <w:tc>
          <w:tcPr>
            <w:tcW w:w="18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1016.41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编制单位</w:t>
            </w:r>
          </w:p>
        </w:tc>
        <w:tc>
          <w:tcPr>
            <w:tcW w:w="138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湖北天佑天成建设项目管理有限责任公司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建设单位</w:t>
            </w:r>
          </w:p>
        </w:tc>
        <w:tc>
          <w:tcPr>
            <w:tcW w:w="18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枣阳市公路事务发展中心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法人代表及电话</w:t>
            </w:r>
          </w:p>
        </w:tc>
        <w:tc>
          <w:tcPr>
            <w:tcW w:w="138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桂丹丹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法人代表及电话</w:t>
            </w:r>
          </w:p>
        </w:tc>
        <w:tc>
          <w:tcPr>
            <w:tcW w:w="18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曹安良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地址</w:t>
            </w:r>
          </w:p>
        </w:tc>
        <w:tc>
          <w:tcPr>
            <w:tcW w:w="138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襄阳市襄城区东街50号19幢262号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地址</w:t>
            </w:r>
          </w:p>
        </w:tc>
        <w:tc>
          <w:tcPr>
            <w:tcW w:w="18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枣阳市新华北路1号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邮编</w:t>
            </w:r>
          </w:p>
        </w:tc>
        <w:tc>
          <w:tcPr>
            <w:tcW w:w="138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441000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邮编</w:t>
            </w:r>
          </w:p>
        </w:tc>
        <w:tc>
          <w:tcPr>
            <w:tcW w:w="18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441200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联系人及电话</w:t>
            </w:r>
          </w:p>
        </w:tc>
        <w:tc>
          <w:tcPr>
            <w:tcW w:w="138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周亚奇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13100770888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联系人及电话</w:t>
            </w:r>
          </w:p>
        </w:tc>
        <w:tc>
          <w:tcPr>
            <w:tcW w:w="18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陈树刚/15897951001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电子邮箱</w:t>
            </w:r>
          </w:p>
        </w:tc>
        <w:tc>
          <w:tcPr>
            <w:tcW w:w="138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28758770</w:t>
            </w:r>
            <w:r>
              <w:rPr>
                <w:rFonts w:hint="eastAsia"/>
                <w:color w:val="000000"/>
                <w:sz w:val="18"/>
                <w:szCs w:val="18"/>
              </w:rPr>
              <w:t>@qq.com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电子邮箱</w:t>
            </w:r>
          </w:p>
        </w:tc>
        <w:tc>
          <w:tcPr>
            <w:tcW w:w="18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传真</w:t>
            </w:r>
          </w:p>
        </w:tc>
        <w:tc>
          <w:tcPr>
            <w:tcW w:w="138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传真</w:t>
            </w:r>
          </w:p>
        </w:tc>
        <w:tc>
          <w:tcPr>
            <w:tcW w:w="188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rPr>
          <w:b/>
          <w:bCs/>
        </w:rPr>
        <w:sectPr>
          <w:headerReference r:id="rId5" w:type="default"/>
          <w:footerReference r:id="rId6" w:type="default"/>
          <w:pgSz w:w="11900" w:h="16840"/>
          <w:pgMar w:top="1664" w:right="1430" w:bottom="1329" w:left="1552" w:header="1236" w:footer="3" w:gutter="0"/>
          <w:pgNumType w:start="1"/>
          <w:cols w:space="720" w:num="1"/>
          <w:docGrid w:linePitch="360" w:charSpace="0"/>
        </w:sectPr>
      </w:pPr>
      <w:r>
        <w:rPr>
          <w:color w:val="000000"/>
          <w:sz w:val="28"/>
          <w:szCs w:val="28"/>
        </w:rPr>
        <w:br w:type="page"/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汉仪中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3800475</wp:posOffset>
              </wp:positionH>
              <wp:positionV relativeFrom="page">
                <wp:posOffset>9951085</wp:posOffset>
              </wp:positionV>
              <wp:extent cx="3683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99.25pt;margin-top:783.55pt;height:8.15pt;width:2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JNZpDYAAAA&#10;DQEAAA8AAAAAAAAAAQAgAAAAIgAAAGRycy9kb3ducmV2LnhtbFBLAQIUABQAAAAIAIdO4kDx9YmH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right" w:pos="9120"/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MjBiMWJmYjIyOGVlNWYxN2NlNzgyZTM3ZDBkZjIifQ=="/>
  </w:docVars>
  <w:rsids>
    <w:rsidRoot w:val="00000000"/>
    <w:rsid w:val="0CEA36C2"/>
    <w:rsid w:val="0D3A01A5"/>
    <w:rsid w:val="0D71599F"/>
    <w:rsid w:val="143A0A8B"/>
    <w:rsid w:val="1AC83294"/>
    <w:rsid w:val="31BC4D7D"/>
    <w:rsid w:val="4B0435C5"/>
    <w:rsid w:val="51805A47"/>
    <w:rsid w:val="51E67F9B"/>
    <w:rsid w:val="5E6166BA"/>
    <w:rsid w:val="6EC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四号"/>
    <w:basedOn w:val="1"/>
    <w:autoRedefine/>
    <w:qFormat/>
    <w:uiPriority w:val="0"/>
    <w:pPr>
      <w:ind w:firstLine="480"/>
    </w:pPr>
    <w:rPr>
      <w:rFonts w:ascii="宋体" w:hAnsi="宋体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0" w:firstLineChars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Table caption|1"/>
    <w:basedOn w:val="1"/>
    <w:qFormat/>
    <w:uiPriority w:val="0"/>
    <w:pPr>
      <w:jc w:val="right"/>
    </w:pPr>
    <w:rPr>
      <w:rFonts w:ascii="宋体" w:hAnsi="宋体" w:eastAsia="宋体" w:cs="宋体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2024-04-26T02:49:39Z</dcterms:created>
  <dc:creator>Administrator</dc:creator>
  <cp:lastModifiedBy>平姑娘</cp:lastModifiedBy>
  <dcterms:modified xsi:type="dcterms:W3CDTF">2024-04-26T05:36:33Z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A61C692D92D64E7E86CFC36A738F7A96_12</vt:lpwstr>
  </property>
</Properties>
</file>